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0464" w14:textId="7688E8B7" w:rsidR="00CA77FB" w:rsidRPr="0013707D" w:rsidRDefault="00CF0839" w:rsidP="00B82E72">
      <w:pPr>
        <w:pStyle w:val="Encabezado"/>
        <w:tabs>
          <w:tab w:val="clear" w:pos="8504"/>
          <w:tab w:val="left" w:pos="0"/>
          <w:tab w:val="left" w:pos="2977"/>
          <w:tab w:val="right" w:pos="9356"/>
        </w:tabs>
        <w:ind w:left="0"/>
        <w:jc w:val="center"/>
        <w:rPr>
          <w:rFonts w:ascii="Bookman Old Style" w:hAnsi="Bookman Old Style"/>
          <w:noProof/>
        </w:rPr>
      </w:pPr>
      <w:r w:rsidRPr="0013707D">
        <w:rPr>
          <w:rFonts w:ascii="Bookman Old Style" w:hAnsi="Bookman Old Style"/>
          <w:noProof/>
          <w:color w:val="000000" w:themeColor="text1"/>
          <w:szCs w:val="24"/>
          <w:highlight w:val="magenta"/>
          <w:lang w:val="es-MX" w:eastAsia="es-MX"/>
        </w:rPr>
        <w:drawing>
          <wp:anchor distT="0" distB="0" distL="114300" distR="114300" simplePos="0" relativeHeight="251658240" behindDoc="0" locked="0" layoutInCell="1" allowOverlap="1" wp14:anchorId="6D664280" wp14:editId="03257DE5">
            <wp:simplePos x="0" y="0"/>
            <wp:positionH relativeFrom="margin">
              <wp:posOffset>2638425</wp:posOffset>
            </wp:positionH>
            <wp:positionV relativeFrom="paragraph">
              <wp:posOffset>-829945</wp:posOffset>
            </wp:positionV>
            <wp:extent cx="666750" cy="6191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r w:rsidR="00CA77FB" w:rsidRPr="0013707D">
        <w:rPr>
          <w:rFonts w:ascii="Bookman Old Style" w:hAnsi="Bookman Old Style"/>
        </w:rPr>
        <w:t>Ministerio de Minas y Energía</w:t>
      </w:r>
    </w:p>
    <w:p w14:paraId="21AF33C4" w14:textId="77777777" w:rsidR="00CA77FB" w:rsidRPr="0013707D" w:rsidRDefault="00CA77FB" w:rsidP="00B82E72">
      <w:pPr>
        <w:tabs>
          <w:tab w:val="left" w:pos="0"/>
        </w:tabs>
        <w:ind w:left="0"/>
        <w:rPr>
          <w:rFonts w:ascii="Bookman Old Style" w:hAnsi="Bookman Old Style"/>
          <w:lang w:val="es-CO"/>
        </w:rPr>
      </w:pPr>
    </w:p>
    <w:p w14:paraId="5961ABF6" w14:textId="77777777" w:rsidR="00CA77FB" w:rsidRPr="0013707D" w:rsidRDefault="00CA77FB" w:rsidP="00B82E72">
      <w:pPr>
        <w:tabs>
          <w:tab w:val="left" w:pos="0"/>
        </w:tabs>
        <w:ind w:left="0"/>
        <w:jc w:val="center"/>
        <w:rPr>
          <w:rFonts w:ascii="Bookman Old Style" w:hAnsi="Bookman Old Style"/>
          <w:b/>
          <w:lang w:val="es-CO"/>
        </w:rPr>
      </w:pPr>
      <w:r w:rsidRPr="0013707D">
        <w:rPr>
          <w:rFonts w:ascii="Bookman Old Style" w:hAnsi="Bookman Old Style"/>
          <w:b/>
          <w:lang w:val="es-CO"/>
        </w:rPr>
        <w:t>COMISIÓN DE REGULACIÓN DE ENERGÍA Y GAS</w:t>
      </w:r>
    </w:p>
    <w:p w14:paraId="130EDA55" w14:textId="77777777" w:rsidR="00CA77FB" w:rsidRPr="0013707D" w:rsidRDefault="00785730" w:rsidP="00B82E72">
      <w:pPr>
        <w:tabs>
          <w:tab w:val="left" w:pos="0"/>
        </w:tabs>
        <w:rPr>
          <w:rFonts w:ascii="Bookman Old Style" w:hAnsi="Bookman Old Style"/>
          <w:lang w:val="es-CO"/>
        </w:rPr>
      </w:pPr>
      <w:r w:rsidRPr="0013707D">
        <w:rPr>
          <w:rFonts w:ascii="Bookman Old Style" w:hAnsi="Bookman Old Style"/>
          <w:lang w:val="es-CO"/>
        </w:rPr>
        <w:tab/>
      </w:r>
    </w:p>
    <w:p w14:paraId="3BDA99D0" w14:textId="077334D2" w:rsidR="00CA77FB" w:rsidRDefault="00BA07D6" w:rsidP="00B82E72">
      <w:pPr>
        <w:tabs>
          <w:tab w:val="left" w:pos="0"/>
        </w:tabs>
        <w:ind w:left="0"/>
        <w:jc w:val="center"/>
        <w:rPr>
          <w:rFonts w:ascii="Bookman Old Style" w:hAnsi="Bookman Old Style"/>
          <w:b/>
          <w:lang w:val="es-CO"/>
        </w:rPr>
      </w:pPr>
      <w:r>
        <w:rPr>
          <w:rFonts w:ascii="Bookman Old Style" w:hAnsi="Bookman Old Style"/>
          <w:b/>
          <w:lang w:val="es-CO"/>
        </w:rPr>
        <w:t xml:space="preserve">PROYECTO DE </w:t>
      </w:r>
      <w:r w:rsidR="00CA77FB" w:rsidRPr="0013707D">
        <w:rPr>
          <w:rFonts w:ascii="Bookman Old Style" w:hAnsi="Bookman Old Style"/>
          <w:b/>
          <w:lang w:val="es-CO"/>
        </w:rPr>
        <w:t>RESOLUCIÓN No</w:t>
      </w:r>
      <w:r w:rsidR="00415B6E" w:rsidRPr="0013707D">
        <w:rPr>
          <w:rFonts w:ascii="Bookman Old Style" w:hAnsi="Bookman Old Style"/>
          <w:b/>
          <w:lang w:val="es-CO"/>
        </w:rPr>
        <w:t xml:space="preserve">. </w:t>
      </w:r>
      <w:r w:rsidR="001621F7">
        <w:rPr>
          <w:rFonts w:ascii="Bookman Old Style" w:hAnsi="Bookman Old Style"/>
          <w:b/>
          <w:sz w:val="32"/>
          <w:szCs w:val="32"/>
          <w:lang w:val="es-CO"/>
        </w:rPr>
        <w:t>702</w:t>
      </w:r>
      <w:r w:rsidR="000A6224">
        <w:rPr>
          <w:rFonts w:ascii="Bookman Old Style" w:hAnsi="Bookman Old Style"/>
          <w:b/>
          <w:sz w:val="32"/>
          <w:szCs w:val="32"/>
          <w:lang w:val="es-CO"/>
        </w:rPr>
        <w:t xml:space="preserve"> 003</w:t>
      </w:r>
      <w:r w:rsidR="00E93B27">
        <w:rPr>
          <w:rFonts w:ascii="Bookman Old Style" w:hAnsi="Bookman Old Style"/>
          <w:b/>
          <w:sz w:val="32"/>
          <w:szCs w:val="32"/>
          <w:lang w:val="es-CO"/>
        </w:rPr>
        <w:t xml:space="preserve">  </w:t>
      </w:r>
    </w:p>
    <w:p w14:paraId="09C12AD6" w14:textId="5294F768" w:rsidR="00901472" w:rsidRDefault="00901472" w:rsidP="00B82E72">
      <w:pPr>
        <w:tabs>
          <w:tab w:val="left" w:pos="0"/>
        </w:tabs>
        <w:ind w:left="0"/>
        <w:jc w:val="center"/>
        <w:rPr>
          <w:rFonts w:ascii="Bookman Old Style" w:hAnsi="Bookman Old Style"/>
          <w:b/>
          <w:lang w:val="es-CO"/>
        </w:rPr>
      </w:pPr>
    </w:p>
    <w:p w14:paraId="37E43C4E" w14:textId="0EA02AD2" w:rsidR="00901472" w:rsidRPr="001621F7" w:rsidRDefault="00901472" w:rsidP="00B82E72">
      <w:pPr>
        <w:tabs>
          <w:tab w:val="left" w:pos="0"/>
        </w:tabs>
        <w:ind w:left="0"/>
        <w:jc w:val="center"/>
        <w:rPr>
          <w:rFonts w:ascii="Bookman Old Style" w:hAnsi="Bookman Old Style"/>
          <w:b/>
          <w:lang w:val="es-CO"/>
        </w:rPr>
      </w:pPr>
      <w:r w:rsidRPr="001621F7">
        <w:rPr>
          <w:rFonts w:ascii="Bookman Old Style" w:hAnsi="Bookman Old Style"/>
          <w:b/>
          <w:lang w:val="es-CO"/>
        </w:rPr>
        <w:t>(</w:t>
      </w:r>
      <w:r w:rsidR="00295053" w:rsidRPr="001621F7">
        <w:rPr>
          <w:rFonts w:ascii="Bookman Old Style" w:hAnsi="Bookman Old Style"/>
          <w:b/>
          <w:lang w:val="es-CO"/>
        </w:rPr>
        <w:t>21 ABR</w:t>
      </w:r>
      <w:r w:rsidR="001621F7" w:rsidRPr="001621F7">
        <w:rPr>
          <w:rFonts w:ascii="Bookman Old Style" w:hAnsi="Bookman Old Style"/>
          <w:b/>
          <w:lang w:val="es-CO"/>
        </w:rPr>
        <w:t>.</w:t>
      </w:r>
      <w:r w:rsidR="00295053" w:rsidRPr="001621F7">
        <w:rPr>
          <w:rFonts w:ascii="Bookman Old Style" w:hAnsi="Bookman Old Style"/>
          <w:b/>
          <w:lang w:val="es-CO"/>
        </w:rPr>
        <w:t xml:space="preserve"> </w:t>
      </w:r>
      <w:r w:rsidR="006461EF" w:rsidRPr="001621F7">
        <w:rPr>
          <w:rFonts w:ascii="Bookman Old Style" w:hAnsi="Bookman Old Style"/>
          <w:b/>
          <w:lang w:val="es-CO"/>
        </w:rPr>
        <w:t>2023</w:t>
      </w:r>
      <w:r w:rsidRPr="001621F7">
        <w:rPr>
          <w:rFonts w:ascii="Bookman Old Style" w:hAnsi="Bookman Old Style"/>
          <w:b/>
          <w:lang w:val="es-CO"/>
        </w:rPr>
        <w:t>)</w:t>
      </w:r>
    </w:p>
    <w:p w14:paraId="4C4B9D79" w14:textId="77777777" w:rsidR="00CA77FB" w:rsidRPr="0013707D" w:rsidRDefault="00CA77FB" w:rsidP="00B82E72">
      <w:pPr>
        <w:tabs>
          <w:tab w:val="left" w:pos="0"/>
          <w:tab w:val="right" w:pos="9356"/>
        </w:tabs>
        <w:ind w:left="0"/>
        <w:jc w:val="center"/>
        <w:rPr>
          <w:rFonts w:ascii="Bookman Old Style" w:hAnsi="Bookman Old Style" w:cs="Arial"/>
          <w:b/>
          <w:snapToGrid w:val="0"/>
          <w:color w:val="000000" w:themeColor="text1"/>
          <w:lang w:val="es-CO"/>
        </w:rPr>
      </w:pPr>
    </w:p>
    <w:p w14:paraId="264425DA" w14:textId="77777777" w:rsidR="001621F7" w:rsidRPr="00EB4EF4" w:rsidRDefault="001621F7" w:rsidP="00B82E72">
      <w:pPr>
        <w:tabs>
          <w:tab w:val="left" w:pos="0"/>
        </w:tabs>
        <w:ind w:left="0" w:right="-142"/>
        <w:jc w:val="both"/>
        <w:rPr>
          <w:rFonts w:ascii="Bookman Old Style" w:hAnsi="Bookman Old Style" w:cs="Arial"/>
          <w:b/>
          <w:color w:val="000000"/>
        </w:rPr>
      </w:pPr>
    </w:p>
    <w:p w14:paraId="1F6CD884" w14:textId="1A44C90D" w:rsidR="001621F7" w:rsidRPr="001621F7" w:rsidRDefault="001621F7" w:rsidP="00BD48A4">
      <w:pPr>
        <w:ind w:left="0"/>
        <w:jc w:val="both"/>
        <w:rPr>
          <w:rFonts w:ascii="Bookman Old Style" w:hAnsi="Bookman Old Style" w:cs="Arial"/>
          <w:color w:val="000000"/>
        </w:rPr>
      </w:pPr>
      <w:r w:rsidRPr="001621F7">
        <w:rPr>
          <w:rFonts w:ascii="Bookman Old Style" w:hAnsi="Bookman Old Style" w:cs="Arial"/>
          <w:color w:val="000000"/>
        </w:rPr>
        <w:t xml:space="preserve">La Comisión de </w:t>
      </w:r>
      <w:r w:rsidRPr="006D12AB">
        <w:rPr>
          <w:rFonts w:ascii="Bookman Old Style" w:hAnsi="Bookman Old Style" w:cs="Arial"/>
          <w:color w:val="000000" w:themeColor="text1"/>
          <w:lang w:eastAsia="es-CO"/>
        </w:rPr>
        <w:t>Regulación</w:t>
      </w:r>
      <w:r w:rsidRPr="001621F7">
        <w:rPr>
          <w:rFonts w:ascii="Bookman Old Style" w:hAnsi="Bookman Old Style" w:cs="Arial"/>
          <w:color w:val="000000"/>
        </w:rPr>
        <w:t xml:space="preserve"> de Energía y Gas, en su sesión 1258 del 21 de abril de 2023, aprobó someter a consulta pública, durante los </w:t>
      </w:r>
      <w:r>
        <w:rPr>
          <w:rFonts w:ascii="Bookman Old Style" w:hAnsi="Bookman Old Style" w:cs="Arial"/>
          <w:color w:val="000000"/>
          <w:lang w:val="es-CO"/>
        </w:rPr>
        <w:t>treinta</w:t>
      </w:r>
      <w:r w:rsidRPr="001621F7">
        <w:rPr>
          <w:rFonts w:ascii="Bookman Old Style" w:hAnsi="Bookman Old Style" w:cs="Arial"/>
          <w:color w:val="000000"/>
        </w:rPr>
        <w:t xml:space="preserve"> (</w:t>
      </w:r>
      <w:r>
        <w:rPr>
          <w:rFonts w:ascii="Bookman Old Style" w:hAnsi="Bookman Old Style" w:cs="Arial"/>
          <w:color w:val="000000"/>
          <w:lang w:val="es-CO"/>
        </w:rPr>
        <w:t>30</w:t>
      </w:r>
      <w:r w:rsidRPr="001621F7">
        <w:rPr>
          <w:rFonts w:ascii="Bookman Old Style" w:hAnsi="Bookman Old Style" w:cs="Arial"/>
          <w:color w:val="000000"/>
        </w:rPr>
        <w:t>) días hábiles siguientes a su publicación en el portal web de la CREG, el presente proyecto de resolución</w:t>
      </w:r>
      <w:r w:rsidR="00635E65">
        <w:rPr>
          <w:rFonts w:ascii="Bookman Old Style" w:hAnsi="Bookman Old Style" w:cs="Arial"/>
          <w:color w:val="000000"/>
          <w:lang w:val="es-CO"/>
        </w:rPr>
        <w:t xml:space="preserve"> </w:t>
      </w:r>
      <w:r w:rsidRPr="001621F7">
        <w:rPr>
          <w:rFonts w:ascii="Bookman Old Style" w:hAnsi="Bookman Old Style" w:cs="Arial"/>
          <w:i/>
          <w:iCs/>
          <w:color w:val="000000"/>
        </w:rPr>
        <w:t>“</w:t>
      </w:r>
      <w:r w:rsidRPr="001621F7">
        <w:rPr>
          <w:rFonts w:ascii="Bookman Old Style" w:hAnsi="Bookman Old Style" w:cs="Arial"/>
          <w:bCs/>
          <w:i/>
          <w:iCs/>
          <w:spacing w:val="-3"/>
        </w:rPr>
        <w:t xml:space="preserve">Por la cual </w:t>
      </w:r>
      <w:r w:rsidRPr="001621F7">
        <w:rPr>
          <w:rFonts w:ascii="Bookman Old Style" w:hAnsi="Bookman Old Style"/>
          <w:i/>
          <w:iCs/>
          <w:lang w:val="es-CO"/>
        </w:rPr>
        <w:t>se reglamentan aspectos comerciales del suministro del Mercado Mayorista de gas natural</w:t>
      </w:r>
      <w:r w:rsidRPr="001621F7">
        <w:rPr>
          <w:rFonts w:ascii="Bookman Old Style" w:hAnsi="Bookman Old Style" w:cs="Arial"/>
          <w:color w:val="000000"/>
        </w:rPr>
        <w:t xml:space="preserve">”. Dicho término acudiendo </w:t>
      </w:r>
      <w:r w:rsidR="006D1330">
        <w:rPr>
          <w:rFonts w:ascii="Bookman Old Style" w:hAnsi="Bookman Old Style" w:cs="Arial"/>
          <w:color w:val="000000"/>
          <w:lang w:val="es-CO"/>
        </w:rPr>
        <w:t>a</w:t>
      </w:r>
      <w:r>
        <w:rPr>
          <w:rFonts w:ascii="Bookman Old Style" w:hAnsi="Bookman Old Style" w:cs="Arial"/>
          <w:color w:val="000000"/>
          <w:lang w:val="es-CO"/>
        </w:rPr>
        <w:t xml:space="preserve"> lo establecido en </w:t>
      </w:r>
      <w:r w:rsidR="00F919CC">
        <w:rPr>
          <w:rFonts w:ascii="Bookman Old Style" w:hAnsi="Bookman Old Style" w:cs="Arial"/>
          <w:color w:val="000000"/>
          <w:lang w:val="es-CO"/>
        </w:rPr>
        <w:t>el artículo 33 de</w:t>
      </w:r>
      <w:r w:rsidRPr="001621F7">
        <w:rPr>
          <w:rFonts w:ascii="Bookman Old Style" w:hAnsi="Bookman Old Style" w:cs="Arial"/>
          <w:color w:val="000000"/>
        </w:rPr>
        <w:t xml:space="preserve"> la Resolución CREG 039 de 2017.</w:t>
      </w:r>
    </w:p>
    <w:p w14:paraId="27762731" w14:textId="77777777" w:rsidR="00BD48A4" w:rsidRPr="001621F7" w:rsidRDefault="00BD48A4" w:rsidP="006D12AB">
      <w:pPr>
        <w:ind w:left="0"/>
        <w:jc w:val="both"/>
        <w:rPr>
          <w:rFonts w:ascii="Bookman Old Style" w:hAnsi="Bookman Old Style" w:cs="Arial"/>
          <w:color w:val="000000"/>
        </w:rPr>
      </w:pPr>
    </w:p>
    <w:p w14:paraId="2DBAFBE6" w14:textId="1337A173" w:rsidR="001621F7" w:rsidRPr="001621F7" w:rsidRDefault="001621F7" w:rsidP="00BD48A4">
      <w:pPr>
        <w:ind w:left="0"/>
        <w:jc w:val="both"/>
        <w:rPr>
          <w:rFonts w:ascii="Bookman Old Style" w:hAnsi="Bookman Old Style" w:cs="Arial"/>
          <w:color w:val="000000"/>
        </w:rPr>
      </w:pPr>
      <w:r w:rsidRPr="001621F7">
        <w:rPr>
          <w:rFonts w:ascii="Bookman Old Style" w:hAnsi="Bookman Old Style" w:cs="Arial"/>
          <w:color w:val="000000"/>
        </w:rPr>
        <w:t xml:space="preserve">Se invita a las empresas, los usuarios, las autoridades y demás partes interesadas a presentar sus observaciones y sugerencias dentro del plazo establecido, mediante comunicaciones electrónicas dirigidas al </w:t>
      </w:r>
      <w:proofErr w:type="gramStart"/>
      <w:r w:rsidRPr="001621F7">
        <w:rPr>
          <w:rFonts w:ascii="Bookman Old Style" w:hAnsi="Bookman Old Style" w:cs="Arial"/>
          <w:color w:val="000000"/>
        </w:rPr>
        <w:t>Director Ejecutivo</w:t>
      </w:r>
      <w:proofErr w:type="gramEnd"/>
      <w:r w:rsidRPr="001621F7">
        <w:rPr>
          <w:rFonts w:ascii="Bookman Old Style" w:hAnsi="Bookman Old Style" w:cs="Arial"/>
          <w:color w:val="000000"/>
        </w:rPr>
        <w:t xml:space="preserve"> de la CREG, al correo electrónico </w:t>
      </w:r>
      <w:hyperlink r:id="rId12" w:history="1">
        <w:r w:rsidRPr="001621F7">
          <w:rPr>
            <w:rStyle w:val="Hipervnculo"/>
            <w:rFonts w:ascii="Bookman Old Style" w:hAnsi="Bookman Old Style" w:cs="Arial"/>
          </w:rPr>
          <w:t>creg@creg.gov.co</w:t>
        </w:r>
      </w:hyperlink>
      <w:r w:rsidRPr="001621F7">
        <w:rPr>
          <w:rFonts w:ascii="Bookman Old Style" w:hAnsi="Bookman Old Style" w:cs="Arial"/>
          <w:color w:val="000000"/>
        </w:rPr>
        <w:t xml:space="preserve">. </w:t>
      </w:r>
      <w:r w:rsidR="00723F19">
        <w:rPr>
          <w:rFonts w:ascii="Bookman Old Style" w:hAnsi="Bookman Old Style" w:cs="Arial"/>
          <w:color w:val="000000"/>
        </w:rPr>
        <w:t xml:space="preserve">utilizando </w:t>
      </w:r>
      <w:r w:rsidR="00CA5D09">
        <w:rPr>
          <w:rFonts w:ascii="Bookman Old Style" w:hAnsi="Bookman Old Style" w:cs="Arial"/>
          <w:color w:val="000000"/>
        </w:rPr>
        <w:t>el formato</w:t>
      </w:r>
      <w:r w:rsidR="00CA5D09" w:rsidRPr="00CA5D09">
        <w:rPr>
          <w:rFonts w:ascii="Bookman Old Style" w:hAnsi="Bookman Old Style" w:cs="Arial"/>
          <w:color w:val="000000"/>
        </w:rPr>
        <w:t xml:space="preserve"> Excel “comentarios_modificaciones_Ajustes_MercadoMayorista.xlsx”</w:t>
      </w:r>
      <w:r w:rsidR="00CA5D09">
        <w:rPr>
          <w:rFonts w:ascii="Bookman Old Style" w:hAnsi="Bookman Old Style" w:cs="Arial"/>
          <w:color w:val="000000"/>
        </w:rPr>
        <w:t xml:space="preserve">. </w:t>
      </w:r>
      <w:r w:rsidRPr="001621F7">
        <w:rPr>
          <w:rFonts w:ascii="Bookman Old Style" w:hAnsi="Bookman Old Style" w:cs="Arial"/>
          <w:color w:val="000000"/>
        </w:rPr>
        <w:t xml:space="preserve">Para lo anterior se informa que los ajustes y modificaciones correspondientes a la adición de texto a la resolución vigente </w:t>
      </w:r>
      <w:r w:rsidR="00635E65">
        <w:rPr>
          <w:rFonts w:ascii="Bookman Old Style" w:hAnsi="Bookman Old Style" w:cs="Arial"/>
          <w:color w:val="000000"/>
          <w:lang w:val="es-CO"/>
        </w:rPr>
        <w:t xml:space="preserve">CREG 186 de 2020 </w:t>
      </w:r>
      <w:r w:rsidRPr="001621F7">
        <w:rPr>
          <w:rFonts w:ascii="Bookman Old Style" w:hAnsi="Bookman Old Style" w:cs="Arial"/>
          <w:color w:val="000000"/>
        </w:rPr>
        <w:t>se resaltan en letra en negrilla.</w:t>
      </w:r>
    </w:p>
    <w:p w14:paraId="634B38FE" w14:textId="77777777" w:rsidR="00BD48A4" w:rsidRPr="001621F7" w:rsidRDefault="00BD48A4" w:rsidP="006D12AB">
      <w:pPr>
        <w:ind w:left="0"/>
        <w:jc w:val="both"/>
        <w:rPr>
          <w:rFonts w:ascii="Bookman Old Style" w:hAnsi="Bookman Old Style" w:cs="Arial"/>
          <w:color w:val="000000"/>
        </w:rPr>
      </w:pPr>
    </w:p>
    <w:p w14:paraId="795E6604" w14:textId="77777777" w:rsidR="001621F7" w:rsidRPr="001621F7" w:rsidRDefault="001621F7" w:rsidP="006D12AB">
      <w:pPr>
        <w:ind w:left="0"/>
        <w:jc w:val="both"/>
        <w:rPr>
          <w:rFonts w:ascii="Bookman Old Style" w:hAnsi="Bookman Old Style" w:cs="Arial"/>
          <w:color w:val="000000"/>
        </w:rPr>
      </w:pPr>
      <w:r w:rsidRPr="001621F7">
        <w:rPr>
          <w:rFonts w:ascii="Bookman Old Style" w:hAnsi="Bookman Old Style" w:cs="Arial"/>
          <w:color w:val="000000"/>
        </w:rPr>
        <w:t xml:space="preserve">Al </w:t>
      </w:r>
      <w:r w:rsidRPr="006D12AB">
        <w:rPr>
          <w:rFonts w:ascii="Bookman Old Style" w:hAnsi="Bookman Old Style" w:cs="Arial"/>
          <w:color w:val="000000" w:themeColor="text1"/>
          <w:lang w:eastAsia="es-CO"/>
        </w:rPr>
        <w:t>vencimiento</w:t>
      </w:r>
      <w:r w:rsidRPr="001621F7">
        <w:rPr>
          <w:rFonts w:ascii="Bookman Old Style" w:hAnsi="Bookman Old Style" w:cs="Arial"/>
          <w:color w:val="000000"/>
        </w:rPr>
        <w:t xml:space="preserve"> de la consulta pública, la CREG determinará si el proyecto debe ser informado a la Superintendencia de Industria y Comercio, para el ejercicio de la Abogacía de la Competencia, con fundamento en las disposiciones del Decreto 1074 de 2015, artículo 2.2.2.30.5.  </w:t>
      </w:r>
    </w:p>
    <w:p w14:paraId="36232166" w14:textId="7BB73E5B" w:rsidR="008160BF" w:rsidRDefault="008160BF" w:rsidP="008160BF">
      <w:pPr>
        <w:tabs>
          <w:tab w:val="left" w:pos="3418"/>
        </w:tabs>
        <w:ind w:left="0"/>
        <w:rPr>
          <w:rFonts w:ascii="Bookman Old Style" w:hAnsi="Bookman Old Style"/>
          <w:bCs/>
          <w:lang w:val="es-CO"/>
        </w:rPr>
      </w:pPr>
    </w:p>
    <w:p w14:paraId="2B2235F6" w14:textId="77777777" w:rsidR="001621F7" w:rsidRDefault="001621F7" w:rsidP="008160BF">
      <w:pPr>
        <w:tabs>
          <w:tab w:val="left" w:pos="3418"/>
        </w:tabs>
        <w:ind w:left="0"/>
        <w:rPr>
          <w:rFonts w:ascii="Bookman Old Style" w:hAnsi="Bookman Old Style"/>
          <w:bCs/>
          <w:lang w:val="es-CO"/>
        </w:rPr>
      </w:pPr>
    </w:p>
    <w:p w14:paraId="5A851FD9" w14:textId="4DE082E1" w:rsidR="00FB4454" w:rsidRPr="00FE1CCE" w:rsidRDefault="00FB4454" w:rsidP="00FB4454">
      <w:pPr>
        <w:ind w:left="0" w:right="51"/>
        <w:jc w:val="center"/>
        <w:rPr>
          <w:rFonts w:ascii="Bookman Old Style" w:hAnsi="Bookman Old Style"/>
        </w:rPr>
      </w:pPr>
      <w:bookmarkStart w:id="0" w:name="_Hlk87343618"/>
      <w:r w:rsidRPr="00FE1CCE">
        <w:rPr>
          <w:rFonts w:ascii="Bookman Old Style" w:hAnsi="Bookman Old Style" w:cs="Arial"/>
          <w:bCs/>
          <w:spacing w:val="-3"/>
        </w:rPr>
        <w:t xml:space="preserve">Por la cual </w:t>
      </w:r>
      <w:r w:rsidRPr="00FE1CCE">
        <w:rPr>
          <w:rFonts w:ascii="Bookman Old Style" w:hAnsi="Bookman Old Style"/>
          <w:lang w:val="es-CO"/>
        </w:rPr>
        <w:t xml:space="preserve">se reglamentan aspectos comerciales del </w:t>
      </w:r>
      <w:r w:rsidR="00B82E72">
        <w:rPr>
          <w:rFonts w:ascii="Bookman Old Style" w:hAnsi="Bookman Old Style"/>
          <w:lang w:val="es-CO"/>
        </w:rPr>
        <w:br/>
      </w:r>
      <w:r w:rsidRPr="00FE1CCE">
        <w:rPr>
          <w:rFonts w:ascii="Bookman Old Style" w:hAnsi="Bookman Old Style"/>
          <w:lang w:val="es-CO"/>
        </w:rPr>
        <w:t>suministro del Mercado Mayorista de gas natural</w:t>
      </w:r>
      <w:r w:rsidRPr="00FE1CCE">
        <w:rPr>
          <w:rFonts w:ascii="Bookman Old Style" w:hAnsi="Bookman Old Style" w:cs="Arial"/>
          <w:bCs/>
          <w:spacing w:val="-3"/>
        </w:rPr>
        <w:t xml:space="preserve"> </w:t>
      </w:r>
    </w:p>
    <w:bookmarkEnd w:id="0"/>
    <w:p w14:paraId="55C6EB2E" w14:textId="77777777" w:rsidR="006403DB" w:rsidRPr="00B82E72" w:rsidRDefault="006403DB" w:rsidP="00B82E72">
      <w:pPr>
        <w:ind w:left="0" w:right="51"/>
        <w:jc w:val="center"/>
        <w:rPr>
          <w:rFonts w:ascii="Bookman Old Style" w:hAnsi="Bookman Old Style"/>
          <w:b/>
        </w:rPr>
      </w:pPr>
    </w:p>
    <w:p w14:paraId="4B393826" w14:textId="77777777" w:rsidR="006403DB" w:rsidRPr="00AD5771" w:rsidRDefault="006403DB" w:rsidP="00B82E72">
      <w:pPr>
        <w:ind w:left="0" w:right="51"/>
        <w:jc w:val="center"/>
        <w:rPr>
          <w:rFonts w:ascii="Bookman Old Style" w:hAnsi="Bookman Old Style"/>
          <w:b/>
        </w:rPr>
      </w:pPr>
    </w:p>
    <w:p w14:paraId="5ADC4F3B" w14:textId="77777777" w:rsidR="0006302B" w:rsidRPr="00AD5771" w:rsidRDefault="0006302B" w:rsidP="00B82E72">
      <w:pPr>
        <w:ind w:left="0" w:right="51"/>
        <w:jc w:val="center"/>
        <w:rPr>
          <w:rFonts w:ascii="Bookman Old Style" w:hAnsi="Bookman Old Style"/>
          <w:b/>
        </w:rPr>
      </w:pPr>
      <w:r w:rsidRPr="00AD5771">
        <w:rPr>
          <w:rFonts w:ascii="Bookman Old Style" w:hAnsi="Bookman Old Style"/>
          <w:b/>
        </w:rPr>
        <w:t>LA COMISIÓN DE REGULACIÓN DE ENERGÍA Y GAS</w:t>
      </w:r>
    </w:p>
    <w:p w14:paraId="50D86D43" w14:textId="77777777" w:rsidR="0006302B" w:rsidRPr="00AD5771" w:rsidRDefault="0006302B" w:rsidP="00B82E72">
      <w:pPr>
        <w:ind w:left="0" w:right="51"/>
        <w:jc w:val="center"/>
        <w:rPr>
          <w:rFonts w:ascii="Bookman Old Style" w:hAnsi="Bookman Old Style"/>
        </w:rPr>
      </w:pPr>
    </w:p>
    <w:p w14:paraId="70FE98B6" w14:textId="7CB5C923" w:rsidR="0006302B" w:rsidRPr="00AD5771" w:rsidRDefault="0006302B" w:rsidP="00B82E72">
      <w:pPr>
        <w:pStyle w:val="Textoindependiente3"/>
        <w:ind w:left="0"/>
        <w:outlineLvl w:val="9"/>
        <w:rPr>
          <w:rFonts w:ascii="Bookman Old Style" w:hAnsi="Bookman Old Style"/>
          <w:b w:val="0"/>
        </w:rPr>
      </w:pPr>
      <w:r w:rsidRPr="00AD5771">
        <w:rPr>
          <w:rFonts w:ascii="Bookman Old Style" w:hAnsi="Bookman Old Style"/>
          <w:b w:val="0"/>
        </w:rPr>
        <w:t xml:space="preserve">En ejercicio de sus atribuciones constitucionales y legales, en especial las conferidas por la ley 142 </w:t>
      </w:r>
      <w:r w:rsidR="00952E1C">
        <w:rPr>
          <w:rFonts w:ascii="Bookman Old Style" w:hAnsi="Bookman Old Style"/>
          <w:b w:val="0"/>
          <w:lang w:val="es-CO"/>
        </w:rPr>
        <w:t xml:space="preserve">de </w:t>
      </w:r>
      <w:r w:rsidRPr="00AD5771">
        <w:rPr>
          <w:rFonts w:ascii="Bookman Old Style" w:hAnsi="Bookman Old Style"/>
          <w:b w:val="0"/>
        </w:rPr>
        <w:t>1994, y en desarrollo de los decretos 1524</w:t>
      </w:r>
      <w:r w:rsidR="00952E1C">
        <w:rPr>
          <w:rFonts w:ascii="Bookman Old Style" w:hAnsi="Bookman Old Style"/>
          <w:b w:val="0"/>
          <w:lang w:val="es-CO"/>
        </w:rPr>
        <w:t xml:space="preserve"> y</w:t>
      </w:r>
      <w:r w:rsidRPr="00AD5771">
        <w:rPr>
          <w:rFonts w:ascii="Bookman Old Style" w:hAnsi="Bookman Old Style"/>
          <w:b w:val="0"/>
        </w:rPr>
        <w:t xml:space="preserve"> 2253 de 1994, 1260 de 2013, 1073 de 2015; y,</w:t>
      </w:r>
    </w:p>
    <w:p w14:paraId="7235794C" w14:textId="77777777" w:rsidR="0006302B" w:rsidRPr="00B82E72" w:rsidRDefault="0006302B" w:rsidP="00B82E72">
      <w:pPr>
        <w:ind w:left="0" w:right="51"/>
        <w:jc w:val="center"/>
        <w:rPr>
          <w:rFonts w:ascii="Bookman Old Style" w:hAnsi="Bookman Old Style"/>
          <w:b/>
        </w:rPr>
      </w:pPr>
    </w:p>
    <w:p w14:paraId="087B4A21" w14:textId="77777777" w:rsidR="0006302B" w:rsidRPr="00AD5771" w:rsidRDefault="0006302B" w:rsidP="00B82E72">
      <w:pPr>
        <w:ind w:left="0" w:right="51"/>
        <w:jc w:val="center"/>
        <w:rPr>
          <w:rFonts w:ascii="Bookman Old Style" w:hAnsi="Bookman Old Style"/>
          <w:b/>
        </w:rPr>
      </w:pPr>
    </w:p>
    <w:p w14:paraId="223D18D7" w14:textId="77777777" w:rsidR="0006302B" w:rsidRPr="0013707D" w:rsidRDefault="0006302B" w:rsidP="00B82E72">
      <w:pPr>
        <w:ind w:left="0"/>
        <w:jc w:val="center"/>
        <w:rPr>
          <w:rFonts w:ascii="Bookman Old Style" w:hAnsi="Bookman Old Style" w:cs="Arial"/>
          <w:b/>
          <w:bCs/>
          <w:color w:val="000000" w:themeColor="text1"/>
          <w:lang w:val="es-CO" w:eastAsia="es-CO"/>
        </w:rPr>
      </w:pPr>
      <w:r w:rsidRPr="0013707D">
        <w:rPr>
          <w:rFonts w:ascii="Bookman Old Style" w:hAnsi="Bookman Old Style" w:cs="Arial"/>
          <w:b/>
          <w:bCs/>
          <w:color w:val="000000" w:themeColor="text1"/>
          <w:lang w:val="es-CO" w:eastAsia="es-CO"/>
        </w:rPr>
        <w:t>C O N S I D E R A N D O   Q U E:</w:t>
      </w:r>
    </w:p>
    <w:p w14:paraId="1CEEB7F7" w14:textId="77777777" w:rsidR="0006302B" w:rsidRDefault="0006302B" w:rsidP="00B82E72">
      <w:pPr>
        <w:ind w:left="0"/>
        <w:jc w:val="center"/>
        <w:rPr>
          <w:rFonts w:ascii="Bookman Old Style" w:hAnsi="Bookman Old Style" w:cs="Arial"/>
          <w:color w:val="000000" w:themeColor="text1"/>
          <w:lang w:val="es-CO" w:eastAsia="es-CO"/>
        </w:rPr>
      </w:pPr>
    </w:p>
    <w:p w14:paraId="0D1439A1" w14:textId="77777777" w:rsidR="0006302B" w:rsidRPr="00F766A9" w:rsidRDefault="0006302B" w:rsidP="0006302B">
      <w:pPr>
        <w:ind w:left="0"/>
        <w:jc w:val="both"/>
        <w:rPr>
          <w:rFonts w:ascii="Bookman Old Style" w:hAnsi="Bookman Old Style" w:cs="Arial"/>
          <w:bCs/>
          <w:color w:val="000000" w:themeColor="text1"/>
          <w:lang w:eastAsia="es-CO"/>
        </w:rPr>
      </w:pPr>
      <w:r w:rsidRPr="00F766A9">
        <w:rPr>
          <w:rFonts w:ascii="Bookman Old Style" w:hAnsi="Bookman Old Style" w:cs="Arial"/>
          <w:bCs/>
          <w:color w:val="000000" w:themeColor="text1"/>
          <w:lang w:eastAsia="es-CO"/>
        </w:rPr>
        <w:t xml:space="preserve">El inciso tercero del artículo 333 de la Constitución Política establece que </w:t>
      </w:r>
      <w:r w:rsidRPr="00952E1C">
        <w:rPr>
          <w:rFonts w:ascii="Bookman Old Style" w:hAnsi="Bookman Old Style" w:cs="Arial"/>
          <w:bCs/>
          <w:i/>
          <w:iCs/>
          <w:color w:val="000000" w:themeColor="text1"/>
          <w:lang w:eastAsia="es-CO"/>
        </w:rPr>
        <w:t>“(e)l Estado, por mandato de la ley, impedirá que se obstruya o se restrinja la libertad económica y evitará o controlará cualquier abuso que personas o empresas hagan de su posición dominante en el mercado nacional</w:t>
      </w:r>
      <w:r w:rsidRPr="00F766A9">
        <w:rPr>
          <w:rFonts w:ascii="Bookman Old Style" w:hAnsi="Bookman Old Style" w:cs="Arial"/>
          <w:bCs/>
          <w:color w:val="000000" w:themeColor="text1"/>
          <w:lang w:eastAsia="es-CO"/>
        </w:rPr>
        <w:t>”.</w:t>
      </w:r>
    </w:p>
    <w:p w14:paraId="5BF3801F" w14:textId="77777777" w:rsidR="0006302B" w:rsidRPr="00F766A9" w:rsidRDefault="0006302B" w:rsidP="0006302B">
      <w:pPr>
        <w:ind w:left="0"/>
        <w:jc w:val="both"/>
        <w:rPr>
          <w:rFonts w:ascii="Bookman Old Style" w:hAnsi="Bookman Old Style" w:cs="Arial"/>
          <w:color w:val="000000" w:themeColor="text1"/>
        </w:rPr>
      </w:pPr>
    </w:p>
    <w:p w14:paraId="27870CAA" w14:textId="77777777" w:rsidR="0006302B" w:rsidRPr="00F766A9" w:rsidRDefault="0006302B" w:rsidP="0006302B">
      <w:pPr>
        <w:ind w:left="0"/>
        <w:jc w:val="both"/>
        <w:rPr>
          <w:rFonts w:ascii="Bookman Old Style" w:hAnsi="Bookman Old Style" w:cs="Arial"/>
          <w:color w:val="000000" w:themeColor="text1"/>
          <w:lang w:val="es-ES_tradnl"/>
        </w:rPr>
      </w:pPr>
      <w:r w:rsidRPr="00F766A9">
        <w:rPr>
          <w:rFonts w:ascii="Bookman Old Style" w:hAnsi="Bookman Old Style" w:cs="Arial"/>
          <w:color w:val="000000" w:themeColor="text1"/>
          <w:lang w:val="es-ES_tradnl"/>
        </w:rPr>
        <w:t xml:space="preserve">El artículo 365 de la Constitución Política establece, a su vez, que </w:t>
      </w:r>
      <w:r w:rsidRPr="00952E1C">
        <w:rPr>
          <w:rFonts w:ascii="Bookman Old Style" w:hAnsi="Bookman Old Style" w:cs="Arial"/>
          <w:i/>
          <w:iCs/>
          <w:color w:val="000000" w:themeColor="text1"/>
          <w:lang w:val="es-ES_tradnl"/>
        </w:rPr>
        <w:t xml:space="preserve">“(l)os servicios públicos son inherentes a la finalidad social del Estado. Es deber del Estado </w:t>
      </w:r>
      <w:r w:rsidRPr="00952E1C">
        <w:rPr>
          <w:rFonts w:ascii="Bookman Old Style" w:hAnsi="Bookman Old Style" w:cs="Arial"/>
          <w:i/>
          <w:iCs/>
          <w:color w:val="000000" w:themeColor="text1"/>
          <w:lang w:val="es-ES_tradnl"/>
        </w:rPr>
        <w:lastRenderedPageBreak/>
        <w:t>asegurar su prestación eficiente a todos los habitantes del territorio nacional</w:t>
      </w:r>
      <w:r w:rsidRPr="00F766A9">
        <w:rPr>
          <w:rFonts w:ascii="Bookman Old Style" w:hAnsi="Bookman Old Style" w:cs="Arial"/>
          <w:color w:val="000000" w:themeColor="text1"/>
          <w:lang w:val="es-ES_tradnl"/>
        </w:rPr>
        <w:t>”, que los mismos estarán sometidos al régimen jurídico que fije la ley, y que “</w:t>
      </w:r>
      <w:r w:rsidRPr="00952E1C">
        <w:rPr>
          <w:rFonts w:ascii="Bookman Old Style" w:hAnsi="Bookman Old Style" w:cs="Arial"/>
          <w:i/>
          <w:iCs/>
          <w:color w:val="000000" w:themeColor="text1"/>
          <w:lang w:val="es-ES_tradnl"/>
        </w:rPr>
        <w:t>(e)n todo caso, el Estado mantendrá la regulación, el control y la vigilancia de dichos servicios</w:t>
      </w:r>
      <w:r w:rsidRPr="00F766A9">
        <w:rPr>
          <w:rFonts w:ascii="Bookman Old Style" w:hAnsi="Bookman Old Style" w:cs="Arial"/>
          <w:color w:val="000000" w:themeColor="text1"/>
          <w:lang w:val="es-ES_tradnl"/>
        </w:rPr>
        <w:t>”.</w:t>
      </w:r>
    </w:p>
    <w:p w14:paraId="02FDA2B7" w14:textId="77777777" w:rsidR="0006302B" w:rsidRPr="00F766A9" w:rsidRDefault="0006302B" w:rsidP="0006302B">
      <w:pPr>
        <w:ind w:left="0"/>
        <w:jc w:val="both"/>
        <w:rPr>
          <w:rFonts w:ascii="Bookman Old Style" w:hAnsi="Bookman Old Style" w:cs="Arial"/>
          <w:color w:val="000000" w:themeColor="text1"/>
        </w:rPr>
      </w:pPr>
    </w:p>
    <w:p w14:paraId="5757E87F" w14:textId="77777777" w:rsidR="0006302B" w:rsidRPr="00F766A9" w:rsidRDefault="0006302B" w:rsidP="0006302B">
      <w:pPr>
        <w:ind w:left="0"/>
        <w:jc w:val="both"/>
        <w:rPr>
          <w:rFonts w:ascii="Bookman Old Style" w:hAnsi="Bookman Old Style" w:cs="Calibri"/>
          <w:color w:val="000000" w:themeColor="text1"/>
        </w:rPr>
      </w:pPr>
      <w:r w:rsidRPr="00BB0741">
        <w:rPr>
          <w:rFonts w:ascii="Bookman Old Style" w:hAnsi="Bookman Old Style" w:cs="Calibri"/>
          <w:color w:val="000000" w:themeColor="text1"/>
        </w:rPr>
        <w:t>Los artículos 1, 2, 3 y 4 de la Ley 142 de 1994 establecen que los servicios públicos domiciliarios son esenciales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627F3BCF" w14:textId="77777777" w:rsidR="0006302B" w:rsidRPr="00F766A9" w:rsidRDefault="0006302B" w:rsidP="0006302B">
      <w:pPr>
        <w:ind w:left="0"/>
        <w:jc w:val="both"/>
        <w:rPr>
          <w:rFonts w:ascii="Bookman Old Style" w:hAnsi="Bookman Old Style" w:cs="Arial"/>
          <w:color w:val="000000" w:themeColor="text1"/>
        </w:rPr>
      </w:pPr>
    </w:p>
    <w:p w14:paraId="462665B7" w14:textId="323AD00F" w:rsidR="0006302B" w:rsidRPr="00F766A9" w:rsidRDefault="0006302B" w:rsidP="0006302B">
      <w:pPr>
        <w:ind w:left="0"/>
        <w:jc w:val="both"/>
        <w:rPr>
          <w:rFonts w:ascii="Bookman Old Style" w:hAnsi="Bookman Old Style" w:cs="Calibri"/>
          <w:color w:val="000000" w:themeColor="text1"/>
        </w:rPr>
      </w:pPr>
      <w:r w:rsidRPr="00F766A9">
        <w:rPr>
          <w:rFonts w:ascii="Bookman Old Style" w:hAnsi="Bookman Old Style" w:cs="Calibri"/>
          <w:color w:val="000000" w:themeColor="text1"/>
        </w:rPr>
        <w:t>El numeral 14.18 del artículo 14</w:t>
      </w:r>
      <w:r w:rsidR="00FC7DC5">
        <w:rPr>
          <w:rFonts w:ascii="Bookman Old Style" w:hAnsi="Bookman Old Style" w:cs="Calibri"/>
          <w:color w:val="000000" w:themeColor="text1"/>
        </w:rPr>
        <w:t>,</w:t>
      </w:r>
      <w:r w:rsidRPr="00F766A9">
        <w:rPr>
          <w:rFonts w:ascii="Bookman Old Style" w:hAnsi="Bookman Old Style" w:cs="Calibri"/>
          <w:color w:val="000000" w:themeColor="text1"/>
        </w:rPr>
        <w:t xml:space="preserve"> y el artículo 69</w:t>
      </w:r>
      <w:r w:rsidR="00FC7DC5">
        <w:rPr>
          <w:rFonts w:ascii="Bookman Old Style" w:hAnsi="Bookman Old Style" w:cs="Calibri"/>
          <w:color w:val="000000" w:themeColor="text1"/>
        </w:rPr>
        <w:t>,</w:t>
      </w:r>
      <w:r w:rsidRPr="00F766A9">
        <w:rPr>
          <w:rFonts w:ascii="Bookman Old Style" w:hAnsi="Bookman Old Style" w:cs="Calibri"/>
          <w:color w:val="000000" w:themeColor="text1"/>
        </w:rPr>
        <w:t xml:space="preserve"> ambos de la Ley 142 de 1994</w:t>
      </w:r>
      <w:r w:rsidR="00FC7DC5">
        <w:rPr>
          <w:rFonts w:ascii="Bookman Old Style" w:hAnsi="Bookman Old Style" w:cs="Calibri"/>
          <w:color w:val="000000" w:themeColor="text1"/>
        </w:rPr>
        <w:t>,</w:t>
      </w:r>
      <w:r w:rsidRPr="00F766A9">
        <w:rPr>
          <w:rFonts w:ascii="Bookman Old Style" w:hAnsi="Bookman Old Style" w:cs="Calibri"/>
          <w:color w:val="000000" w:themeColor="text1"/>
        </w:rPr>
        <w:t xml:space="preserve"> prevén a cargo de las comisiones de regulación la atribución de regular el servicio público respectivo con sujeción a la ley y a los decretos reglamentarios como una función de intervención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4A18FE70" w14:textId="77777777" w:rsidR="0006302B" w:rsidRPr="00F766A9" w:rsidRDefault="0006302B" w:rsidP="0006302B">
      <w:pPr>
        <w:ind w:left="0"/>
        <w:jc w:val="both"/>
        <w:rPr>
          <w:rFonts w:ascii="Bookman Old Style" w:hAnsi="Bookman Old Style" w:cs="Arial"/>
          <w:color w:val="000000" w:themeColor="text1"/>
        </w:rPr>
      </w:pPr>
    </w:p>
    <w:p w14:paraId="3BE5EA2D"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El artículo 34 de la Ley 142 de 1994 dispone que </w:t>
      </w:r>
      <w:r w:rsidRPr="00FC7DC5">
        <w:rPr>
          <w:rFonts w:ascii="Bookman Old Style" w:hAnsi="Bookman Old Style" w:cs="Arial"/>
          <w:i/>
          <w:iCs/>
          <w:color w:val="000000" w:themeColor="text1"/>
        </w:rPr>
        <w:t>“las empresas de servicios públicos, en todos sus actos y contratos, deben evitar privilegios y discriminaciones injustificadas, y abstenerse de toda práctica que tenga la capacidad, el propósito o el efecto de generar competencia desleal o de restringir en forma indebida la competencia</w:t>
      </w:r>
      <w:r w:rsidRPr="00F766A9">
        <w:rPr>
          <w:rFonts w:ascii="Bookman Old Style" w:hAnsi="Bookman Old Style" w:cs="Arial"/>
          <w:color w:val="000000" w:themeColor="text1"/>
        </w:rPr>
        <w:t>”, estableciendo para el efecto, entre otras, qué prácticas son consideradas como restricción indebida a la competencia, dentro de las que se destaca la establecida en su numeral 34.6, que estipula como una de ellas, “</w:t>
      </w:r>
      <w:r w:rsidRPr="00FC7DC5">
        <w:rPr>
          <w:rFonts w:ascii="Bookman Old Style" w:hAnsi="Bookman Old Style" w:cs="Arial"/>
          <w:i/>
          <w:iCs/>
          <w:color w:val="000000" w:themeColor="text1"/>
        </w:rPr>
        <w:t>el abuso de la posición dominante al que se refiere el artículo 133 de esta Ley, cualquiera que sea la otra parte contratante y en cualquier clase de contratos</w:t>
      </w:r>
      <w:r w:rsidRPr="00F766A9">
        <w:rPr>
          <w:rFonts w:ascii="Bookman Old Style" w:hAnsi="Bookman Old Style" w:cs="Arial"/>
          <w:color w:val="000000" w:themeColor="text1"/>
        </w:rPr>
        <w:t>”.</w:t>
      </w:r>
    </w:p>
    <w:p w14:paraId="7E5591DE" w14:textId="77777777" w:rsidR="0006302B" w:rsidRPr="00F766A9" w:rsidRDefault="0006302B" w:rsidP="0006302B">
      <w:pPr>
        <w:ind w:left="0"/>
        <w:jc w:val="both"/>
        <w:rPr>
          <w:rFonts w:ascii="Bookman Old Style" w:hAnsi="Bookman Old Style" w:cs="Arial"/>
          <w:color w:val="000000" w:themeColor="text1"/>
        </w:rPr>
      </w:pPr>
    </w:p>
    <w:p w14:paraId="33C9E377" w14:textId="154C97C2"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para que las operaciones de los monopolistas o de los competidores sean económicamente eficientes, no impliquen abuso de posición dominante y produzcan servicios de calidad.</w:t>
      </w:r>
    </w:p>
    <w:p w14:paraId="632822C5" w14:textId="77777777" w:rsidR="0006302B" w:rsidRPr="00F766A9" w:rsidRDefault="0006302B" w:rsidP="0006302B">
      <w:pPr>
        <w:ind w:left="0"/>
        <w:jc w:val="both"/>
        <w:rPr>
          <w:rFonts w:ascii="Bookman Old Style" w:hAnsi="Bookman Old Style" w:cs="Arial"/>
          <w:color w:val="000000" w:themeColor="text1"/>
        </w:rPr>
      </w:pPr>
    </w:p>
    <w:p w14:paraId="15CAD7E7" w14:textId="3666ABD1"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De acuerdo con lo establecido en el literal a) del numeral  74.1 del artículo 74 de la Ley 142 de 1994, es función de la Comisión de Regulación de Energía y Gas, CREG</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regular el ejercicio de las actividades de los sectores de energía y gas combustible para asegurar la disponibilidad de una oferta energética eficiente, propiciar la competencia en el sector de minas y energía, proponer la adopción </w:t>
      </w:r>
      <w:r w:rsidRPr="00F766A9">
        <w:rPr>
          <w:rFonts w:ascii="Bookman Old Style" w:hAnsi="Bookman Old Style" w:cs="Arial"/>
          <w:color w:val="000000" w:themeColor="text1"/>
        </w:rPr>
        <w:lastRenderedPageBreak/>
        <w:t>de las medidas necesarias para impedir abusos de posición dominante y buscar la liberación gradual de los mercados hacia la libre competencia.</w:t>
      </w:r>
    </w:p>
    <w:p w14:paraId="21C987D2" w14:textId="77777777" w:rsidR="0006302B" w:rsidRPr="00F766A9" w:rsidRDefault="0006302B" w:rsidP="0006302B">
      <w:pPr>
        <w:ind w:left="0"/>
        <w:jc w:val="both"/>
        <w:rPr>
          <w:rFonts w:ascii="Bookman Old Style" w:hAnsi="Bookman Old Style" w:cs="Arial"/>
          <w:color w:val="000000" w:themeColor="text1"/>
        </w:rPr>
      </w:pPr>
    </w:p>
    <w:p w14:paraId="4B6C4108"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literal b) del numeral 74.1 del artículo 74 de la Ley 142 de 1994 determina que corresponde a la CREG e</w:t>
      </w:r>
      <w:r w:rsidRPr="00F766A9">
        <w:rPr>
          <w:rFonts w:ascii="Bookman Old Style" w:hAnsi="Bookman Old Style"/>
          <w:color w:val="000000" w:themeColor="text1"/>
        </w:rPr>
        <w:t>xpedir regulaciones específicas para el uso eficiente del gas combustible por parte de los consumidores.</w:t>
      </w:r>
    </w:p>
    <w:p w14:paraId="13079D29" w14:textId="77777777" w:rsidR="0006302B" w:rsidRPr="00F766A9" w:rsidRDefault="0006302B" w:rsidP="0006302B">
      <w:pPr>
        <w:ind w:left="0"/>
        <w:jc w:val="both"/>
        <w:rPr>
          <w:rFonts w:ascii="Bookman Old Style" w:hAnsi="Bookman Old Style" w:cs="Arial"/>
          <w:color w:val="000000" w:themeColor="text1"/>
        </w:rPr>
      </w:pPr>
    </w:p>
    <w:p w14:paraId="2624EBCA" w14:textId="0E79DE69"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De acuerdo con lo establecido en el literal c) del numeral 74.1 del artículo 74 de la Ley 142 de 1994, es función de la CREG establecer el </w:t>
      </w:r>
      <w:r w:rsidR="00FC7DC5">
        <w:rPr>
          <w:rFonts w:ascii="Bookman Old Style" w:hAnsi="Bookman Old Style" w:cs="Arial"/>
          <w:color w:val="000000" w:themeColor="text1"/>
        </w:rPr>
        <w:t>R</w:t>
      </w:r>
      <w:r w:rsidRPr="00F766A9">
        <w:rPr>
          <w:rFonts w:ascii="Bookman Old Style" w:hAnsi="Bookman Old Style" w:cs="Arial"/>
          <w:color w:val="000000" w:themeColor="text1"/>
        </w:rPr>
        <w:t xml:space="preserve">eglamento de </w:t>
      </w:r>
      <w:r w:rsidR="00FC7DC5">
        <w:rPr>
          <w:rFonts w:ascii="Bookman Old Style" w:hAnsi="Bookman Old Style" w:cs="Arial"/>
          <w:color w:val="000000" w:themeColor="text1"/>
        </w:rPr>
        <w:t>O</w:t>
      </w:r>
      <w:r w:rsidRPr="00F766A9">
        <w:rPr>
          <w:rFonts w:ascii="Bookman Old Style" w:hAnsi="Bookman Old Style" w:cs="Arial"/>
          <w:color w:val="000000" w:themeColor="text1"/>
        </w:rPr>
        <w:t xml:space="preserve">peración para regular el funcionamiento del </w:t>
      </w:r>
      <w:r>
        <w:rPr>
          <w:rFonts w:ascii="Bookman Old Style" w:hAnsi="Bookman Old Style" w:cs="Arial"/>
          <w:color w:val="000000" w:themeColor="text1"/>
        </w:rPr>
        <w:t>Mercado Mayorista</w:t>
      </w:r>
      <w:r w:rsidRPr="00F766A9">
        <w:rPr>
          <w:rFonts w:ascii="Bookman Old Style" w:hAnsi="Bookman Old Style" w:cs="Arial"/>
          <w:color w:val="000000" w:themeColor="text1"/>
        </w:rPr>
        <w:t xml:space="preserve"> de gas combustible.</w:t>
      </w:r>
    </w:p>
    <w:p w14:paraId="71765934" w14:textId="77777777" w:rsidR="0006302B" w:rsidRDefault="0006302B" w:rsidP="0006302B">
      <w:pPr>
        <w:ind w:left="0"/>
        <w:jc w:val="both"/>
        <w:rPr>
          <w:rFonts w:ascii="Bookman Old Style" w:hAnsi="Bookman Old Style" w:cs="Arial"/>
          <w:color w:val="000000" w:themeColor="text1"/>
        </w:rPr>
      </w:pPr>
    </w:p>
    <w:p w14:paraId="64492244"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artículo 139 de la Ley 142 de 1994 establece que no es falla en la prestación del servicio la suspensión que haga la empresa para hacer reparaciones técnicas, mantenimientos periódicos y racionamientos por fuerza mayor, siempre que de ello se dé aviso amplio y oportuno.</w:t>
      </w:r>
    </w:p>
    <w:p w14:paraId="64B466A3" w14:textId="77777777" w:rsidR="0006302B" w:rsidRPr="00F766A9" w:rsidRDefault="0006302B" w:rsidP="0006302B">
      <w:pPr>
        <w:ind w:left="0"/>
        <w:jc w:val="both"/>
        <w:rPr>
          <w:rFonts w:ascii="Bookman Old Style" w:hAnsi="Bookman Old Style" w:cs="Arial"/>
          <w:color w:val="000000" w:themeColor="text1"/>
        </w:rPr>
      </w:pPr>
    </w:p>
    <w:p w14:paraId="77D2768B" w14:textId="77777777" w:rsidR="0006302B" w:rsidRPr="00F766A9" w:rsidRDefault="0006302B" w:rsidP="0006302B">
      <w:pPr>
        <w:ind w:left="0"/>
        <w:jc w:val="both"/>
        <w:rPr>
          <w:rFonts w:ascii="Bookman Old Style" w:hAnsi="Bookman Old Style" w:cs="Calibri"/>
          <w:color w:val="000000" w:themeColor="text1"/>
        </w:rPr>
      </w:pPr>
      <w:r w:rsidRPr="00F766A9">
        <w:rPr>
          <w:rFonts w:ascii="Bookman Old Style" w:hAnsi="Bookman Old Style" w:cs="Calibri"/>
          <w:color w:val="000000" w:themeColor="text1"/>
        </w:rPr>
        <w:t>La potestad normativa atribuida a las comisiones de regulación es una manifestación de la intervención del Estado en la economía expresada en la regulación</w:t>
      </w:r>
      <w:r>
        <w:rPr>
          <w:rFonts w:ascii="Bookman Old Style" w:hAnsi="Bookman Old Style" w:cs="Calibri"/>
          <w:color w:val="000000" w:themeColor="text1"/>
        </w:rPr>
        <w:t>,</w:t>
      </w:r>
      <w:r w:rsidRPr="00F766A9">
        <w:rPr>
          <w:rFonts w:ascii="Bookman Old Style" w:hAnsi="Bookman Old Style" w:cs="Calibri"/>
          <w:color w:val="000000" w:themeColor="text1"/>
        </w:rPr>
        <w:t xml:space="preserve"> con la finalidad de corregir las fallas del mercado, delimitar la libertad de empresa, preservar la competencia económica, mejorar la prestación de los servicios públicos y proteger los derechos de los usuarios.</w:t>
      </w:r>
    </w:p>
    <w:p w14:paraId="601AB1F3" w14:textId="77777777" w:rsidR="0006302B" w:rsidRPr="00F766A9" w:rsidRDefault="0006302B" w:rsidP="0006302B">
      <w:pPr>
        <w:ind w:left="0"/>
        <w:jc w:val="both"/>
        <w:rPr>
          <w:rFonts w:ascii="Bookman Old Style" w:hAnsi="Bookman Old Style" w:cs="Arial"/>
          <w:color w:val="000000" w:themeColor="text1"/>
        </w:rPr>
      </w:pPr>
    </w:p>
    <w:p w14:paraId="7B299010" w14:textId="2423D679"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La Ley 401 de 1997 dispuso</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en el parágrafo 2 de su artículo 11</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que “</w:t>
      </w:r>
      <w:r w:rsidRPr="00FC7DC5">
        <w:rPr>
          <w:rFonts w:ascii="Bookman Old Style" w:hAnsi="Bookman Old Style" w:cs="Arial"/>
          <w:i/>
          <w:iCs/>
          <w:color w:val="000000" w:themeColor="text1"/>
        </w:rPr>
        <w:t xml:space="preserve">las competencias previstas en la Ley </w:t>
      </w:r>
      <w:hyperlink r:id="rId13" w:anchor="1" w:tgtFrame="_blank" w:history="1">
        <w:r w:rsidRPr="00FC7DC5">
          <w:rPr>
            <w:rStyle w:val="Hipervnculo"/>
            <w:rFonts w:ascii="Bookman Old Style" w:hAnsi="Bookman Old Style" w:cs="Arial"/>
            <w:i/>
            <w:iCs/>
            <w:color w:val="000000" w:themeColor="text1"/>
            <w:u w:val="none"/>
          </w:rPr>
          <w:t>142</w:t>
        </w:r>
      </w:hyperlink>
      <w:r w:rsidRPr="00FC7DC5">
        <w:rPr>
          <w:rFonts w:ascii="Bookman Old Style" w:hAnsi="Bookman Old Style" w:cs="Arial"/>
          <w:i/>
          <w:iCs/>
          <w:color w:val="000000" w:themeColor="text1"/>
        </w:rPr>
        <w:t xml:space="preserve"> de 1994 en lo relacionado con el servicio público domiciliario, comercial e industrial de gas combustible, sólo se predicarán en los casos en que el gas se utilice efectivamente como combustible y no como materia prima de procesos industriales petroquímicos</w:t>
      </w:r>
      <w:r w:rsidRPr="00F766A9">
        <w:rPr>
          <w:rFonts w:ascii="Bookman Old Style" w:hAnsi="Bookman Old Style" w:cs="Arial"/>
          <w:color w:val="000000" w:themeColor="text1"/>
        </w:rPr>
        <w:t>”.</w:t>
      </w:r>
    </w:p>
    <w:p w14:paraId="0488BF63" w14:textId="77777777" w:rsidR="0006302B" w:rsidRPr="00F766A9" w:rsidRDefault="0006302B" w:rsidP="0006302B">
      <w:pPr>
        <w:ind w:left="0"/>
        <w:jc w:val="both"/>
        <w:rPr>
          <w:rFonts w:ascii="Bookman Old Style" w:hAnsi="Bookman Old Style" w:cs="Arial"/>
          <w:color w:val="000000" w:themeColor="text1"/>
        </w:rPr>
      </w:pPr>
    </w:p>
    <w:p w14:paraId="0D22D8F6"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Los Códigos Civil y de Comercio regulan los contratos de suministro, compraventa y transporte.</w:t>
      </w:r>
    </w:p>
    <w:p w14:paraId="0CEA1E5A" w14:textId="77777777" w:rsidR="0006302B" w:rsidRPr="00F766A9" w:rsidRDefault="0006302B" w:rsidP="0006302B">
      <w:pPr>
        <w:ind w:left="0"/>
        <w:jc w:val="both"/>
        <w:rPr>
          <w:rFonts w:ascii="Bookman Old Style" w:hAnsi="Bookman Old Style" w:cs="Arial"/>
          <w:color w:val="000000" w:themeColor="text1"/>
        </w:rPr>
      </w:pPr>
    </w:p>
    <w:p w14:paraId="0C9B1307" w14:textId="77777777" w:rsidR="0006302B" w:rsidRPr="00F766A9" w:rsidRDefault="0006302B" w:rsidP="0006302B">
      <w:pPr>
        <w:ind w:left="0"/>
        <w:jc w:val="both"/>
        <w:rPr>
          <w:rFonts w:ascii="Bookman Old Style" w:hAnsi="Bookman Old Style"/>
          <w:color w:val="000000" w:themeColor="text1"/>
        </w:rPr>
      </w:pPr>
      <w:r w:rsidRPr="00F766A9">
        <w:rPr>
          <w:rFonts w:ascii="Bookman Old Style" w:hAnsi="Bookman Old Style"/>
          <w:color w:val="000000" w:themeColor="text1"/>
        </w:rPr>
        <w:t>De acuerdo con lo establecido en el artículo 978 del Código de Comercio, cuando la prestación de un servicio público está regulada por el Gobierno, las condiciones de los contratos deberán sujetarse a los respectivos reglamentos.</w:t>
      </w:r>
    </w:p>
    <w:p w14:paraId="3435AD17" w14:textId="77777777" w:rsidR="0006302B" w:rsidRPr="00F766A9" w:rsidRDefault="0006302B" w:rsidP="0006302B">
      <w:pPr>
        <w:ind w:left="0"/>
        <w:jc w:val="both"/>
        <w:rPr>
          <w:rFonts w:ascii="Bookman Old Style" w:hAnsi="Bookman Old Style" w:cs="Arial"/>
          <w:color w:val="000000" w:themeColor="text1"/>
        </w:rPr>
      </w:pPr>
    </w:p>
    <w:p w14:paraId="0A3E1204" w14:textId="0DE79F6D"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artículo 992 del Código de Comercio establece los eventos en los que e</w:t>
      </w:r>
      <w:r w:rsidRPr="00F766A9">
        <w:rPr>
          <w:rFonts w:ascii="Bookman Old Style" w:hAnsi="Bookman Old Style"/>
          <w:color w:val="000000" w:themeColor="text1"/>
          <w:lang w:eastAsia="es-CO"/>
        </w:rPr>
        <w:t>l transportador puede exonerarse, total o parcialmente, de su responsabilidad por la inejecución</w:t>
      </w:r>
      <w:r w:rsidR="00FC7DC5">
        <w:rPr>
          <w:rFonts w:ascii="Bookman Old Style" w:hAnsi="Bookman Old Style"/>
          <w:color w:val="000000" w:themeColor="text1"/>
          <w:lang w:eastAsia="es-CO"/>
        </w:rPr>
        <w:t>,</w:t>
      </w:r>
      <w:r w:rsidRPr="00F766A9">
        <w:rPr>
          <w:rFonts w:ascii="Bookman Old Style" w:hAnsi="Bookman Old Style"/>
          <w:color w:val="000000" w:themeColor="text1"/>
          <w:lang w:eastAsia="es-CO"/>
        </w:rPr>
        <w:t xml:space="preserve"> o por la ejecución defectuosa o tardía de sus obligaciones.</w:t>
      </w:r>
    </w:p>
    <w:p w14:paraId="0A45E1F2" w14:textId="77777777" w:rsidR="0006302B" w:rsidRPr="00F766A9" w:rsidRDefault="0006302B" w:rsidP="0006302B">
      <w:pPr>
        <w:ind w:left="0"/>
        <w:jc w:val="both"/>
        <w:rPr>
          <w:rFonts w:ascii="Bookman Old Style" w:hAnsi="Bookman Old Style" w:cs="Arial"/>
          <w:color w:val="000000" w:themeColor="text1"/>
        </w:rPr>
      </w:pPr>
    </w:p>
    <w:p w14:paraId="35F9C71F"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Así mismo, el artículo 996 del mismo Código establece que</w:t>
      </w:r>
      <w:r>
        <w:rPr>
          <w:rFonts w:ascii="Bookman Old Style" w:hAnsi="Bookman Old Style" w:cs="Arial"/>
          <w:color w:val="000000" w:themeColor="text1"/>
        </w:rPr>
        <w:t>,</w:t>
      </w:r>
      <w:r w:rsidRPr="00F766A9">
        <w:rPr>
          <w:rFonts w:ascii="Bookman Old Style" w:hAnsi="Bookman Old Style" w:cs="Arial"/>
          <w:color w:val="000000" w:themeColor="text1"/>
        </w:rPr>
        <w:t xml:space="preserve"> </w:t>
      </w:r>
      <w:r w:rsidRPr="00F766A9">
        <w:rPr>
          <w:rFonts w:ascii="Bookman Old Style" w:hAnsi="Bookman Old Style"/>
          <w:color w:val="000000" w:themeColor="text1"/>
        </w:rPr>
        <w:t>cuando el transporte se pacte en forma de suministro</w:t>
      </w:r>
      <w:r>
        <w:rPr>
          <w:rFonts w:ascii="Bookman Old Style" w:hAnsi="Bookman Old Style"/>
          <w:color w:val="000000" w:themeColor="text1"/>
        </w:rPr>
        <w:t>,</w:t>
      </w:r>
      <w:r w:rsidRPr="00F766A9">
        <w:rPr>
          <w:rFonts w:ascii="Bookman Old Style" w:hAnsi="Bookman Old Style"/>
          <w:color w:val="000000" w:themeColor="text1"/>
        </w:rPr>
        <w:t xml:space="preserve"> se aplicarán las reglas relativas al contrato de suministro, entre ellas el artículo 978 referido.</w:t>
      </w:r>
    </w:p>
    <w:p w14:paraId="4A58D1AB" w14:textId="77777777" w:rsidR="0006302B" w:rsidRPr="00F766A9" w:rsidRDefault="0006302B" w:rsidP="0006302B">
      <w:pPr>
        <w:ind w:left="0"/>
        <w:jc w:val="both"/>
        <w:rPr>
          <w:rFonts w:ascii="Bookman Old Style" w:hAnsi="Bookman Old Style" w:cs="Arial"/>
          <w:color w:val="000000" w:themeColor="text1"/>
        </w:rPr>
      </w:pPr>
    </w:p>
    <w:p w14:paraId="4C706C0E" w14:textId="28DDB6CD"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Mediante la Resolución CREG 071 de 1999 y otras que la han modificado y complementado, la CREG adoptó el </w:t>
      </w:r>
      <w:r w:rsidR="00FC7DC5">
        <w:rPr>
          <w:rFonts w:ascii="Bookman Old Style" w:hAnsi="Bookman Old Style" w:cs="Arial"/>
          <w:color w:val="000000" w:themeColor="text1"/>
        </w:rPr>
        <w:t>R</w:t>
      </w:r>
      <w:r w:rsidRPr="00F766A9">
        <w:rPr>
          <w:rFonts w:ascii="Bookman Old Style" w:hAnsi="Bookman Old Style" w:cs="Arial"/>
          <w:color w:val="000000" w:themeColor="text1"/>
        </w:rPr>
        <w:t xml:space="preserve">eglamento </w:t>
      </w:r>
      <w:r w:rsidR="00FC7DC5">
        <w:rPr>
          <w:rFonts w:ascii="Bookman Old Style" w:hAnsi="Bookman Old Style" w:cs="Arial"/>
          <w:color w:val="000000" w:themeColor="text1"/>
        </w:rPr>
        <w:t>Ú</w:t>
      </w:r>
      <w:r w:rsidRPr="00F766A9">
        <w:rPr>
          <w:rFonts w:ascii="Bookman Old Style" w:hAnsi="Bookman Old Style" w:cs="Arial"/>
          <w:color w:val="000000" w:themeColor="text1"/>
        </w:rPr>
        <w:t xml:space="preserve">nico de </w:t>
      </w:r>
      <w:r w:rsidR="00FC7DC5">
        <w:rPr>
          <w:rFonts w:ascii="Bookman Old Style" w:hAnsi="Bookman Old Style" w:cs="Arial"/>
          <w:color w:val="000000" w:themeColor="text1"/>
        </w:rPr>
        <w:t>T</w:t>
      </w:r>
      <w:r w:rsidRPr="00F766A9">
        <w:rPr>
          <w:rFonts w:ascii="Bookman Old Style" w:hAnsi="Bookman Old Style" w:cs="Arial"/>
          <w:color w:val="000000" w:themeColor="text1"/>
        </w:rPr>
        <w:t>ransporte de gas natural, RUT.</w:t>
      </w:r>
    </w:p>
    <w:p w14:paraId="0FEE3440" w14:textId="77777777" w:rsidR="0006302B" w:rsidRPr="00F766A9" w:rsidRDefault="0006302B" w:rsidP="0006302B">
      <w:pPr>
        <w:ind w:left="0"/>
        <w:jc w:val="both"/>
        <w:rPr>
          <w:rFonts w:ascii="Bookman Old Style" w:hAnsi="Bookman Old Style" w:cs="Arial"/>
          <w:color w:val="000000" w:themeColor="text1"/>
        </w:rPr>
      </w:pPr>
    </w:p>
    <w:p w14:paraId="40572296"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En el numeral 1.3 del RUT se establece que </w:t>
      </w:r>
      <w:r w:rsidRPr="00FC7DC5">
        <w:rPr>
          <w:rFonts w:ascii="Bookman Old Style" w:hAnsi="Bookman Old Style" w:cs="Arial"/>
          <w:color w:val="000000" w:themeColor="text1"/>
        </w:rPr>
        <w:t>“</w:t>
      </w:r>
      <w:r w:rsidRPr="00FC7DC5">
        <w:rPr>
          <w:rFonts w:ascii="Bookman Old Style" w:hAnsi="Bookman Old Style" w:cs="Arial"/>
          <w:i/>
          <w:iCs/>
          <w:color w:val="000000" w:themeColor="text1"/>
        </w:rPr>
        <w:t xml:space="preserve">(l)a iniciativa para la reforma del Reglamento también será de la Comisión si ésta estima que debe adecuarse a la evolución de la industria, que contraría las regulaciones generales sobre el servicio, que va en detrimento de mayor concurrencia entre oferentes y </w:t>
      </w:r>
      <w:r w:rsidRPr="00FC7DC5">
        <w:rPr>
          <w:rFonts w:ascii="Bookman Old Style" w:hAnsi="Bookman Old Style" w:cs="Arial"/>
          <w:i/>
          <w:iCs/>
          <w:color w:val="000000" w:themeColor="text1"/>
        </w:rPr>
        <w:lastRenderedPageBreak/>
        <w:t>demandantes del suministro o del libre acceso y uso del servicio de transporte y otros servicios asociados</w:t>
      </w:r>
      <w:r w:rsidRPr="00F766A9">
        <w:rPr>
          <w:rFonts w:ascii="Bookman Old Style" w:hAnsi="Bookman Old Style" w:cs="Arial"/>
          <w:color w:val="000000" w:themeColor="text1"/>
        </w:rPr>
        <w:t>”.</w:t>
      </w:r>
    </w:p>
    <w:p w14:paraId="69D6BC31" w14:textId="77777777" w:rsidR="0006302B" w:rsidRPr="00F766A9" w:rsidRDefault="0006302B" w:rsidP="0006302B">
      <w:pPr>
        <w:ind w:left="0"/>
        <w:jc w:val="both"/>
        <w:rPr>
          <w:rFonts w:ascii="Bookman Old Style" w:hAnsi="Bookman Old Style" w:cs="Arial"/>
          <w:color w:val="000000" w:themeColor="text1"/>
        </w:rPr>
      </w:pPr>
    </w:p>
    <w:p w14:paraId="6DFE8C9F"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En el RUT se prevé la existencia del mercado secundario de suministro y de transporte de gas, el cual se basa en los sistemas de información implementados por cada transportador a través de los boletines electrónicos de operaciones.</w:t>
      </w:r>
    </w:p>
    <w:p w14:paraId="5965B462" w14:textId="77777777" w:rsidR="0006302B" w:rsidRPr="00F766A9" w:rsidRDefault="0006302B" w:rsidP="0006302B">
      <w:pPr>
        <w:ind w:left="0"/>
        <w:jc w:val="both"/>
        <w:rPr>
          <w:rFonts w:ascii="Bookman Old Style" w:hAnsi="Bookman Old Style" w:cs="Arial"/>
          <w:color w:val="000000" w:themeColor="text1"/>
        </w:rPr>
      </w:pPr>
    </w:p>
    <w:p w14:paraId="2DC600EC"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mercado secundario previsto en la regulación es físico, de tal forma que su desarrollo depende de las gestiones que realizan los propios participantes de mercado que cuentan con excedentes y aquellos que tienen desbalances en sus compras.</w:t>
      </w:r>
    </w:p>
    <w:p w14:paraId="201E381A" w14:textId="77777777" w:rsidR="0006302B" w:rsidRPr="00F766A9" w:rsidRDefault="0006302B" w:rsidP="0006302B">
      <w:pPr>
        <w:ind w:left="0"/>
        <w:jc w:val="both"/>
        <w:rPr>
          <w:rFonts w:ascii="Bookman Old Style" w:hAnsi="Bookman Old Style" w:cs="Arial"/>
          <w:color w:val="000000" w:themeColor="text1"/>
        </w:rPr>
      </w:pPr>
    </w:p>
    <w:p w14:paraId="425AF32B"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Se considera que, para un desarrollo óptimo del mercado secundario, en el cual se obtengan indicadores de mercado de corto y mediano plazo, se requiere: i) mejorar la disponibilidad de información; ii) mejorar la liquidez a través de la fijación de requisitos mínimos en los contratos; y iii) buscar que los participantes en este mercado estén sometidos a la regulación y a la inspección, vigilancia y control por parte de las entidades competentes.</w:t>
      </w:r>
    </w:p>
    <w:p w14:paraId="362F9B87" w14:textId="77777777" w:rsidR="0006302B" w:rsidRPr="00F766A9" w:rsidRDefault="0006302B" w:rsidP="0006302B">
      <w:pPr>
        <w:ind w:left="0"/>
        <w:jc w:val="both"/>
        <w:rPr>
          <w:rFonts w:ascii="Bookman Old Style" w:hAnsi="Bookman Old Style" w:cs="Arial"/>
          <w:color w:val="000000" w:themeColor="text1"/>
        </w:rPr>
      </w:pPr>
    </w:p>
    <w:p w14:paraId="5B6E5AE4" w14:textId="5CBA9A48"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Las plantas de generación de energía a base de gas están sujetas a la posibilidad de redespachos en el sector eléctrico, lo cual implica </w:t>
      </w:r>
      <w:proofErr w:type="spellStart"/>
      <w:r w:rsidRPr="00F766A9">
        <w:rPr>
          <w:rFonts w:ascii="Bookman Old Style" w:hAnsi="Bookman Old Style" w:cs="Arial"/>
          <w:color w:val="000000" w:themeColor="text1"/>
        </w:rPr>
        <w:t>renominaciones</w:t>
      </w:r>
      <w:proofErr w:type="spellEnd"/>
      <w:r w:rsidRPr="00F766A9">
        <w:rPr>
          <w:rFonts w:ascii="Bookman Old Style" w:hAnsi="Bookman Old Style" w:cs="Arial"/>
          <w:color w:val="000000" w:themeColor="text1"/>
        </w:rPr>
        <w:t>, tanto de suministro como de transporte de gas natural</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durante el día de gas.</w:t>
      </w:r>
    </w:p>
    <w:p w14:paraId="33A1B64B" w14:textId="77777777" w:rsidR="0006302B" w:rsidRPr="00F766A9" w:rsidRDefault="0006302B" w:rsidP="0006302B">
      <w:pPr>
        <w:ind w:left="0"/>
        <w:jc w:val="both"/>
        <w:rPr>
          <w:rFonts w:ascii="Bookman Old Style" w:hAnsi="Bookman Old Style" w:cs="Arial"/>
          <w:color w:val="000000" w:themeColor="text1"/>
        </w:rPr>
      </w:pPr>
    </w:p>
    <w:p w14:paraId="5DDB3070" w14:textId="77777777" w:rsidR="0006302B"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En el RUT se prevé que las variaciones de salida, causadas por los participantes del mercado, serán objeto de compensaciones. </w:t>
      </w:r>
    </w:p>
    <w:p w14:paraId="3CDE26AF" w14:textId="77777777" w:rsidR="0006302B" w:rsidRDefault="0006302B" w:rsidP="0006302B">
      <w:pPr>
        <w:ind w:left="0"/>
        <w:jc w:val="both"/>
        <w:rPr>
          <w:rFonts w:ascii="Bookman Old Style" w:hAnsi="Bookman Old Style" w:cs="Arial"/>
          <w:color w:val="000000" w:themeColor="text1"/>
        </w:rPr>
      </w:pPr>
    </w:p>
    <w:p w14:paraId="317ED3ED" w14:textId="2EE9ED8C" w:rsidR="0006302B" w:rsidRPr="00F67621" w:rsidRDefault="00FC7DC5" w:rsidP="0006302B">
      <w:pPr>
        <w:ind w:left="0"/>
        <w:jc w:val="both"/>
        <w:rPr>
          <w:rFonts w:ascii="Bookman Old Style" w:hAnsi="Bookman Old Style" w:cs="Arial"/>
          <w:b/>
          <w:bCs/>
          <w:color w:val="000000" w:themeColor="text1"/>
        </w:rPr>
      </w:pPr>
      <w:r>
        <w:rPr>
          <w:rFonts w:ascii="Bookman Old Style" w:hAnsi="Bookman Old Style" w:cs="Arial"/>
          <w:b/>
          <w:bCs/>
          <w:color w:val="000000" w:themeColor="text1"/>
        </w:rPr>
        <w:t>L</w:t>
      </w:r>
      <w:r w:rsidR="0006302B">
        <w:rPr>
          <w:rFonts w:ascii="Bookman Old Style" w:hAnsi="Bookman Old Style" w:cs="Arial"/>
          <w:b/>
          <w:bCs/>
          <w:color w:val="000000" w:themeColor="text1"/>
        </w:rPr>
        <w:t xml:space="preserve">a </w:t>
      </w:r>
      <w:r w:rsidR="0006302B" w:rsidRPr="00F67621">
        <w:rPr>
          <w:rFonts w:ascii="Bookman Old Style" w:hAnsi="Bookman Old Style" w:cs="Arial"/>
          <w:b/>
          <w:bCs/>
          <w:color w:val="000000" w:themeColor="text1"/>
        </w:rPr>
        <w:t xml:space="preserve">Resolución </w:t>
      </w:r>
      <w:r w:rsidR="0006302B">
        <w:rPr>
          <w:rFonts w:ascii="Bookman Old Style" w:hAnsi="Bookman Old Style" w:cs="Arial"/>
          <w:b/>
          <w:bCs/>
          <w:color w:val="000000" w:themeColor="text1"/>
        </w:rPr>
        <w:t xml:space="preserve">del Ministerio de Minas y Energía </w:t>
      </w:r>
      <w:r w:rsidR="0006302B" w:rsidRPr="00F67621">
        <w:rPr>
          <w:rFonts w:ascii="Bookman Old Style" w:hAnsi="Bookman Old Style" w:cs="Arial"/>
          <w:b/>
          <w:bCs/>
          <w:color w:val="000000" w:themeColor="text1"/>
        </w:rPr>
        <w:t>80296 de 2001</w:t>
      </w:r>
      <w:r>
        <w:rPr>
          <w:rFonts w:ascii="Bookman Old Style" w:hAnsi="Bookman Old Style" w:cs="Arial"/>
          <w:b/>
          <w:bCs/>
          <w:color w:val="000000" w:themeColor="text1"/>
        </w:rPr>
        <w:t xml:space="preserve"> </w:t>
      </w:r>
      <w:r w:rsidR="0006302B" w:rsidRPr="00F67621">
        <w:rPr>
          <w:rFonts w:ascii="Bookman Old Style" w:hAnsi="Bookman Old Style" w:cs="Arial"/>
          <w:b/>
          <w:bCs/>
          <w:color w:val="000000" w:themeColor="text1"/>
        </w:rPr>
        <w:t>dispuso</w:t>
      </w:r>
      <w:r>
        <w:rPr>
          <w:rFonts w:ascii="Bookman Old Style" w:hAnsi="Bookman Old Style" w:cs="Arial"/>
          <w:b/>
          <w:bCs/>
          <w:color w:val="000000" w:themeColor="text1"/>
        </w:rPr>
        <w:t>,</w:t>
      </w:r>
      <w:r w:rsidR="0006302B">
        <w:rPr>
          <w:rFonts w:ascii="Bookman Old Style" w:hAnsi="Bookman Old Style" w:cs="Arial"/>
          <w:b/>
          <w:bCs/>
          <w:color w:val="000000" w:themeColor="text1"/>
        </w:rPr>
        <w:t xml:space="preserve"> en relación con el </w:t>
      </w:r>
      <w:r w:rsidR="000A6224">
        <w:rPr>
          <w:rFonts w:ascii="Bookman Old Style" w:hAnsi="Bookman Old Style" w:cs="Arial"/>
          <w:b/>
          <w:bCs/>
          <w:color w:val="000000" w:themeColor="text1"/>
        </w:rPr>
        <w:t xml:space="preserve">Gas Natural Comprimido Vehicular - </w:t>
      </w:r>
      <w:r w:rsidR="0006302B">
        <w:rPr>
          <w:rFonts w:ascii="Bookman Old Style" w:hAnsi="Bookman Old Style" w:cs="Arial"/>
          <w:b/>
          <w:bCs/>
          <w:color w:val="000000" w:themeColor="text1"/>
        </w:rPr>
        <w:t>GNVC</w:t>
      </w:r>
      <w:r>
        <w:rPr>
          <w:rFonts w:ascii="Bookman Old Style" w:hAnsi="Bookman Old Style" w:cs="Arial"/>
          <w:b/>
          <w:bCs/>
          <w:color w:val="000000" w:themeColor="text1"/>
        </w:rPr>
        <w:t>,</w:t>
      </w:r>
      <w:r w:rsidR="0006302B">
        <w:rPr>
          <w:rFonts w:ascii="Bookman Old Style" w:hAnsi="Bookman Old Style" w:cs="Arial"/>
          <w:b/>
          <w:bCs/>
          <w:color w:val="000000" w:themeColor="text1"/>
        </w:rPr>
        <w:t xml:space="preserve"> en su </w:t>
      </w:r>
      <w:r w:rsidR="009C02E5">
        <w:rPr>
          <w:rFonts w:ascii="Bookman Old Style" w:hAnsi="Bookman Old Style" w:cs="Arial"/>
          <w:b/>
          <w:bCs/>
          <w:color w:val="000000" w:themeColor="text1"/>
        </w:rPr>
        <w:t>a</w:t>
      </w:r>
      <w:r w:rsidR="0006302B">
        <w:rPr>
          <w:rFonts w:ascii="Bookman Old Style" w:hAnsi="Bookman Old Style" w:cs="Arial"/>
          <w:b/>
          <w:bCs/>
          <w:color w:val="000000" w:themeColor="text1"/>
        </w:rPr>
        <w:t>rtículo 1 lo siguiente:</w:t>
      </w:r>
      <w:r w:rsidR="0006302B" w:rsidRPr="00F67621">
        <w:rPr>
          <w:rFonts w:ascii="Bookman Old Style" w:hAnsi="Bookman Old Style" w:cs="Arial"/>
          <w:b/>
          <w:bCs/>
          <w:color w:val="000000" w:themeColor="text1"/>
        </w:rPr>
        <w:t xml:space="preserve"> </w:t>
      </w:r>
      <w:r w:rsidR="0006302B" w:rsidRPr="00FC7DC5">
        <w:rPr>
          <w:rFonts w:ascii="Bookman Old Style" w:hAnsi="Bookman Old Style" w:cs="Arial"/>
          <w:b/>
          <w:bCs/>
          <w:i/>
          <w:iCs/>
          <w:color w:val="000000" w:themeColor="text1"/>
        </w:rPr>
        <w:t>“(l)os precios a los usuarios finales del GNCV se determinarán libremente. No obstante, el Ministerio de Minas y Energía retomará el control de precios cuando se presenten abusos con los consumidores, indebida discriminación con otros comercializadores de GNCV y, en general, prácticas contrarias a la libre competencia entre todos los oferentes del servicio, de acuerdo con concepto previo de la Superintendencia de Industria y Comercio. Las empresas distribuidoras y transportadoras de gas natural que a su vez sean comercializadoras de GNCV, ya sea por sí mismas o por intermedio de compañías adscritas o vinculadas, ofrecerán a los comercializadores independientes de GNCV las mismas condiciones que ofrecen en relación con el cargo por distribución y transporte, para la comercialización propia del GNCV y se sujetarán a las reglas que promueven la libre competencia.</w:t>
      </w:r>
      <w:r w:rsidR="0006302B" w:rsidRPr="00F67621">
        <w:rPr>
          <w:rFonts w:ascii="Bookman Old Style" w:hAnsi="Bookman Old Style" w:cs="Arial"/>
          <w:b/>
          <w:bCs/>
          <w:color w:val="000000" w:themeColor="text1"/>
        </w:rPr>
        <w:t>”</w:t>
      </w:r>
    </w:p>
    <w:p w14:paraId="69950875" w14:textId="77777777" w:rsidR="0006302B" w:rsidRPr="00F766A9" w:rsidRDefault="0006302B" w:rsidP="0006302B">
      <w:pPr>
        <w:ind w:left="0"/>
        <w:jc w:val="both"/>
        <w:rPr>
          <w:rFonts w:ascii="Bookman Old Style" w:hAnsi="Bookman Old Style" w:cs="Arial"/>
          <w:color w:val="000000" w:themeColor="text1"/>
        </w:rPr>
      </w:pPr>
    </w:p>
    <w:p w14:paraId="157256C9" w14:textId="3BD9F7DE" w:rsidR="0006302B" w:rsidRPr="00911132" w:rsidRDefault="0006302B" w:rsidP="0006302B">
      <w:pPr>
        <w:autoSpaceDE w:val="0"/>
        <w:autoSpaceDN w:val="0"/>
        <w:adjustRightInd w:val="0"/>
        <w:ind w:left="0"/>
        <w:jc w:val="both"/>
        <w:rPr>
          <w:rFonts w:ascii="Bookman Old Style" w:hAnsi="Bookman Old Style" w:cs="Arial"/>
          <w:b/>
          <w:bCs/>
          <w:color w:val="000000" w:themeColor="text1"/>
        </w:rPr>
      </w:pPr>
      <w:r w:rsidRPr="00911132">
        <w:rPr>
          <w:rFonts w:ascii="Bookman Old Style" w:hAnsi="Bookman Old Style" w:cs="Arial"/>
          <w:b/>
          <w:bCs/>
          <w:color w:val="000000" w:themeColor="text1"/>
        </w:rPr>
        <w:t xml:space="preserve">De acuerdo con lo dispuesto en el </w:t>
      </w:r>
      <w:r w:rsidR="001F683B">
        <w:rPr>
          <w:rFonts w:ascii="Bookman Old Style" w:hAnsi="Bookman Old Style" w:cs="Arial"/>
          <w:b/>
          <w:bCs/>
          <w:color w:val="000000" w:themeColor="text1"/>
        </w:rPr>
        <w:t>a</w:t>
      </w:r>
      <w:r w:rsidRPr="00911132">
        <w:rPr>
          <w:rFonts w:ascii="Bookman Old Style" w:hAnsi="Bookman Old Style" w:cs="Arial"/>
          <w:b/>
          <w:bCs/>
          <w:color w:val="000000" w:themeColor="text1"/>
        </w:rPr>
        <w:t xml:space="preserve">rtículo 5 del Decreto 2100 de 2011, compilado por el Decreto 1073 de 2015, los Agentes del mercado que atiendan la Demanda Esencial tienen la obligación de contratar el suministro y el transporte de gas natural para la atención de dicha demanda, según corresponda, con Agentes que cuenten con Respaldo Físico. Las cantidades de gas declaradas en virtud del artículo 8 del decreto 2100 de 2011 compilado por el Decreto 1073 de 2015, el cual se refiere a </w:t>
      </w:r>
      <w:r w:rsidRPr="00911132">
        <w:rPr>
          <w:rFonts w:ascii="Bookman Old Style" w:hAnsi="Bookman Old Style" w:cs="Arial"/>
          <w:b/>
          <w:bCs/>
          <w:i/>
          <w:iCs/>
          <w:color w:val="000000" w:themeColor="text1"/>
        </w:rPr>
        <w:t>Declaración de Producción</w:t>
      </w:r>
      <w:r w:rsidRPr="00911132">
        <w:rPr>
          <w:rFonts w:ascii="Bookman Old Style" w:hAnsi="Bookman Old Style" w:cs="Arial"/>
          <w:b/>
          <w:bCs/>
          <w:color w:val="000000" w:themeColor="text1"/>
        </w:rPr>
        <w:t xml:space="preserve"> y que se destinen para la atención de la demanda de gas natural para las refinerías</w:t>
      </w:r>
      <w:r w:rsidR="00FC7DC5">
        <w:rPr>
          <w:rFonts w:ascii="Bookman Old Style" w:hAnsi="Bookman Old Style" w:cs="Arial"/>
          <w:b/>
          <w:bCs/>
          <w:color w:val="000000" w:themeColor="text1"/>
        </w:rPr>
        <w:t>,</w:t>
      </w:r>
      <w:r w:rsidRPr="00911132">
        <w:rPr>
          <w:rFonts w:ascii="Bookman Old Style" w:hAnsi="Bookman Old Style" w:cs="Arial"/>
          <w:b/>
          <w:bCs/>
          <w:color w:val="000000" w:themeColor="text1"/>
        </w:rPr>
        <w:t xml:space="preserve"> tendrán el tratamiento de contratadas para los efectos de</w:t>
      </w:r>
      <w:r>
        <w:rPr>
          <w:rFonts w:ascii="Bookman Old Style" w:hAnsi="Bookman Old Style" w:cs="Arial"/>
          <w:b/>
          <w:bCs/>
          <w:color w:val="000000" w:themeColor="text1"/>
        </w:rPr>
        <w:t>l mencionado a</w:t>
      </w:r>
      <w:r w:rsidRPr="00911132">
        <w:rPr>
          <w:rFonts w:ascii="Bookman Old Style" w:hAnsi="Bookman Old Style" w:cs="Arial"/>
          <w:b/>
          <w:bCs/>
          <w:color w:val="000000" w:themeColor="text1"/>
        </w:rPr>
        <w:t>rtículo.</w:t>
      </w:r>
    </w:p>
    <w:p w14:paraId="3EC48DD1" w14:textId="77777777" w:rsidR="0006302B" w:rsidRDefault="0006302B" w:rsidP="0006302B">
      <w:pPr>
        <w:ind w:left="0"/>
        <w:jc w:val="both"/>
        <w:rPr>
          <w:rFonts w:ascii="Bookman Old Style" w:hAnsi="Bookman Old Style" w:cs="Arial"/>
          <w:color w:val="000000" w:themeColor="text1"/>
        </w:rPr>
      </w:pPr>
    </w:p>
    <w:p w14:paraId="158170FB"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De conformidad con lo dispuesto en el parágrafo 2 del artículo 5 del Decreto 2100 de 2011 compilado por el Decreto 1073 de 2015, corresponde a la CREG, siguiendo los lineamientos establecidos en el artículo 13 de dicho Decreto, definir los mecanismos que permitan a quienes atiendan la demanda esencial tener acceso a los contratos de suministro y/o transporte de gas natural a que se refiere dicho artículo.</w:t>
      </w:r>
    </w:p>
    <w:p w14:paraId="21D80FCC" w14:textId="77777777" w:rsidR="0006302B" w:rsidRPr="00F766A9" w:rsidRDefault="0006302B" w:rsidP="0006302B">
      <w:pPr>
        <w:ind w:left="0"/>
        <w:jc w:val="both"/>
        <w:rPr>
          <w:rFonts w:ascii="Bookman Old Style" w:hAnsi="Bookman Old Style" w:cs="Arial"/>
          <w:color w:val="000000" w:themeColor="text1"/>
        </w:rPr>
      </w:pPr>
    </w:p>
    <w:p w14:paraId="78E2CAF0"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Decreto 2100 de 2011 compilado por el Decreto 1073 de 2015, en su artículo 11, dispone que la CREG establecerá los mecanismos y procedimientos de comercialización de la producción total disponible para la venta, PTDV, y de las cantidades importadas disponibles para la venta, CIDV, conforme a los lineamientos establecidos en dicha norma.</w:t>
      </w:r>
    </w:p>
    <w:p w14:paraId="2F90647B" w14:textId="77777777" w:rsidR="0006302B" w:rsidRPr="00F766A9" w:rsidRDefault="0006302B" w:rsidP="0006302B">
      <w:pPr>
        <w:ind w:left="0"/>
        <w:jc w:val="both"/>
        <w:rPr>
          <w:rFonts w:ascii="Bookman Old Style" w:hAnsi="Bookman Old Style" w:cs="Arial"/>
          <w:color w:val="000000" w:themeColor="text1"/>
        </w:rPr>
      </w:pPr>
    </w:p>
    <w:p w14:paraId="516B8FEF" w14:textId="60F72E01"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artículo 12 del Decreto 2100 de 2011 compilado por el Decreto 1073 de 2015</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establece las excepciones a los mecanismos y procedimientos de comercialización de la PTDV.</w:t>
      </w:r>
    </w:p>
    <w:p w14:paraId="267DA815" w14:textId="77777777" w:rsidR="0006302B" w:rsidRPr="00F766A9" w:rsidRDefault="0006302B" w:rsidP="0006302B">
      <w:pPr>
        <w:ind w:left="0"/>
        <w:jc w:val="both"/>
        <w:rPr>
          <w:rFonts w:ascii="Bookman Old Style" w:hAnsi="Bookman Old Style" w:cs="Arial"/>
          <w:color w:val="000000" w:themeColor="text1"/>
        </w:rPr>
      </w:pPr>
    </w:p>
    <w:p w14:paraId="3DA5E274" w14:textId="05ACC9C3"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En el artículo 13 del Decreto 2100 de 2011 compilado por el Decreto 1073 de 2015</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se establecen los lineamientos para la expedición de los mecanismos y procedimientos de comercialización, determinándose que la CREG “</w:t>
      </w:r>
      <w:r w:rsidRPr="00FC7DC5">
        <w:rPr>
          <w:rFonts w:ascii="Bookman Old Style" w:hAnsi="Bookman Old Style" w:cs="Arial"/>
          <w:i/>
          <w:iCs/>
          <w:color w:val="000000" w:themeColor="text1"/>
        </w:rPr>
        <w:t>deberá promover la competencia, propiciar la formación de precios eficientes a través de procesos que reflejen el costo de oportunidad del recurso, considerando las diferentes variables que inciden en su formación, así como mitigar los efectos de la concentración del mercado y generar información oportuna y suficiente para los agentes</w:t>
      </w:r>
      <w:r w:rsidRPr="00F766A9">
        <w:rPr>
          <w:rFonts w:ascii="Bookman Old Style" w:hAnsi="Bookman Old Style" w:cs="Arial"/>
          <w:color w:val="000000" w:themeColor="text1"/>
        </w:rPr>
        <w:t xml:space="preserve">”. </w:t>
      </w:r>
    </w:p>
    <w:p w14:paraId="1FED5828" w14:textId="77777777" w:rsidR="0006302B" w:rsidRPr="00F766A9" w:rsidRDefault="0006302B" w:rsidP="0006302B">
      <w:pPr>
        <w:ind w:left="0"/>
        <w:jc w:val="both"/>
        <w:rPr>
          <w:rFonts w:ascii="Bookman Old Style" w:hAnsi="Bookman Old Style" w:cs="Arial"/>
          <w:color w:val="000000" w:themeColor="text1"/>
        </w:rPr>
      </w:pPr>
    </w:p>
    <w:p w14:paraId="6F5BAC1A" w14:textId="5A8F2F89"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artículo 14 del Decreto 2100 de 2011 compilado por el Decreto 1073 de 2015</w:t>
      </w:r>
      <w:r w:rsidR="00FC7DC5">
        <w:rPr>
          <w:rFonts w:ascii="Bookman Old Style" w:hAnsi="Bookman Old Style" w:cs="Arial"/>
          <w:color w:val="000000" w:themeColor="text1"/>
        </w:rPr>
        <w:t>,</w:t>
      </w:r>
      <w:r w:rsidRPr="00F766A9">
        <w:rPr>
          <w:rFonts w:ascii="Bookman Old Style" w:hAnsi="Bookman Old Style" w:cs="Arial"/>
          <w:color w:val="000000" w:themeColor="text1"/>
        </w:rPr>
        <w:t xml:space="preserve"> establece que “</w:t>
      </w:r>
      <w:r w:rsidRPr="00FC7DC5">
        <w:rPr>
          <w:rFonts w:ascii="Bookman Old Style" w:hAnsi="Bookman Old Style" w:cs="Arial"/>
          <w:i/>
          <w:iCs/>
          <w:color w:val="000000" w:themeColor="text1"/>
        </w:rPr>
        <w:t>con el fin de propender por el equilibrio de las relaciones contractuales entre los Agentes Operacionales, la CREG establecerá los requisitos mínimos para cada una de las modalidades de contratos previstos en la regulación</w:t>
      </w:r>
      <w:r w:rsidRPr="00F766A9">
        <w:rPr>
          <w:rFonts w:ascii="Bookman Old Style" w:hAnsi="Bookman Old Style" w:cs="Arial"/>
          <w:color w:val="000000" w:themeColor="text1"/>
        </w:rPr>
        <w:t>”. Así mismo, determina que los contratos de suministro y/o transporte, que a la fecha de expedición de dicho Decreto se encuentren en ejecución, no serán modificados por efectos de esta disposición, salvo que se prorrogue su vigencia, caso en el cual la prórroga deberá sujetarse a las condiciones mínimas que establezca la CREG.</w:t>
      </w:r>
    </w:p>
    <w:p w14:paraId="2AE65CC7" w14:textId="77777777" w:rsidR="0006302B" w:rsidRPr="00F766A9" w:rsidRDefault="0006302B" w:rsidP="0006302B">
      <w:pPr>
        <w:ind w:left="0"/>
        <w:jc w:val="both"/>
        <w:rPr>
          <w:rFonts w:ascii="Bookman Old Style" w:hAnsi="Bookman Old Style" w:cs="Arial"/>
          <w:color w:val="000000" w:themeColor="text1"/>
        </w:rPr>
      </w:pPr>
    </w:p>
    <w:p w14:paraId="62821788" w14:textId="5A04AE9D" w:rsidR="0006302B" w:rsidRPr="00F766A9" w:rsidRDefault="0006302B" w:rsidP="0006302B">
      <w:pPr>
        <w:pStyle w:val="Default"/>
        <w:jc w:val="both"/>
        <w:rPr>
          <w:rFonts w:ascii="Bookman Old Style" w:hAnsi="Bookman Old Style" w:cs="Arial"/>
          <w:color w:val="000000" w:themeColor="text1"/>
        </w:rPr>
      </w:pPr>
      <w:r w:rsidRPr="00F766A9">
        <w:rPr>
          <w:rFonts w:ascii="Bookman Old Style" w:hAnsi="Bookman Old Style" w:cs="Arial"/>
          <w:color w:val="000000" w:themeColor="text1"/>
        </w:rPr>
        <w:t>El artículo 21 del Decreto 2100 de 2011 compilado por el Decreto 1073 de 2015</w:t>
      </w:r>
      <w:r w:rsidR="002F1DF5">
        <w:rPr>
          <w:rFonts w:ascii="Bookman Old Style" w:hAnsi="Bookman Old Style" w:cs="Arial"/>
          <w:color w:val="000000" w:themeColor="text1"/>
        </w:rPr>
        <w:t>,</w:t>
      </w:r>
      <w:r w:rsidRPr="00F766A9">
        <w:rPr>
          <w:rFonts w:ascii="Bookman Old Style" w:hAnsi="Bookman Old Style" w:cs="Arial"/>
          <w:color w:val="000000" w:themeColor="text1"/>
        </w:rPr>
        <w:t xml:space="preserve"> determina que cuando la CREG lo solicite, el Consejo Nacional de Operaciones de Gas</w:t>
      </w:r>
      <w:r w:rsidR="002F1DF5">
        <w:rPr>
          <w:rFonts w:ascii="Bookman Old Style" w:hAnsi="Bookman Old Style" w:cs="Arial"/>
          <w:color w:val="000000" w:themeColor="text1"/>
        </w:rPr>
        <w:t xml:space="preserve">, </w:t>
      </w:r>
      <w:r w:rsidRPr="00F766A9">
        <w:rPr>
          <w:rFonts w:ascii="Bookman Old Style" w:hAnsi="Bookman Old Style" w:cs="Arial"/>
          <w:color w:val="000000" w:themeColor="text1"/>
        </w:rPr>
        <w:t>CNOG</w:t>
      </w:r>
      <w:r w:rsidR="002F1DF5">
        <w:rPr>
          <w:rFonts w:ascii="Bookman Old Style" w:hAnsi="Bookman Old Style" w:cs="Arial"/>
          <w:color w:val="000000" w:themeColor="text1"/>
        </w:rPr>
        <w:t>,</w:t>
      </w:r>
      <w:r w:rsidRPr="00F766A9">
        <w:rPr>
          <w:rFonts w:ascii="Bookman Old Style" w:hAnsi="Bookman Old Style" w:cs="Arial"/>
          <w:color w:val="000000" w:themeColor="text1"/>
        </w:rPr>
        <w:t xml:space="preserve"> expedirá los acuerdos y protocolos operativos que se requieran</w:t>
      </w:r>
      <w:r w:rsidRPr="00F766A9">
        <w:rPr>
          <w:rFonts w:ascii="Bookman Old Style" w:hAnsi="Bookman Old Style" w:cs="Arial"/>
          <w:color w:val="000000" w:themeColor="text1"/>
          <w:lang w:eastAsia="es-CO"/>
        </w:rPr>
        <w:t>.</w:t>
      </w:r>
    </w:p>
    <w:p w14:paraId="33CDA30F" w14:textId="77777777" w:rsidR="0006302B" w:rsidRPr="00F766A9" w:rsidRDefault="0006302B" w:rsidP="0006302B">
      <w:pPr>
        <w:ind w:left="0"/>
        <w:jc w:val="both"/>
        <w:rPr>
          <w:rFonts w:ascii="Bookman Old Style" w:hAnsi="Bookman Old Style" w:cs="Arial"/>
          <w:color w:val="000000" w:themeColor="text1"/>
        </w:rPr>
      </w:pPr>
    </w:p>
    <w:p w14:paraId="5ABC4E2B" w14:textId="73E02A08" w:rsidR="00F71833" w:rsidRPr="002D5416" w:rsidRDefault="00F71833" w:rsidP="0006302B">
      <w:pPr>
        <w:ind w:left="0"/>
        <w:jc w:val="both"/>
        <w:rPr>
          <w:rFonts w:ascii="Bookman Old Style" w:hAnsi="Bookman Old Style" w:cs="Arial"/>
          <w:color w:val="000000" w:themeColor="text1"/>
        </w:rPr>
      </w:pPr>
      <w:r w:rsidRPr="002D5416">
        <w:rPr>
          <w:rFonts w:ascii="Bookman Old Style" w:hAnsi="Bookman Old Style" w:cs="Arial"/>
          <w:color w:val="000000" w:themeColor="text1"/>
        </w:rPr>
        <w:t xml:space="preserve">El </w:t>
      </w:r>
      <w:r w:rsidR="00936F4F">
        <w:rPr>
          <w:rFonts w:ascii="Bookman Old Style" w:hAnsi="Bookman Old Style" w:cs="Arial"/>
          <w:color w:val="000000" w:themeColor="text1"/>
        </w:rPr>
        <w:t>a</w:t>
      </w:r>
      <w:r w:rsidRPr="002D5416">
        <w:rPr>
          <w:rFonts w:ascii="Bookman Old Style" w:hAnsi="Bookman Old Style" w:cs="Arial"/>
          <w:color w:val="000000" w:themeColor="text1"/>
        </w:rPr>
        <w:t>rtículo 30 del Decreto 2100 de 2011 determina que la CREG podrá implementar mecanismos para incentivar la importación de gas natural con el fin de promover el abastecimiento de este energético.</w:t>
      </w:r>
    </w:p>
    <w:p w14:paraId="4578291B" w14:textId="77777777" w:rsidR="00F71833" w:rsidRDefault="00F71833" w:rsidP="0006302B">
      <w:pPr>
        <w:ind w:left="0"/>
        <w:jc w:val="both"/>
        <w:rPr>
          <w:rFonts w:ascii="Bookman Old Style" w:hAnsi="Bookman Old Style" w:cs="Arial"/>
          <w:color w:val="000000" w:themeColor="text1"/>
        </w:rPr>
      </w:pPr>
    </w:p>
    <w:p w14:paraId="72F54A71" w14:textId="050FAD4D" w:rsidR="0006302B"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Según el parágrafo del artículo 22 del Decreto 2100 de 2011 compilado por el Decreto 1073 de 2015, la comercialización del gas importado con destino al servicio público domiciliario deberá someterse a las mismas disposiciones expedidas por la CREG para la actividad de comercialización del gas de producción nacional.</w:t>
      </w:r>
    </w:p>
    <w:p w14:paraId="3E0775FA" w14:textId="77777777" w:rsidR="00952E1C" w:rsidRDefault="00952E1C" w:rsidP="0006302B">
      <w:pPr>
        <w:ind w:left="0"/>
        <w:jc w:val="both"/>
        <w:rPr>
          <w:rFonts w:ascii="Bookman Old Style" w:hAnsi="Bookman Old Style" w:cs="Arial"/>
          <w:color w:val="000000" w:themeColor="text1"/>
        </w:rPr>
      </w:pPr>
    </w:p>
    <w:p w14:paraId="09FE8785" w14:textId="79B96898" w:rsidR="00952E1C" w:rsidRPr="00952E1C" w:rsidRDefault="00952E1C" w:rsidP="00952E1C">
      <w:pPr>
        <w:ind w:left="0"/>
        <w:jc w:val="both"/>
        <w:rPr>
          <w:rFonts w:ascii="Bookman Old Style" w:hAnsi="Bookman Old Style" w:cs="Arial"/>
          <w:b/>
          <w:bCs/>
          <w:color w:val="000000" w:themeColor="text1"/>
        </w:rPr>
      </w:pPr>
      <w:r w:rsidRPr="00952E1C">
        <w:rPr>
          <w:rFonts w:ascii="Bookman Old Style" w:hAnsi="Bookman Old Style" w:cs="Arial"/>
          <w:b/>
          <w:bCs/>
          <w:color w:val="000000" w:themeColor="text1"/>
        </w:rPr>
        <w:lastRenderedPageBreak/>
        <w:t xml:space="preserve">El </w:t>
      </w:r>
      <w:r w:rsidR="00137443">
        <w:rPr>
          <w:rFonts w:ascii="Bookman Old Style" w:hAnsi="Bookman Old Style" w:cs="Arial"/>
          <w:b/>
          <w:bCs/>
          <w:color w:val="000000" w:themeColor="text1"/>
        </w:rPr>
        <w:t>a</w:t>
      </w:r>
      <w:r w:rsidRPr="00952E1C">
        <w:rPr>
          <w:rFonts w:ascii="Bookman Old Style" w:hAnsi="Bookman Old Style" w:cs="Arial"/>
          <w:b/>
          <w:bCs/>
          <w:color w:val="000000" w:themeColor="text1"/>
        </w:rPr>
        <w:t>rtículo</w:t>
      </w:r>
      <w:r>
        <w:rPr>
          <w:rFonts w:ascii="Bookman Old Style" w:hAnsi="Bookman Old Style" w:cs="Arial"/>
          <w:b/>
          <w:bCs/>
          <w:color w:val="000000" w:themeColor="text1"/>
        </w:rPr>
        <w:t xml:space="preserve"> </w:t>
      </w:r>
      <w:r w:rsidRPr="00952E1C">
        <w:rPr>
          <w:rFonts w:ascii="Bookman Old Style" w:hAnsi="Bookman Old Style" w:cs="Arial"/>
          <w:b/>
          <w:bCs/>
          <w:color w:val="000000" w:themeColor="text1"/>
        </w:rPr>
        <w:t>2.2.2.2.41</w:t>
      </w:r>
      <w:r>
        <w:rPr>
          <w:rFonts w:ascii="Bookman Old Style" w:hAnsi="Bookman Old Style" w:cs="Arial"/>
          <w:b/>
          <w:bCs/>
          <w:color w:val="000000" w:themeColor="text1"/>
        </w:rPr>
        <w:t xml:space="preserve"> del Decreto 1073 de 2015 establece que l</w:t>
      </w:r>
      <w:r w:rsidRPr="00952E1C">
        <w:rPr>
          <w:rFonts w:ascii="Bookman Old Style" w:hAnsi="Bookman Old Style" w:cs="Arial"/>
          <w:b/>
          <w:bCs/>
          <w:color w:val="000000" w:themeColor="text1"/>
        </w:rPr>
        <w:t>a CREG podrá implementar mecanismos para incentivar la</w:t>
      </w:r>
      <w:r>
        <w:rPr>
          <w:rFonts w:ascii="Bookman Old Style" w:hAnsi="Bookman Old Style" w:cs="Arial"/>
          <w:b/>
          <w:bCs/>
          <w:color w:val="000000" w:themeColor="text1"/>
        </w:rPr>
        <w:t xml:space="preserve"> importación de gas natural con el fin de promover el abastecimiento de este energético</w:t>
      </w:r>
      <w:r w:rsidRPr="00952E1C">
        <w:rPr>
          <w:rFonts w:ascii="Bookman Old Style" w:hAnsi="Bookman Old Style" w:cs="Arial"/>
          <w:b/>
          <w:bCs/>
          <w:color w:val="000000" w:themeColor="text1"/>
        </w:rPr>
        <w:t>.</w:t>
      </w:r>
    </w:p>
    <w:p w14:paraId="4735C2A4" w14:textId="77777777" w:rsidR="0006302B" w:rsidRPr="00F766A9" w:rsidRDefault="0006302B" w:rsidP="0006302B">
      <w:pPr>
        <w:ind w:left="0"/>
        <w:jc w:val="both"/>
        <w:rPr>
          <w:rFonts w:ascii="Bookman Old Style" w:hAnsi="Bookman Old Style" w:cs="Arial"/>
          <w:color w:val="000000" w:themeColor="text1"/>
        </w:rPr>
      </w:pPr>
    </w:p>
    <w:p w14:paraId="7478F580" w14:textId="7207DBC4" w:rsidR="0006302B" w:rsidRPr="005F490B" w:rsidRDefault="0006302B" w:rsidP="0006302B">
      <w:pPr>
        <w:ind w:left="0"/>
        <w:jc w:val="both"/>
        <w:rPr>
          <w:rFonts w:ascii="Bookman Old Style" w:hAnsi="Bookman Old Style" w:cs="Arial"/>
          <w:color w:val="000000" w:themeColor="text1"/>
        </w:rPr>
      </w:pPr>
      <w:r w:rsidRPr="00BB0741">
        <w:rPr>
          <w:rFonts w:ascii="Bookman Old Style" w:hAnsi="Bookman Old Style" w:cs="Arial"/>
          <w:color w:val="000000" w:themeColor="text1"/>
        </w:rPr>
        <w:t xml:space="preserve">Conforme al artículo 4 del Decreto 1260 de 2013 corresponde a la CREG establecer la metodología para seleccionar y remunerar los servicios del </w:t>
      </w:r>
      <w:r>
        <w:rPr>
          <w:rFonts w:ascii="Bookman Old Style" w:hAnsi="Bookman Old Style" w:cs="Arial"/>
          <w:color w:val="000000" w:themeColor="text1"/>
        </w:rPr>
        <w:t>Gestor del Mercado</w:t>
      </w:r>
      <w:r w:rsidRPr="00BB0741">
        <w:rPr>
          <w:rFonts w:ascii="Bookman Old Style" w:hAnsi="Bookman Old Style" w:cs="Arial"/>
          <w:color w:val="000000" w:themeColor="text1"/>
        </w:rPr>
        <w:t xml:space="preserve"> de gas natural, asegurando la neutralidad, la transparencia, la objetividad y la total independencia del prestador, así como la experiencia comprobada en las actividades a desarrollar. También corresponde a la CREG definir el alcance de los servicios a cargo del </w:t>
      </w:r>
      <w:r>
        <w:rPr>
          <w:rFonts w:ascii="Bookman Old Style" w:hAnsi="Bookman Old Style" w:cs="Arial"/>
          <w:color w:val="000000" w:themeColor="text1"/>
        </w:rPr>
        <w:t>Gestor del Mercado</w:t>
      </w:r>
      <w:r w:rsidRPr="00BB0741">
        <w:rPr>
          <w:rFonts w:ascii="Bookman Old Style" w:hAnsi="Bookman Old Style" w:cs="Arial"/>
          <w:color w:val="000000" w:themeColor="text1"/>
        </w:rPr>
        <w:t xml:space="preserve"> de gas natural, responsable de facilitar las negociaciones</w:t>
      </w:r>
      <w:r w:rsidR="002F1DF5">
        <w:rPr>
          <w:rFonts w:ascii="Bookman Old Style" w:hAnsi="Bookman Old Style" w:cs="Arial"/>
          <w:color w:val="000000" w:themeColor="text1"/>
        </w:rPr>
        <w:t>,</w:t>
      </w:r>
      <w:r w:rsidRPr="00BB0741">
        <w:rPr>
          <w:rFonts w:ascii="Bookman Old Style" w:hAnsi="Bookman Old Style" w:cs="Arial"/>
          <w:color w:val="000000" w:themeColor="text1"/>
        </w:rPr>
        <w:t xml:space="preserve"> y de recopilar y publicar información operativa y transaccional del mercado de gas natural.</w:t>
      </w:r>
    </w:p>
    <w:p w14:paraId="5F6F2D3A" w14:textId="77777777" w:rsidR="0006302B" w:rsidRPr="00A11DBB" w:rsidRDefault="0006302B" w:rsidP="0006302B">
      <w:pPr>
        <w:ind w:left="0"/>
        <w:jc w:val="both"/>
        <w:rPr>
          <w:rFonts w:ascii="Bookman Old Style" w:hAnsi="Bookman Old Style" w:cs="Arial"/>
          <w:color w:val="000000" w:themeColor="text1"/>
        </w:rPr>
      </w:pPr>
    </w:p>
    <w:p w14:paraId="4727027B" w14:textId="7AD43BC9" w:rsidR="0006302B" w:rsidRPr="00F766A9" w:rsidRDefault="0006302B" w:rsidP="0006302B">
      <w:pPr>
        <w:ind w:left="0"/>
        <w:jc w:val="both"/>
        <w:rPr>
          <w:rFonts w:ascii="Bookman Old Style" w:hAnsi="Bookman Old Style" w:cs="Arial"/>
          <w:color w:val="000000" w:themeColor="text1"/>
        </w:rPr>
      </w:pPr>
      <w:r w:rsidRPr="005F490B">
        <w:rPr>
          <w:rFonts w:ascii="Bookman Old Style" w:hAnsi="Bookman Old Style" w:cs="Arial"/>
          <w:color w:val="000000" w:themeColor="text1"/>
        </w:rPr>
        <w:t>El artículo 1 del Decreto 1710 de 2013 establece que</w:t>
      </w:r>
      <w:r w:rsidR="002F1DF5">
        <w:rPr>
          <w:rFonts w:ascii="Bookman Old Style" w:hAnsi="Bookman Old Style" w:cs="Arial"/>
          <w:color w:val="000000" w:themeColor="text1"/>
        </w:rPr>
        <w:t>,</w:t>
      </w:r>
      <w:r w:rsidRPr="005F490B">
        <w:rPr>
          <w:rFonts w:ascii="Bookman Old Style" w:hAnsi="Bookman Old Style" w:cs="Arial"/>
          <w:color w:val="000000" w:themeColor="text1"/>
        </w:rPr>
        <w:t xml:space="preserve"> al expedir el </w:t>
      </w:r>
      <w:r w:rsidR="002F1DF5">
        <w:rPr>
          <w:rFonts w:ascii="Bookman Old Style" w:hAnsi="Bookman Old Style" w:cs="Arial"/>
          <w:color w:val="000000" w:themeColor="text1"/>
        </w:rPr>
        <w:t>R</w:t>
      </w:r>
      <w:r w:rsidRPr="005F490B">
        <w:rPr>
          <w:rFonts w:ascii="Bookman Old Style" w:hAnsi="Bookman Old Style" w:cs="Arial"/>
          <w:color w:val="000000" w:themeColor="text1"/>
        </w:rPr>
        <w:t>eglamento de</w:t>
      </w:r>
      <w:r w:rsidRPr="00F766A9">
        <w:rPr>
          <w:rFonts w:ascii="Bookman Old Style" w:hAnsi="Bookman Old Style" w:cs="Arial"/>
          <w:color w:val="000000" w:themeColor="text1"/>
        </w:rPr>
        <w:t xml:space="preserve"> </w:t>
      </w:r>
      <w:r w:rsidR="002F1DF5">
        <w:rPr>
          <w:rFonts w:ascii="Bookman Old Style" w:hAnsi="Bookman Old Style" w:cs="Arial"/>
          <w:color w:val="000000" w:themeColor="text1"/>
        </w:rPr>
        <w:t>O</w:t>
      </w:r>
      <w:r w:rsidRPr="00F766A9">
        <w:rPr>
          <w:rFonts w:ascii="Bookman Old Style" w:hAnsi="Bookman Old Style" w:cs="Arial"/>
          <w:color w:val="000000" w:themeColor="text1"/>
        </w:rPr>
        <w:t xml:space="preserve">peración del </w:t>
      </w:r>
      <w:r>
        <w:rPr>
          <w:rFonts w:ascii="Bookman Old Style" w:hAnsi="Bookman Old Style" w:cs="Arial"/>
          <w:color w:val="000000" w:themeColor="text1"/>
        </w:rPr>
        <w:t>Mercado Mayorista</w:t>
      </w:r>
      <w:r w:rsidRPr="00F766A9">
        <w:rPr>
          <w:rFonts w:ascii="Bookman Old Style" w:hAnsi="Bookman Old Style" w:cs="Arial"/>
          <w:color w:val="000000" w:themeColor="text1"/>
        </w:rPr>
        <w:t xml:space="preserve"> de gas natural</w:t>
      </w:r>
      <w:r w:rsidR="002F1DF5">
        <w:rPr>
          <w:rFonts w:ascii="Bookman Old Style" w:hAnsi="Bookman Old Style" w:cs="Arial"/>
          <w:color w:val="000000" w:themeColor="text1"/>
        </w:rPr>
        <w:t>,</w:t>
      </w:r>
      <w:r w:rsidRPr="00F766A9">
        <w:rPr>
          <w:rFonts w:ascii="Bookman Old Style" w:hAnsi="Bookman Old Style" w:cs="Arial"/>
          <w:color w:val="000000" w:themeColor="text1"/>
        </w:rPr>
        <w:t xml:space="preserve"> la CREG podrá </w:t>
      </w:r>
      <w:r w:rsidRPr="002F1DF5">
        <w:rPr>
          <w:rFonts w:ascii="Bookman Old Style" w:hAnsi="Bookman Old Style" w:cs="Arial"/>
          <w:i/>
          <w:iCs/>
          <w:color w:val="000000" w:themeColor="text1"/>
        </w:rPr>
        <w:t>“(</w:t>
      </w:r>
      <w:r w:rsidR="00DD2994">
        <w:rPr>
          <w:rFonts w:ascii="Bookman Old Style" w:hAnsi="Bookman Old Style" w:cs="Arial"/>
          <w:i/>
          <w:iCs/>
          <w:color w:val="000000" w:themeColor="text1"/>
        </w:rPr>
        <w:t>a</w:t>
      </w:r>
      <w:r w:rsidRPr="002F1DF5">
        <w:rPr>
          <w:rFonts w:ascii="Bookman Old Style" w:hAnsi="Bookman Old Style" w:cs="Arial"/>
          <w:i/>
          <w:iCs/>
          <w:color w:val="000000" w:themeColor="text1"/>
        </w:rPr>
        <w:t>)</w:t>
      </w:r>
      <w:r w:rsidR="00DD2994">
        <w:rPr>
          <w:rFonts w:ascii="Bookman Old Style" w:hAnsi="Bookman Old Style" w:cs="Arial"/>
          <w:i/>
          <w:iCs/>
          <w:color w:val="000000" w:themeColor="text1"/>
        </w:rPr>
        <w:t>E</w:t>
      </w:r>
      <w:r w:rsidRPr="002F1DF5">
        <w:rPr>
          <w:rFonts w:ascii="Bookman Old Style" w:hAnsi="Bookman Old Style" w:cs="Arial"/>
          <w:i/>
          <w:iCs/>
          <w:color w:val="000000" w:themeColor="text1"/>
        </w:rPr>
        <w:t>stablecer los lineamientos y las condiciones de participación en el Mercado Mayorista, las modalidades y requisitos mínimos de ofertas y contratos, los procedimientos y los demás aspectos que requieran los mecanismos de comercialización de gas natural y de su transporte en el Mercado Mayorista</w:t>
      </w:r>
      <w:r w:rsidRPr="00F766A9">
        <w:rPr>
          <w:rFonts w:ascii="Bookman Old Style" w:hAnsi="Bookman Old Style" w:cs="Arial"/>
          <w:color w:val="000000" w:themeColor="text1"/>
        </w:rPr>
        <w:t>” y “(</w:t>
      </w:r>
      <w:r w:rsidR="00DD2994">
        <w:rPr>
          <w:rFonts w:ascii="Bookman Old Style" w:hAnsi="Bookman Old Style" w:cs="Arial"/>
          <w:i/>
          <w:iCs/>
          <w:color w:val="000000" w:themeColor="text1"/>
        </w:rPr>
        <w:t>b</w:t>
      </w:r>
      <w:r w:rsidRPr="002F1DF5">
        <w:rPr>
          <w:rFonts w:ascii="Bookman Old Style" w:hAnsi="Bookman Old Style" w:cs="Arial"/>
          <w:i/>
          <w:iCs/>
          <w:color w:val="000000" w:themeColor="text1"/>
        </w:rPr>
        <w:t>)</w:t>
      </w:r>
      <w:r w:rsidR="00DD2994">
        <w:rPr>
          <w:rFonts w:ascii="Bookman Old Style" w:hAnsi="Bookman Old Style" w:cs="Arial"/>
          <w:i/>
          <w:iCs/>
          <w:color w:val="000000" w:themeColor="text1"/>
        </w:rPr>
        <w:t>S</w:t>
      </w:r>
      <w:r w:rsidRPr="002F1DF5">
        <w:rPr>
          <w:rFonts w:ascii="Bookman Old Style" w:hAnsi="Bookman Old Style" w:cs="Arial"/>
          <w:i/>
          <w:iCs/>
          <w:color w:val="000000" w:themeColor="text1"/>
        </w:rPr>
        <w:t>eñalar la información que será declarada por los participantes del mercado y establecer los mecanismos y procedimientos para obtener, organizar, revisar y divulgar dicha información en forma oportuna para el funcionamiento del Mercado Mayorista de gas natural</w:t>
      </w:r>
      <w:r w:rsidRPr="00F766A9">
        <w:rPr>
          <w:rFonts w:ascii="Bookman Old Style" w:hAnsi="Bookman Old Style" w:cs="Arial"/>
          <w:color w:val="000000" w:themeColor="text1"/>
        </w:rPr>
        <w:t>”.</w:t>
      </w:r>
    </w:p>
    <w:p w14:paraId="3E96FE8D" w14:textId="77777777" w:rsidR="0006302B" w:rsidRPr="00F766A9" w:rsidRDefault="0006302B" w:rsidP="0006302B">
      <w:pPr>
        <w:ind w:left="0"/>
        <w:jc w:val="both"/>
        <w:rPr>
          <w:rFonts w:ascii="Bookman Old Style" w:hAnsi="Bookman Old Style" w:cs="Arial"/>
          <w:color w:val="000000" w:themeColor="text1"/>
        </w:rPr>
      </w:pPr>
    </w:p>
    <w:p w14:paraId="41B04735" w14:textId="0732BA8D"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El artículo 2 del Decreto 1710 de 2013 modificó el artículo 20 del Decreto 2100 de 2011</w:t>
      </w:r>
      <w:r w:rsidR="002F1DF5">
        <w:rPr>
          <w:rFonts w:ascii="Bookman Old Style" w:hAnsi="Bookman Old Style" w:cs="Arial"/>
          <w:color w:val="000000" w:themeColor="text1"/>
        </w:rPr>
        <w:t>,</w:t>
      </w:r>
      <w:r w:rsidRPr="00F766A9">
        <w:rPr>
          <w:rFonts w:ascii="Bookman Old Style" w:hAnsi="Bookman Old Style" w:cs="Arial"/>
          <w:color w:val="000000" w:themeColor="text1"/>
        </w:rPr>
        <w:t xml:space="preserve"> y dispuso que </w:t>
      </w:r>
      <w:r w:rsidRPr="002F1DF5">
        <w:rPr>
          <w:rFonts w:ascii="Bookman Old Style" w:hAnsi="Bookman Old Style" w:cs="Arial"/>
          <w:i/>
          <w:iCs/>
          <w:color w:val="000000" w:themeColor="text1"/>
        </w:rPr>
        <w:t>“</w:t>
      </w:r>
      <w:r w:rsidR="00DD2994">
        <w:rPr>
          <w:rFonts w:ascii="Bookman Old Style" w:hAnsi="Bookman Old Style" w:cs="Arial"/>
          <w:i/>
          <w:iCs/>
          <w:color w:val="000000" w:themeColor="text1"/>
        </w:rPr>
        <w:t>L</w:t>
      </w:r>
      <w:r w:rsidRPr="002F1DF5">
        <w:rPr>
          <w:rFonts w:ascii="Bookman Old Style" w:hAnsi="Bookman Old Style" w:cs="Arial"/>
          <w:i/>
          <w:iCs/>
          <w:color w:val="000000" w:themeColor="text1"/>
        </w:rPr>
        <w:t>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w:t>
      </w:r>
      <w:r w:rsidRPr="00F766A9">
        <w:rPr>
          <w:rFonts w:ascii="Bookman Old Style" w:hAnsi="Bookman Old Style" w:cs="Arial"/>
          <w:color w:val="000000" w:themeColor="text1"/>
        </w:rPr>
        <w:t xml:space="preserve">”. También dispuso que </w:t>
      </w:r>
      <w:r w:rsidRPr="002F1DF5">
        <w:rPr>
          <w:rFonts w:ascii="Bookman Old Style" w:hAnsi="Bookman Old Style" w:cs="Arial"/>
          <w:i/>
          <w:iCs/>
          <w:color w:val="000000" w:themeColor="text1"/>
        </w:rPr>
        <w:t>“</w:t>
      </w:r>
      <w:r w:rsidR="00DD2994">
        <w:rPr>
          <w:rFonts w:ascii="Bookman Old Style" w:hAnsi="Bookman Old Style" w:cs="Arial"/>
          <w:i/>
          <w:iCs/>
          <w:color w:val="000000" w:themeColor="text1"/>
        </w:rPr>
        <w:t>l</w:t>
      </w:r>
      <w:r w:rsidRPr="002F1DF5">
        <w:rPr>
          <w:rFonts w:ascii="Bookman Old Style" w:hAnsi="Bookman Old Style" w:cs="Arial"/>
          <w:i/>
          <w:iCs/>
          <w:color w:val="000000" w:themeColor="text1"/>
        </w:rPr>
        <w:t>a CREG seleccionará al Gestor del Mercado mediante un concurso sujeto a los principios de transparencia y selección objetiva que garanticen la libre concurrencia</w:t>
      </w:r>
      <w:r w:rsidRPr="00F766A9">
        <w:rPr>
          <w:rFonts w:ascii="Bookman Old Style" w:hAnsi="Bookman Old Style" w:cs="Arial"/>
          <w:color w:val="000000" w:themeColor="text1"/>
        </w:rPr>
        <w:t>”.</w:t>
      </w:r>
    </w:p>
    <w:p w14:paraId="22A889E2" w14:textId="77777777" w:rsidR="0006302B" w:rsidRPr="00F766A9" w:rsidRDefault="0006302B" w:rsidP="0006302B">
      <w:pPr>
        <w:ind w:left="0"/>
        <w:jc w:val="both"/>
        <w:rPr>
          <w:rFonts w:ascii="Bookman Old Style" w:hAnsi="Bookman Old Style" w:cs="Arial"/>
          <w:color w:val="000000" w:themeColor="text1"/>
        </w:rPr>
      </w:pPr>
    </w:p>
    <w:p w14:paraId="36BE5D79" w14:textId="0877BAB8"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Conforme al artículo 17 del Decreto 2100 de 2011 compilado por el Decreto 1073 de 2015, corresponde a la Unidad de Planeación </w:t>
      </w:r>
      <w:proofErr w:type="gramStart"/>
      <w:r w:rsidRPr="00F766A9">
        <w:rPr>
          <w:rFonts w:ascii="Bookman Old Style" w:hAnsi="Bookman Old Style" w:cs="Arial"/>
          <w:color w:val="000000" w:themeColor="text1"/>
        </w:rPr>
        <w:t>Minero</w:t>
      </w:r>
      <w:r w:rsidR="002F1DF5">
        <w:rPr>
          <w:rFonts w:ascii="Bookman Old Style" w:hAnsi="Bookman Old Style" w:cs="Arial"/>
          <w:color w:val="000000" w:themeColor="text1"/>
        </w:rPr>
        <w:t xml:space="preserve"> </w:t>
      </w:r>
      <w:r w:rsidRPr="00F766A9">
        <w:rPr>
          <w:rFonts w:ascii="Bookman Old Style" w:hAnsi="Bookman Old Style" w:cs="Arial"/>
          <w:color w:val="000000" w:themeColor="text1"/>
        </w:rPr>
        <w:t>Energética</w:t>
      </w:r>
      <w:proofErr w:type="gramEnd"/>
      <w:r w:rsidR="002F1DF5">
        <w:rPr>
          <w:rFonts w:ascii="Bookman Old Style" w:hAnsi="Bookman Old Style" w:cs="Arial"/>
          <w:color w:val="000000" w:themeColor="text1"/>
        </w:rPr>
        <w:t xml:space="preserve">, </w:t>
      </w:r>
      <w:r w:rsidRPr="00F766A9">
        <w:rPr>
          <w:rFonts w:ascii="Bookman Old Style" w:hAnsi="Bookman Old Style" w:cs="Arial"/>
          <w:color w:val="000000" w:themeColor="text1"/>
        </w:rPr>
        <w:t>UPME</w:t>
      </w:r>
      <w:r w:rsidR="002F1DF5">
        <w:rPr>
          <w:rFonts w:ascii="Bookman Old Style" w:hAnsi="Bookman Old Style" w:cs="Arial"/>
          <w:color w:val="000000" w:themeColor="text1"/>
        </w:rPr>
        <w:t>,</w:t>
      </w:r>
      <w:r w:rsidRPr="00F766A9">
        <w:rPr>
          <w:rFonts w:ascii="Bookman Old Style" w:hAnsi="Bookman Old Style" w:cs="Arial"/>
          <w:color w:val="000000" w:themeColor="text1"/>
        </w:rPr>
        <w:t xml:space="preserve"> elaborar un plan indicativo de abastecimiento de gas natural con base en los lineamientos establecidos por el Ministerio de Minas y Energía. </w:t>
      </w:r>
    </w:p>
    <w:p w14:paraId="4014B18A" w14:textId="77777777" w:rsidR="0006302B" w:rsidRPr="00F766A9" w:rsidRDefault="0006302B" w:rsidP="0006302B">
      <w:pPr>
        <w:ind w:left="0"/>
        <w:jc w:val="both"/>
        <w:rPr>
          <w:rFonts w:ascii="Bookman Old Style" w:hAnsi="Bookman Old Style" w:cs="Arial"/>
          <w:color w:val="000000" w:themeColor="text1"/>
        </w:rPr>
      </w:pPr>
    </w:p>
    <w:p w14:paraId="74EBD904" w14:textId="77777777"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t xml:space="preserve">De acuerdo con el Decreto 1258 de 2013 la UPME tiene a su cargo, entre otros, la planeación de las alternativas para satisfacer los requerimientos energéticos, y elaborar y actualizar los planes de abastecimiento de gas. Igualmente tiene a su cargo la elaboración y divulgación del balance minero energético nacional. </w:t>
      </w:r>
    </w:p>
    <w:p w14:paraId="16F15F26" w14:textId="77777777" w:rsidR="0006302B" w:rsidRPr="00F766A9" w:rsidRDefault="0006302B" w:rsidP="0006302B">
      <w:pPr>
        <w:ind w:left="0"/>
        <w:jc w:val="both"/>
        <w:rPr>
          <w:rFonts w:ascii="Bookman Old Style" w:hAnsi="Bookman Old Style" w:cs="Arial"/>
          <w:color w:val="000000" w:themeColor="text1"/>
        </w:rPr>
      </w:pPr>
    </w:p>
    <w:p w14:paraId="44DBEF79" w14:textId="77777777" w:rsidR="0006302B" w:rsidRPr="00F766A9" w:rsidRDefault="0006302B" w:rsidP="0006302B">
      <w:pPr>
        <w:ind w:left="0"/>
        <w:jc w:val="both"/>
        <w:rPr>
          <w:rFonts w:ascii="Bookman Old Style" w:hAnsi="Bookman Old Style" w:cs="Arial"/>
          <w:bCs/>
          <w:color w:val="000000" w:themeColor="text1"/>
          <w:lang w:eastAsia="es-CO"/>
        </w:rPr>
      </w:pPr>
      <w:r w:rsidRPr="00F766A9">
        <w:rPr>
          <w:rFonts w:ascii="Bookman Old Style" w:hAnsi="Bookman Old Style" w:cs="Arial"/>
          <w:color w:val="000000" w:themeColor="text1"/>
        </w:rPr>
        <w:t xml:space="preserve">Mediante la Resolución CREG 062 de 2013 la Comisión </w:t>
      </w:r>
      <w:r w:rsidRPr="00F766A9">
        <w:rPr>
          <w:rFonts w:ascii="Bookman Old Style" w:hAnsi="Bookman Old Style" w:cs="Arial"/>
          <w:bCs/>
          <w:color w:val="000000" w:themeColor="text1"/>
          <w:lang w:eastAsia="es-CO"/>
        </w:rPr>
        <w:t>estableció incentivos para que generadores térmicos contraten la prestación del servicio de gas natural importado.</w:t>
      </w:r>
    </w:p>
    <w:p w14:paraId="447ED76A" w14:textId="77777777" w:rsidR="0006302B" w:rsidRPr="00F766A9" w:rsidRDefault="0006302B" w:rsidP="0006302B">
      <w:pPr>
        <w:ind w:left="0"/>
        <w:jc w:val="both"/>
        <w:rPr>
          <w:rFonts w:ascii="Bookman Old Style" w:hAnsi="Bookman Old Style" w:cs="Arial"/>
          <w:color w:val="000000" w:themeColor="text1"/>
        </w:rPr>
      </w:pPr>
    </w:p>
    <w:p w14:paraId="511ACAE8" w14:textId="7FA35BCD" w:rsidR="0006302B" w:rsidRPr="00F766A9" w:rsidRDefault="0006302B" w:rsidP="0006302B">
      <w:pPr>
        <w:ind w:left="0"/>
        <w:jc w:val="both"/>
        <w:rPr>
          <w:rFonts w:ascii="Bookman Old Style" w:hAnsi="Bookman Old Style" w:cs="Arial"/>
          <w:color w:val="000000" w:themeColor="text1"/>
        </w:rPr>
      </w:pPr>
      <w:r w:rsidRPr="00F766A9">
        <w:rPr>
          <w:rFonts w:ascii="Bookman Old Style" w:hAnsi="Bookman Old Style" w:cs="Arial"/>
          <w:color w:val="000000" w:themeColor="text1"/>
        </w:rPr>
        <w:lastRenderedPageBreak/>
        <w:t xml:space="preserve">Mediante la Resolución CREG 088 de 2013 la Comisión liberó el precio del gas natural puesto en punto de entrada al </w:t>
      </w:r>
      <w:r w:rsidR="002F1DF5">
        <w:rPr>
          <w:rFonts w:ascii="Bookman Old Style" w:hAnsi="Bookman Old Style" w:cs="Arial"/>
          <w:color w:val="000000" w:themeColor="text1"/>
        </w:rPr>
        <w:t>S</w:t>
      </w:r>
      <w:r w:rsidRPr="00F766A9">
        <w:rPr>
          <w:rFonts w:ascii="Bookman Old Style" w:hAnsi="Bookman Old Style" w:cs="Arial"/>
          <w:color w:val="000000" w:themeColor="text1"/>
        </w:rPr>
        <w:t xml:space="preserve">istema </w:t>
      </w:r>
      <w:r w:rsidR="002F1DF5">
        <w:rPr>
          <w:rFonts w:ascii="Bookman Old Style" w:hAnsi="Bookman Old Style" w:cs="Arial"/>
          <w:color w:val="000000" w:themeColor="text1"/>
        </w:rPr>
        <w:t>N</w:t>
      </w:r>
      <w:r w:rsidRPr="00F766A9">
        <w:rPr>
          <w:rFonts w:ascii="Bookman Old Style" w:hAnsi="Bookman Old Style" w:cs="Arial"/>
          <w:color w:val="000000" w:themeColor="text1"/>
        </w:rPr>
        <w:t xml:space="preserve">acional de </w:t>
      </w:r>
      <w:r w:rsidR="002F1DF5">
        <w:rPr>
          <w:rFonts w:ascii="Bookman Old Style" w:hAnsi="Bookman Old Style" w:cs="Arial"/>
          <w:color w:val="000000" w:themeColor="text1"/>
        </w:rPr>
        <w:t>T</w:t>
      </w:r>
      <w:r w:rsidRPr="00F766A9">
        <w:rPr>
          <w:rFonts w:ascii="Bookman Old Style" w:hAnsi="Bookman Old Style" w:cs="Arial"/>
          <w:color w:val="000000" w:themeColor="text1"/>
        </w:rPr>
        <w:t>ransporte.</w:t>
      </w:r>
    </w:p>
    <w:p w14:paraId="0BE7187A" w14:textId="77777777" w:rsidR="0006302B" w:rsidRPr="00F766A9" w:rsidRDefault="0006302B" w:rsidP="0006302B">
      <w:pPr>
        <w:ind w:left="0"/>
        <w:jc w:val="both"/>
        <w:rPr>
          <w:rFonts w:ascii="Bookman Old Style" w:hAnsi="Bookman Old Style" w:cs="Arial"/>
          <w:color w:val="000000" w:themeColor="text1"/>
        </w:rPr>
      </w:pPr>
    </w:p>
    <w:p w14:paraId="244C5651" w14:textId="60B8B128" w:rsidR="00CE2496" w:rsidRPr="00CE2496" w:rsidRDefault="0006302B" w:rsidP="00CE2496">
      <w:pPr>
        <w:ind w:left="0"/>
        <w:jc w:val="both"/>
        <w:rPr>
          <w:rFonts w:ascii="Bookman Old Style" w:hAnsi="Bookman Old Style" w:cs="Arial"/>
        </w:rPr>
      </w:pPr>
      <w:r w:rsidRPr="00F766A9">
        <w:rPr>
          <w:rFonts w:ascii="Bookman Old Style" w:hAnsi="Bookman Old Style" w:cs="Arial"/>
          <w:color w:val="000000" w:themeColor="text1"/>
        </w:rPr>
        <w:t xml:space="preserve">Según </w:t>
      </w:r>
      <w:r w:rsidR="002B4BDE">
        <w:rPr>
          <w:rFonts w:ascii="Bookman Old Style" w:hAnsi="Bookman Old Style" w:cs="Arial"/>
          <w:color w:val="000000" w:themeColor="text1"/>
        </w:rPr>
        <w:t xml:space="preserve">los </w:t>
      </w:r>
      <w:r w:rsidRPr="00F766A9">
        <w:rPr>
          <w:rFonts w:ascii="Bookman Old Style" w:hAnsi="Bookman Old Style" w:cs="Arial"/>
          <w:color w:val="000000" w:themeColor="text1"/>
        </w:rPr>
        <w:t xml:space="preserve">estudios efectuados y dada la concentración del mercado de gas natural, </w:t>
      </w:r>
      <w:r w:rsidR="002B4BDE">
        <w:rPr>
          <w:rFonts w:ascii="Bookman Old Style" w:hAnsi="Bookman Old Style" w:cs="Arial"/>
          <w:color w:val="000000" w:themeColor="text1"/>
        </w:rPr>
        <w:t xml:space="preserve">la CREG expidió la Resolución 089 de 2013 </w:t>
      </w:r>
      <w:r w:rsidRPr="00F766A9">
        <w:rPr>
          <w:rFonts w:ascii="Bookman Old Style" w:hAnsi="Bookman Old Style" w:cs="Arial"/>
        </w:rPr>
        <w:t>“</w:t>
      </w:r>
      <w:r w:rsidRPr="00162A1F">
        <w:rPr>
          <w:rFonts w:ascii="Bookman Old Style" w:hAnsi="Bookman Old Style" w:cs="Arial"/>
          <w:i/>
          <w:iCs/>
        </w:rPr>
        <w:t>Por la cual se reglamentan aspectos comerciales del Mercado Mayorista de gas natural, que hacen parte del reglamento de operación de gas natural</w:t>
      </w:r>
      <w:r w:rsidR="002B4BDE">
        <w:rPr>
          <w:rFonts w:ascii="Bookman Old Style" w:hAnsi="Bookman Old Style" w:cs="Arial"/>
          <w:i/>
          <w:iCs/>
        </w:rPr>
        <w:t xml:space="preserve">” </w:t>
      </w:r>
      <w:r w:rsidR="002B4BDE" w:rsidRPr="00996A90">
        <w:rPr>
          <w:rFonts w:ascii="Bookman Old Style" w:hAnsi="Bookman Old Style" w:cs="Arial"/>
        </w:rPr>
        <w:t>con el fin de promover</w:t>
      </w:r>
      <w:r w:rsidR="002B4BDE">
        <w:rPr>
          <w:rFonts w:ascii="Bookman Old Style" w:hAnsi="Bookman Old Style" w:cs="Arial"/>
        </w:rPr>
        <w:t>: i.) La competencia en el Mercado Mayorista de gas natural, diseñando mecanismos que propendieran por una mayor transparencia y liquidez; y, ii.) El uso más eficiente de la infraestructura de suministro y de transporte de gas natural.</w:t>
      </w:r>
      <w:r w:rsidRPr="00F766A9">
        <w:rPr>
          <w:rFonts w:ascii="Bookman Old Style" w:hAnsi="Bookman Old Style" w:cs="Arial"/>
        </w:rPr>
        <w:t xml:space="preserve"> </w:t>
      </w:r>
      <w:r w:rsidR="00597AA1">
        <w:rPr>
          <w:rFonts w:ascii="Bookman Old Style" w:hAnsi="Bookman Old Style" w:cs="Arial"/>
        </w:rPr>
        <w:t>Dicha Resolución</w:t>
      </w:r>
      <w:r w:rsidR="00597AA1" w:rsidRPr="00597AA1">
        <w:rPr>
          <w:rFonts w:ascii="Bookman Old Style" w:hAnsi="Bookman Old Style" w:cs="Arial"/>
        </w:rPr>
        <w:t xml:space="preserve"> </w:t>
      </w:r>
      <w:r w:rsidR="00597AA1">
        <w:rPr>
          <w:rFonts w:ascii="Bookman Old Style" w:hAnsi="Bookman Old Style" w:cs="Arial"/>
        </w:rPr>
        <w:t>ha sido</w:t>
      </w:r>
      <w:r w:rsidR="00597AA1" w:rsidRPr="00597AA1">
        <w:rPr>
          <w:rFonts w:ascii="Bookman Old Style" w:hAnsi="Bookman Old Style" w:cs="Arial"/>
        </w:rPr>
        <w:t xml:space="preserve"> modificada mediante las resoluciones CREG 124, 151 y 204 de 2013, 089, 122 y 159 de 2014, 022, 032, 088, 105, 139, 140, 143, 213 y 218 de 2015, 070, 137 y 168 de 2016, 001, 060 y 081 de 2017.</w:t>
      </w:r>
    </w:p>
    <w:p w14:paraId="29B144B8" w14:textId="77777777" w:rsidR="00CE2496" w:rsidRPr="00F766A9" w:rsidRDefault="00CE2496" w:rsidP="0006302B">
      <w:pPr>
        <w:widowControl w:val="0"/>
        <w:tabs>
          <w:tab w:val="left" w:pos="0"/>
        </w:tabs>
        <w:contextualSpacing/>
        <w:jc w:val="both"/>
        <w:rPr>
          <w:rFonts w:ascii="Bookman Old Style" w:hAnsi="Bookman Old Style" w:cs="Arial"/>
        </w:rPr>
      </w:pPr>
    </w:p>
    <w:p w14:paraId="6435A62A" w14:textId="472355A0" w:rsidR="0006302B" w:rsidRPr="00F766A9" w:rsidRDefault="0006302B" w:rsidP="0006302B">
      <w:pPr>
        <w:tabs>
          <w:tab w:val="left" w:pos="-720"/>
          <w:tab w:val="left" w:pos="0"/>
          <w:tab w:val="left" w:pos="720"/>
          <w:tab w:val="left" w:pos="1440"/>
          <w:tab w:val="left" w:pos="2160"/>
          <w:tab w:val="left" w:pos="2880"/>
          <w:tab w:val="left" w:pos="3600"/>
          <w:tab w:val="left" w:pos="4320"/>
        </w:tabs>
        <w:autoSpaceDE w:val="0"/>
        <w:autoSpaceDN w:val="0"/>
        <w:adjustRightInd w:val="0"/>
        <w:ind w:left="0"/>
        <w:jc w:val="both"/>
        <w:rPr>
          <w:rFonts w:ascii="Bookman Old Style" w:hAnsi="Bookman Old Style" w:cs="Arial"/>
        </w:rPr>
      </w:pPr>
      <w:r>
        <w:rPr>
          <w:rFonts w:ascii="Bookman Old Style" w:hAnsi="Bookman Old Style" w:cs="Arial"/>
          <w:color w:val="000000" w:themeColor="text1"/>
          <w:lang w:val="es-CO"/>
        </w:rPr>
        <w:t xml:space="preserve">Teniendo en cuenta el desarrollo </w:t>
      </w:r>
      <w:r w:rsidRPr="00F766A9">
        <w:rPr>
          <w:rFonts w:ascii="Bookman Old Style" w:hAnsi="Bookman Old Style" w:cs="Arial"/>
        </w:rPr>
        <w:t>de los procesos de comercialización de gas natural llevados a cabo según lo establecido en la Resolución CREG 089 de 2013 y</w:t>
      </w:r>
      <w:r>
        <w:rPr>
          <w:rFonts w:ascii="Bookman Old Style" w:hAnsi="Bookman Old Style" w:cs="Arial"/>
        </w:rPr>
        <w:t>,</w:t>
      </w:r>
      <w:r w:rsidRPr="00F766A9">
        <w:rPr>
          <w:rFonts w:ascii="Bookman Old Style" w:hAnsi="Bookman Old Style" w:cs="Arial"/>
        </w:rPr>
        <w:t xml:space="preserve"> en particular</w:t>
      </w:r>
      <w:r>
        <w:rPr>
          <w:rFonts w:ascii="Bookman Old Style" w:hAnsi="Bookman Old Style" w:cs="Arial"/>
        </w:rPr>
        <w:t>,</w:t>
      </w:r>
      <w:r w:rsidRPr="00F766A9">
        <w:rPr>
          <w:rFonts w:ascii="Bookman Old Style" w:hAnsi="Bookman Old Style" w:cs="Arial"/>
        </w:rPr>
        <w:t xml:space="preserve"> del proceso de actualización de precios entre 2014 y 2015</w:t>
      </w:r>
      <w:r w:rsidR="002F1DF5">
        <w:rPr>
          <w:rFonts w:ascii="Bookman Old Style" w:hAnsi="Bookman Old Style" w:cs="Arial"/>
        </w:rPr>
        <w:t>,</w:t>
      </w:r>
      <w:r w:rsidRPr="00F766A9">
        <w:rPr>
          <w:rFonts w:ascii="Bookman Old Style" w:hAnsi="Bookman Old Style" w:cs="Arial"/>
        </w:rPr>
        <w:t xml:space="preserve"> se manifestaron por parte de los agentes preocupaciones relacionadas con la formación de precios en el mercado. </w:t>
      </w:r>
    </w:p>
    <w:p w14:paraId="7934975C" w14:textId="77777777" w:rsidR="0006302B" w:rsidRDefault="0006302B" w:rsidP="0006302B">
      <w:pPr>
        <w:tabs>
          <w:tab w:val="left" w:pos="-720"/>
          <w:tab w:val="left" w:pos="0"/>
          <w:tab w:val="left" w:pos="720"/>
          <w:tab w:val="left" w:pos="1440"/>
          <w:tab w:val="left" w:pos="2160"/>
          <w:tab w:val="left" w:pos="2880"/>
          <w:tab w:val="left" w:pos="3600"/>
          <w:tab w:val="left" w:pos="4320"/>
        </w:tabs>
        <w:autoSpaceDE w:val="0"/>
        <w:autoSpaceDN w:val="0"/>
        <w:adjustRightInd w:val="0"/>
        <w:ind w:left="0"/>
        <w:jc w:val="both"/>
        <w:rPr>
          <w:rFonts w:ascii="Bookman Old Style" w:hAnsi="Bookman Old Style" w:cs="Arial"/>
        </w:rPr>
      </w:pPr>
    </w:p>
    <w:p w14:paraId="719F9928" w14:textId="57D035AE" w:rsidR="0006302B" w:rsidRPr="00F766A9" w:rsidRDefault="0006302B" w:rsidP="0006302B">
      <w:pPr>
        <w:tabs>
          <w:tab w:val="left" w:pos="-720"/>
          <w:tab w:val="left" w:pos="0"/>
          <w:tab w:val="left" w:pos="720"/>
          <w:tab w:val="left" w:pos="1440"/>
          <w:tab w:val="left" w:pos="2160"/>
          <w:tab w:val="left" w:pos="2880"/>
          <w:tab w:val="left" w:pos="3600"/>
          <w:tab w:val="left" w:pos="4320"/>
        </w:tabs>
        <w:autoSpaceDE w:val="0"/>
        <w:autoSpaceDN w:val="0"/>
        <w:adjustRightInd w:val="0"/>
        <w:ind w:left="0"/>
        <w:jc w:val="both"/>
        <w:rPr>
          <w:rFonts w:ascii="Bookman Old Style" w:hAnsi="Bookman Old Style" w:cs="Arial"/>
        </w:rPr>
      </w:pPr>
      <w:r w:rsidRPr="00F766A9">
        <w:rPr>
          <w:rFonts w:ascii="Bookman Old Style" w:hAnsi="Bookman Old Style" w:cs="Arial"/>
        </w:rPr>
        <w:t>En ese sentido, se realiza</w:t>
      </w:r>
      <w:r>
        <w:rPr>
          <w:rFonts w:ascii="Bookman Old Style" w:hAnsi="Bookman Old Style" w:cs="Arial"/>
        </w:rPr>
        <w:t>ron</w:t>
      </w:r>
      <w:r w:rsidRPr="00F766A9">
        <w:rPr>
          <w:rFonts w:ascii="Bookman Old Style" w:hAnsi="Bookman Old Style" w:cs="Arial"/>
        </w:rPr>
        <w:t xml:space="preserve"> análisis que permit</w:t>
      </w:r>
      <w:r>
        <w:rPr>
          <w:rFonts w:ascii="Bookman Old Style" w:hAnsi="Bookman Old Style" w:cs="Arial"/>
        </w:rPr>
        <w:t>ieron</w:t>
      </w:r>
      <w:r w:rsidRPr="00F766A9">
        <w:rPr>
          <w:rFonts w:ascii="Bookman Old Style" w:hAnsi="Bookman Old Style" w:cs="Arial"/>
        </w:rPr>
        <w:t xml:space="preserve"> concluir que </w:t>
      </w:r>
      <w:r>
        <w:rPr>
          <w:rFonts w:ascii="Bookman Old Style" w:hAnsi="Bookman Old Style" w:cs="Arial"/>
        </w:rPr>
        <w:t>era</w:t>
      </w:r>
      <w:r w:rsidRPr="00F766A9">
        <w:rPr>
          <w:rFonts w:ascii="Bookman Old Style" w:hAnsi="Bookman Old Style" w:cs="Arial"/>
        </w:rPr>
        <w:t xml:space="preserve"> pertinente introducir ajustes a la Resolución CREG 089 de 2013, separando los mecanismos de comercialización en el mercado primario para el corto y largo plazo</w:t>
      </w:r>
      <w:r>
        <w:rPr>
          <w:rFonts w:ascii="Bookman Old Style" w:hAnsi="Bookman Old Style" w:cs="Arial"/>
        </w:rPr>
        <w:t>,</w:t>
      </w:r>
      <w:r w:rsidRPr="00F766A9">
        <w:rPr>
          <w:rFonts w:ascii="Bookman Old Style" w:hAnsi="Bookman Old Style" w:cs="Arial"/>
        </w:rPr>
        <w:t xml:space="preserve"> respectivamente</w:t>
      </w:r>
      <w:r w:rsidR="002F1DF5">
        <w:rPr>
          <w:rFonts w:ascii="Bookman Old Style" w:hAnsi="Bookman Old Style" w:cs="Arial"/>
        </w:rPr>
        <w:t>,</w:t>
      </w:r>
      <w:r w:rsidRPr="00F766A9">
        <w:rPr>
          <w:rFonts w:ascii="Bookman Old Style" w:hAnsi="Bookman Old Style" w:cs="Arial"/>
        </w:rPr>
        <w:t xml:space="preserve"> y creando nuevos productos para el mercado que se ajusten mejor a los requerimientos específicos de la demanda y que no asignen riesgos inmanejables a los participantes</w:t>
      </w:r>
      <w:r w:rsidR="002F1DF5">
        <w:rPr>
          <w:rFonts w:ascii="Bookman Old Style" w:hAnsi="Bookman Old Style" w:cs="Arial"/>
        </w:rPr>
        <w:t>,</w:t>
      </w:r>
      <w:r w:rsidRPr="00F766A9">
        <w:rPr>
          <w:rFonts w:ascii="Bookman Old Style" w:hAnsi="Bookman Old Style" w:cs="Arial"/>
        </w:rPr>
        <w:t xml:space="preserve"> y por el otro</w:t>
      </w:r>
      <w:r w:rsidR="002F1DF5">
        <w:rPr>
          <w:rFonts w:ascii="Bookman Old Style" w:hAnsi="Bookman Old Style" w:cs="Arial"/>
        </w:rPr>
        <w:t>,</w:t>
      </w:r>
      <w:r w:rsidRPr="00F766A9">
        <w:rPr>
          <w:rFonts w:ascii="Bookman Old Style" w:hAnsi="Bookman Old Style" w:cs="Arial"/>
        </w:rPr>
        <w:t xml:space="preserve"> creando un procedimiento que proteja la demanda regulada, quien se estima pasiva en los procesos de comercialización.</w:t>
      </w:r>
    </w:p>
    <w:p w14:paraId="12C393BD" w14:textId="77777777" w:rsidR="0006302B" w:rsidRPr="00F766A9" w:rsidRDefault="0006302B" w:rsidP="0006302B">
      <w:pPr>
        <w:tabs>
          <w:tab w:val="left" w:pos="-720"/>
          <w:tab w:val="left" w:pos="0"/>
          <w:tab w:val="left" w:pos="720"/>
          <w:tab w:val="left" w:pos="1440"/>
          <w:tab w:val="left" w:pos="2160"/>
          <w:tab w:val="left" w:pos="2880"/>
          <w:tab w:val="left" w:pos="3600"/>
          <w:tab w:val="left" w:pos="4320"/>
        </w:tabs>
        <w:autoSpaceDE w:val="0"/>
        <w:autoSpaceDN w:val="0"/>
        <w:adjustRightInd w:val="0"/>
        <w:ind w:left="0"/>
        <w:jc w:val="both"/>
        <w:rPr>
          <w:rFonts w:ascii="Bookman Old Style" w:hAnsi="Bookman Old Style" w:cs="Arial"/>
        </w:rPr>
      </w:pPr>
    </w:p>
    <w:p w14:paraId="7407650A" w14:textId="69A82DD3" w:rsidR="0006302B" w:rsidRDefault="0006302B" w:rsidP="0006302B">
      <w:pPr>
        <w:ind w:left="0"/>
        <w:jc w:val="both"/>
        <w:rPr>
          <w:rFonts w:ascii="Bookman Old Style" w:hAnsi="Bookman Old Style" w:cs="Arial"/>
          <w:color w:val="000000" w:themeColor="text1"/>
          <w:lang w:val="es-CO"/>
        </w:rPr>
      </w:pPr>
      <w:r w:rsidRPr="00F766A9">
        <w:rPr>
          <w:rFonts w:ascii="Bookman Old Style" w:hAnsi="Bookman Old Style" w:cs="Arial"/>
        </w:rPr>
        <w:t xml:space="preserve">Lo anterior </w:t>
      </w:r>
      <w:r>
        <w:rPr>
          <w:rFonts w:ascii="Bookman Old Style" w:hAnsi="Bookman Old Style" w:cs="Arial"/>
        </w:rPr>
        <w:t>se desarrolló</w:t>
      </w:r>
      <w:r w:rsidRPr="00F766A9">
        <w:rPr>
          <w:rFonts w:ascii="Bookman Old Style" w:hAnsi="Bookman Old Style" w:cs="Arial"/>
        </w:rPr>
        <w:t xml:space="preserve"> teniendo en cuenta unos lineamientos específicos</w:t>
      </w:r>
      <w:r>
        <w:rPr>
          <w:rFonts w:ascii="Bookman Old Style" w:hAnsi="Bookman Old Style" w:cs="Arial"/>
        </w:rPr>
        <w:t>,</w:t>
      </w:r>
      <w:r w:rsidRPr="00F766A9">
        <w:rPr>
          <w:rFonts w:ascii="Bookman Old Style" w:hAnsi="Bookman Old Style" w:cs="Arial"/>
        </w:rPr>
        <w:t xml:space="preserve"> entre los cuales se </w:t>
      </w:r>
      <w:r>
        <w:rPr>
          <w:rFonts w:ascii="Bookman Old Style" w:hAnsi="Bookman Old Style" w:cs="Arial"/>
        </w:rPr>
        <w:t>definió</w:t>
      </w:r>
      <w:r w:rsidRPr="00F766A9">
        <w:rPr>
          <w:rFonts w:ascii="Bookman Old Style" w:hAnsi="Bookman Old Style" w:cs="Arial"/>
        </w:rPr>
        <w:t xml:space="preserve"> un mecanismo </w:t>
      </w:r>
      <w:r>
        <w:rPr>
          <w:rFonts w:ascii="Bookman Old Style" w:hAnsi="Bookman Old Style" w:cs="Arial"/>
        </w:rPr>
        <w:t>para</w:t>
      </w:r>
      <w:r w:rsidRPr="00F766A9">
        <w:rPr>
          <w:rFonts w:ascii="Bookman Old Style" w:hAnsi="Bookman Old Style" w:cs="Arial"/>
        </w:rPr>
        <w:t xml:space="preserve"> foment</w:t>
      </w:r>
      <w:r>
        <w:rPr>
          <w:rFonts w:ascii="Bookman Old Style" w:hAnsi="Bookman Old Style" w:cs="Arial"/>
        </w:rPr>
        <w:t>ar</w:t>
      </w:r>
      <w:r w:rsidRPr="00F766A9">
        <w:rPr>
          <w:rFonts w:ascii="Bookman Old Style" w:hAnsi="Bookman Old Style" w:cs="Arial"/>
        </w:rPr>
        <w:t xml:space="preserve"> la competencia, </w:t>
      </w:r>
      <w:r>
        <w:rPr>
          <w:rFonts w:ascii="Bookman Old Style" w:hAnsi="Bookman Old Style" w:cs="Arial"/>
        </w:rPr>
        <w:t>realizando</w:t>
      </w:r>
      <w:r w:rsidRPr="00F766A9">
        <w:rPr>
          <w:rFonts w:ascii="Bookman Old Style" w:hAnsi="Bookman Old Style" w:cs="Arial"/>
        </w:rPr>
        <w:t xml:space="preserve"> los ajustes que se consider</w:t>
      </w:r>
      <w:r>
        <w:rPr>
          <w:rFonts w:ascii="Bookman Old Style" w:hAnsi="Bookman Old Style" w:cs="Arial"/>
        </w:rPr>
        <w:t>aro</w:t>
      </w:r>
      <w:r w:rsidRPr="00F766A9">
        <w:rPr>
          <w:rFonts w:ascii="Bookman Old Style" w:hAnsi="Bookman Old Style" w:cs="Arial"/>
        </w:rPr>
        <w:t>n necesarios con el fin de mantener el espíritu dentro del cual se concibió y profirió la Resolución CREG 089 de 2013</w:t>
      </w:r>
      <w:r>
        <w:rPr>
          <w:rFonts w:ascii="Bookman Old Style" w:hAnsi="Bookman Old Style" w:cs="Arial"/>
        </w:rPr>
        <w:t xml:space="preserve">; </w:t>
      </w:r>
      <w:r w:rsidRPr="00540E2F">
        <w:rPr>
          <w:rFonts w:ascii="Bookman Old Style" w:hAnsi="Bookman Old Style" w:cs="Arial"/>
        </w:rPr>
        <w:t>en virtud de lo cual se expidió</w:t>
      </w:r>
      <w:r>
        <w:rPr>
          <w:rFonts w:ascii="Bookman Old Style" w:hAnsi="Bookman Old Style" w:cs="Arial"/>
        </w:rPr>
        <w:t xml:space="preserve"> </w:t>
      </w:r>
      <w:r>
        <w:rPr>
          <w:rFonts w:ascii="Bookman Old Style" w:hAnsi="Bookman Old Style" w:cs="Arial"/>
          <w:color w:val="000000" w:themeColor="text1"/>
          <w:lang w:val="es-CO"/>
        </w:rPr>
        <w:t>la Resolución CREG 114 de 2017</w:t>
      </w:r>
      <w:r w:rsidR="002F1DF5">
        <w:rPr>
          <w:rFonts w:ascii="Bookman Old Style" w:hAnsi="Bookman Old Style" w:cs="Arial"/>
          <w:color w:val="000000" w:themeColor="text1"/>
          <w:lang w:val="es-CO"/>
        </w:rPr>
        <w:t>,</w:t>
      </w:r>
      <w:r>
        <w:rPr>
          <w:rFonts w:ascii="Bookman Old Style" w:hAnsi="Bookman Old Style" w:cs="Arial"/>
          <w:color w:val="000000" w:themeColor="text1"/>
          <w:lang w:val="es-CO"/>
        </w:rPr>
        <w:t xml:space="preserve"> en la que se compiló y derogó la Resolución CREG 089 de 2013 y sus modificaciones, con el fin de facilitar su aplicación y consulta por parte de todos los que hacen parte del sector de gas natural en Colombia.</w:t>
      </w:r>
    </w:p>
    <w:p w14:paraId="5ABC375A" w14:textId="77777777" w:rsidR="0006302B" w:rsidRDefault="0006302B" w:rsidP="0006302B">
      <w:pPr>
        <w:tabs>
          <w:tab w:val="left" w:pos="-720"/>
          <w:tab w:val="left" w:pos="0"/>
          <w:tab w:val="left" w:pos="720"/>
          <w:tab w:val="left" w:pos="1440"/>
          <w:tab w:val="left" w:pos="2160"/>
          <w:tab w:val="left" w:pos="2880"/>
          <w:tab w:val="left" w:pos="3600"/>
          <w:tab w:val="left" w:pos="4320"/>
        </w:tabs>
        <w:autoSpaceDE w:val="0"/>
        <w:autoSpaceDN w:val="0"/>
        <w:adjustRightInd w:val="0"/>
        <w:ind w:left="0"/>
        <w:jc w:val="both"/>
        <w:rPr>
          <w:rFonts w:ascii="Bookman Old Style" w:hAnsi="Bookman Old Style" w:cs="Arial"/>
        </w:rPr>
      </w:pPr>
    </w:p>
    <w:p w14:paraId="65DF7533" w14:textId="79A37BF1" w:rsidR="0006302B" w:rsidRPr="002D5416" w:rsidRDefault="0006302B" w:rsidP="0006302B">
      <w:pPr>
        <w:ind w:left="0"/>
        <w:jc w:val="both"/>
        <w:rPr>
          <w:rFonts w:ascii="Bookman Old Style" w:hAnsi="Bookman Old Style" w:cs="Arial"/>
          <w:color w:val="000000" w:themeColor="text1"/>
        </w:rPr>
      </w:pPr>
      <w:r w:rsidRPr="002D5416">
        <w:rPr>
          <w:rFonts w:ascii="Bookman Old Style" w:hAnsi="Bookman Old Style" w:cs="Arial"/>
          <w:color w:val="000000" w:themeColor="text1"/>
        </w:rPr>
        <w:t>De igual forma, mediante la expedición de la Resolución CREG 021 de 2019, se</w:t>
      </w:r>
      <w:r w:rsidR="002850AA" w:rsidRPr="002D5416">
        <w:rPr>
          <w:rFonts w:ascii="Bookman Old Style" w:hAnsi="Bookman Old Style" w:cs="Arial"/>
          <w:color w:val="000000" w:themeColor="text1"/>
        </w:rPr>
        <w:t xml:space="preserve"> introdu</w:t>
      </w:r>
      <w:r w:rsidR="00D54036">
        <w:rPr>
          <w:rFonts w:ascii="Bookman Old Style" w:hAnsi="Bookman Old Style" w:cs="Arial"/>
          <w:color w:val="000000" w:themeColor="text1"/>
        </w:rPr>
        <w:t>jo</w:t>
      </w:r>
      <w:r w:rsidRPr="002D5416">
        <w:rPr>
          <w:rFonts w:ascii="Bookman Old Style" w:hAnsi="Bookman Old Style" w:cs="Arial"/>
          <w:color w:val="000000" w:themeColor="text1"/>
        </w:rPr>
        <w:t xml:space="preserve"> flexibilidad a los contratos que se pacten en el mercado secundario, en el sentido que tendrán la duración que acuerden las partes</w:t>
      </w:r>
      <w:r w:rsidR="002F1DF5" w:rsidRPr="002D5416">
        <w:rPr>
          <w:rFonts w:ascii="Bookman Old Style" w:hAnsi="Bookman Old Style" w:cs="Arial"/>
          <w:color w:val="000000" w:themeColor="text1"/>
        </w:rPr>
        <w:t>,</w:t>
      </w:r>
      <w:r w:rsidRPr="002D5416">
        <w:rPr>
          <w:rFonts w:ascii="Bookman Old Style" w:hAnsi="Bookman Old Style" w:cs="Arial"/>
          <w:color w:val="000000" w:themeColor="text1"/>
        </w:rPr>
        <w:t xml:space="preserve"> siempre y cuando su inicio sea en el año de negociación</w:t>
      </w:r>
      <w:r w:rsidR="002F1DF5" w:rsidRPr="002D5416">
        <w:rPr>
          <w:rFonts w:ascii="Bookman Old Style" w:hAnsi="Bookman Old Style" w:cs="Arial"/>
          <w:color w:val="000000" w:themeColor="text1"/>
        </w:rPr>
        <w:t>. A</w:t>
      </w:r>
      <w:r w:rsidRPr="002D5416">
        <w:rPr>
          <w:rFonts w:ascii="Bookman Old Style" w:hAnsi="Bookman Old Style" w:cs="Arial"/>
          <w:color w:val="000000" w:themeColor="text1"/>
        </w:rPr>
        <w:t>sí mismo</w:t>
      </w:r>
      <w:r w:rsidR="002F1DF5" w:rsidRPr="002D5416">
        <w:rPr>
          <w:rFonts w:ascii="Bookman Old Style" w:hAnsi="Bookman Old Style" w:cs="Arial"/>
          <w:color w:val="000000" w:themeColor="text1"/>
        </w:rPr>
        <w:t>,</w:t>
      </w:r>
      <w:r w:rsidRPr="002D5416">
        <w:rPr>
          <w:rFonts w:ascii="Bookman Old Style" w:hAnsi="Bookman Old Style" w:cs="Arial"/>
          <w:color w:val="000000" w:themeColor="text1"/>
        </w:rPr>
        <w:t xml:space="preserve"> se </w:t>
      </w:r>
      <w:r w:rsidR="00076DB2" w:rsidRPr="002D5416">
        <w:rPr>
          <w:rFonts w:ascii="Bookman Old Style" w:hAnsi="Bookman Old Style" w:cs="Arial"/>
          <w:color w:val="000000" w:themeColor="text1"/>
        </w:rPr>
        <w:t>d</w:t>
      </w:r>
      <w:r w:rsidR="00076DB2">
        <w:rPr>
          <w:rFonts w:ascii="Bookman Old Style" w:hAnsi="Bookman Old Style" w:cs="Arial"/>
          <w:color w:val="000000" w:themeColor="text1"/>
        </w:rPr>
        <w:t>io</w:t>
      </w:r>
      <w:r w:rsidRPr="002D5416">
        <w:rPr>
          <w:rFonts w:ascii="Bookman Old Style" w:hAnsi="Bookman Old Style" w:cs="Arial"/>
          <w:color w:val="000000" w:themeColor="text1"/>
        </w:rPr>
        <w:t xml:space="preserve"> flexibilización al inicio de los contratos bilaterales de largo plazo para atender demanda no regulada, entre otras disposiciones.</w:t>
      </w:r>
    </w:p>
    <w:p w14:paraId="48A0246B" w14:textId="77777777" w:rsidR="0006302B" w:rsidRPr="002D5416" w:rsidRDefault="0006302B" w:rsidP="0006302B">
      <w:pPr>
        <w:ind w:left="0"/>
        <w:jc w:val="both"/>
        <w:rPr>
          <w:rFonts w:ascii="Bookman Old Style" w:hAnsi="Bookman Old Style" w:cs="Arial"/>
          <w:color w:val="000000" w:themeColor="text1"/>
        </w:rPr>
      </w:pPr>
      <w:r w:rsidRPr="002D5416">
        <w:rPr>
          <w:rFonts w:ascii="Bookman Old Style" w:hAnsi="Bookman Old Style" w:cs="Arial"/>
          <w:color w:val="000000" w:themeColor="text1"/>
        </w:rPr>
        <w:t xml:space="preserve"> </w:t>
      </w:r>
    </w:p>
    <w:p w14:paraId="42A1FAD5" w14:textId="21EBE784" w:rsidR="0006302B" w:rsidRPr="006461EF" w:rsidRDefault="0006302B" w:rsidP="0006302B">
      <w:pPr>
        <w:ind w:left="0"/>
        <w:jc w:val="both"/>
        <w:rPr>
          <w:rFonts w:ascii="Bookman Old Style" w:hAnsi="Bookman Old Style" w:cs="Arial"/>
          <w:color w:val="000000" w:themeColor="text1"/>
        </w:rPr>
      </w:pPr>
      <w:r w:rsidRPr="006461EF">
        <w:rPr>
          <w:rFonts w:ascii="Bookman Old Style" w:hAnsi="Bookman Old Style" w:cs="Arial"/>
          <w:color w:val="000000" w:themeColor="text1"/>
        </w:rPr>
        <w:t xml:space="preserve">Considerando la dinámica propia del sector de gas natural en Colombia, la Comisión encontró necesario revisar integralmente la Resolución CREG 114 de 2017. Este análisis tuvo en cuenta, principalmente, los siguientes aspectos: (i) revisión de las disposiciones que modificaron la Resolución CREG 114 de 2017, (ii) identificación y análisis de aquellas disposiciones regulatorias en las que pudieron operar los fenómenos del decaimiento o de la derogatoria tácita; y, (iii) identificación de las disposiciones que son aplicables únicamente a la actividad </w:t>
      </w:r>
      <w:r w:rsidRPr="006461EF">
        <w:rPr>
          <w:rFonts w:ascii="Bookman Old Style" w:hAnsi="Bookman Old Style" w:cs="Arial"/>
          <w:color w:val="000000" w:themeColor="text1"/>
        </w:rPr>
        <w:lastRenderedPageBreak/>
        <w:t>de suministro, a la actividad de transporte</w:t>
      </w:r>
      <w:r w:rsidR="002F1DF5" w:rsidRPr="006461EF">
        <w:rPr>
          <w:rFonts w:ascii="Bookman Old Style" w:hAnsi="Bookman Old Style" w:cs="Arial"/>
          <w:color w:val="000000" w:themeColor="text1"/>
        </w:rPr>
        <w:t>,</w:t>
      </w:r>
      <w:r w:rsidRPr="006461EF">
        <w:rPr>
          <w:rFonts w:ascii="Bookman Old Style" w:hAnsi="Bookman Old Style" w:cs="Arial"/>
          <w:color w:val="000000" w:themeColor="text1"/>
        </w:rPr>
        <w:t xml:space="preserve"> o a ambas</w:t>
      </w:r>
      <w:r w:rsidR="002F1DF5" w:rsidRPr="006461EF">
        <w:rPr>
          <w:rFonts w:ascii="Bookman Old Style" w:hAnsi="Bookman Old Style" w:cs="Arial"/>
          <w:color w:val="000000" w:themeColor="text1"/>
        </w:rPr>
        <w:t>,</w:t>
      </w:r>
      <w:r w:rsidRPr="006461EF">
        <w:rPr>
          <w:rFonts w:ascii="Bookman Old Style" w:hAnsi="Bookman Old Style" w:cs="Arial"/>
          <w:color w:val="000000" w:themeColor="text1"/>
        </w:rPr>
        <w:t xml:space="preserve"> y proceder con su separación para mejor entendimiento regulatorio.</w:t>
      </w:r>
    </w:p>
    <w:p w14:paraId="5B208EAD" w14:textId="77777777" w:rsidR="0006302B" w:rsidRPr="006461EF" w:rsidRDefault="0006302B" w:rsidP="0006302B">
      <w:pPr>
        <w:ind w:left="0"/>
        <w:jc w:val="both"/>
        <w:rPr>
          <w:rFonts w:ascii="Bookman Old Style" w:hAnsi="Bookman Old Style" w:cs="Arial"/>
          <w:color w:val="000000" w:themeColor="text1"/>
          <w:highlight w:val="green"/>
        </w:rPr>
      </w:pPr>
    </w:p>
    <w:p w14:paraId="0B0E5FC3" w14:textId="721D7AFE" w:rsidR="0006302B" w:rsidRPr="006461EF" w:rsidRDefault="0006302B" w:rsidP="0006302B">
      <w:pPr>
        <w:ind w:left="0"/>
        <w:jc w:val="both"/>
        <w:rPr>
          <w:rFonts w:ascii="Bookman Old Style" w:hAnsi="Bookman Old Style" w:cs="Arial"/>
          <w:color w:val="000000"/>
        </w:rPr>
      </w:pPr>
      <w:r w:rsidRPr="002D5416">
        <w:rPr>
          <w:rFonts w:ascii="Bookman Old Style" w:hAnsi="Bookman Old Style" w:cs="Arial"/>
          <w:color w:val="000000" w:themeColor="text1"/>
        </w:rPr>
        <w:t>Mediante la Resolución CREG 080 de 2019 se establecieron reglas generales de comportamiento de mercado para los agentes que desarrollen las actividades de los servicios públicos domiciliarios de energía eléctrica y gas combustible</w:t>
      </w:r>
      <w:r w:rsidR="002F1DF5" w:rsidRPr="002D5416">
        <w:rPr>
          <w:rFonts w:ascii="Bookman Old Style" w:hAnsi="Bookman Old Style" w:cs="Arial"/>
          <w:color w:val="000000" w:themeColor="text1"/>
        </w:rPr>
        <w:t>,</w:t>
      </w:r>
      <w:r w:rsidRPr="002D5416">
        <w:rPr>
          <w:rFonts w:ascii="Bookman Old Style" w:hAnsi="Bookman Old Style" w:cs="Arial"/>
          <w:color w:val="000000" w:themeColor="text1"/>
        </w:rPr>
        <w:t xml:space="preserve"> con el objeto de proveer una base normativa integral que guíe el actuar de los prestadores de dichos servicios, congruente con los principios y las obligaciones establecidas en la ley.</w:t>
      </w:r>
    </w:p>
    <w:p w14:paraId="417C784F" w14:textId="77777777" w:rsidR="0006302B" w:rsidRDefault="0006302B" w:rsidP="0006302B">
      <w:pPr>
        <w:ind w:left="0"/>
        <w:jc w:val="both"/>
        <w:rPr>
          <w:rFonts w:ascii="Bookman Old Style" w:hAnsi="Bookman Old Style" w:cs="Arial"/>
          <w:color w:val="000000" w:themeColor="text1"/>
        </w:rPr>
      </w:pPr>
    </w:p>
    <w:p w14:paraId="5F203894" w14:textId="77777777" w:rsidR="0006302B" w:rsidRPr="00083D66" w:rsidRDefault="0006302B" w:rsidP="0006302B">
      <w:pPr>
        <w:ind w:left="0"/>
        <w:jc w:val="both"/>
        <w:rPr>
          <w:rFonts w:ascii="Bookman Old Style" w:hAnsi="Bookman Old Style" w:cs="Arial"/>
          <w:color w:val="000000" w:themeColor="text1"/>
        </w:rPr>
      </w:pPr>
      <w:r w:rsidRPr="00083D66">
        <w:rPr>
          <w:rFonts w:ascii="Bookman Old Style" w:hAnsi="Bookman Old Style" w:cs="Arial"/>
          <w:color w:val="000000" w:themeColor="text1"/>
        </w:rPr>
        <w:t>Para la Comisión es de gran importancia que todas las resoluciones de carácter general puedan ser consultadas</w:t>
      </w:r>
      <w:r>
        <w:rPr>
          <w:rFonts w:ascii="Bookman Old Style" w:hAnsi="Bookman Old Style" w:cs="Arial"/>
          <w:color w:val="000000" w:themeColor="text1"/>
        </w:rPr>
        <w:t>,</w:t>
      </w:r>
      <w:r w:rsidRPr="00083D66">
        <w:rPr>
          <w:rFonts w:ascii="Bookman Old Style" w:hAnsi="Bookman Old Style" w:cs="Arial"/>
          <w:color w:val="000000" w:themeColor="text1"/>
        </w:rPr>
        <w:t xml:space="preserve"> de forma tal que exista claridad sobre las disposiciones vigentes que rigen cada actividad, facilitando así el acceso y su entendimiento. </w:t>
      </w:r>
    </w:p>
    <w:p w14:paraId="72276359" w14:textId="77777777" w:rsidR="0006302B" w:rsidRPr="00AD5771" w:rsidRDefault="0006302B" w:rsidP="0006302B">
      <w:pPr>
        <w:shd w:val="clear" w:color="auto" w:fill="FFFFFF"/>
        <w:ind w:left="0"/>
        <w:jc w:val="both"/>
        <w:rPr>
          <w:rFonts w:ascii="Bookman Old Style" w:hAnsi="Bookman Old Style" w:cs="Arial"/>
        </w:rPr>
      </w:pPr>
    </w:p>
    <w:p w14:paraId="6C1B4883" w14:textId="27A761EF" w:rsidR="0006302B" w:rsidRPr="002D5416" w:rsidRDefault="0006302B" w:rsidP="0006302B">
      <w:pPr>
        <w:shd w:val="clear" w:color="auto" w:fill="FFFFFF"/>
        <w:ind w:left="0"/>
        <w:jc w:val="both"/>
        <w:rPr>
          <w:rFonts w:ascii="Bookman Old Style" w:hAnsi="Bookman Old Style" w:cs="Arial"/>
        </w:rPr>
      </w:pPr>
      <w:r w:rsidRPr="002D5416">
        <w:rPr>
          <w:rFonts w:ascii="Bookman Old Style" w:hAnsi="Bookman Old Style" w:cs="Arial"/>
        </w:rPr>
        <w:t xml:space="preserve">Es por ello </w:t>
      </w:r>
      <w:proofErr w:type="gramStart"/>
      <w:r w:rsidRPr="002D5416">
        <w:rPr>
          <w:rFonts w:ascii="Bookman Old Style" w:hAnsi="Bookman Old Style" w:cs="Arial"/>
        </w:rPr>
        <w:t>que</w:t>
      </w:r>
      <w:proofErr w:type="gramEnd"/>
      <w:r w:rsidR="002F1DF5" w:rsidRPr="002D5416">
        <w:rPr>
          <w:rFonts w:ascii="Bookman Old Style" w:hAnsi="Bookman Old Style" w:cs="Arial"/>
        </w:rPr>
        <w:t>,</w:t>
      </w:r>
      <w:r w:rsidRPr="002D5416">
        <w:rPr>
          <w:rFonts w:ascii="Bookman Old Style" w:hAnsi="Bookman Old Style" w:cs="Arial"/>
        </w:rPr>
        <w:t xml:space="preserve"> mediante las resoluciones CREG 185 de 2020 y CREG 186 de 2020</w:t>
      </w:r>
      <w:r w:rsidR="002F1DF5" w:rsidRPr="002D5416">
        <w:rPr>
          <w:rFonts w:ascii="Bookman Old Style" w:hAnsi="Bookman Old Style" w:cs="Arial"/>
        </w:rPr>
        <w:t>,</w:t>
      </w:r>
      <w:r w:rsidRPr="002D5416">
        <w:rPr>
          <w:rFonts w:ascii="Bookman Old Style" w:hAnsi="Bookman Old Style" w:cs="Arial"/>
        </w:rPr>
        <w:t xml:space="preserve"> se separaron las reglas que regulan aspectos comerciales del Mercado Mayorista de gas natural, como parte del reglamento de operación de gas, relacionados con la comercialización de capacidad de transporte de gas natural y con la comercialización del suministro de gas natural</w:t>
      </w:r>
      <w:r w:rsidR="002F1DF5" w:rsidRPr="002D5416">
        <w:rPr>
          <w:rFonts w:ascii="Bookman Old Style" w:hAnsi="Bookman Old Style" w:cs="Arial"/>
        </w:rPr>
        <w:t>,</w:t>
      </w:r>
      <w:r w:rsidRPr="002D5416">
        <w:rPr>
          <w:rFonts w:ascii="Bookman Old Style" w:hAnsi="Bookman Old Style" w:cs="Arial"/>
        </w:rPr>
        <w:t xml:space="preserve"> respectivamente.</w:t>
      </w:r>
    </w:p>
    <w:p w14:paraId="6DB9BB1B" w14:textId="77777777" w:rsidR="0006302B" w:rsidRPr="002D5416" w:rsidRDefault="0006302B" w:rsidP="0006302B">
      <w:pPr>
        <w:ind w:left="0"/>
        <w:jc w:val="both"/>
        <w:rPr>
          <w:rFonts w:ascii="Bookman Old Style" w:hAnsi="Bookman Old Style" w:cs="Arial"/>
          <w:color w:val="000000" w:themeColor="text1"/>
        </w:rPr>
      </w:pPr>
    </w:p>
    <w:p w14:paraId="094BDBD8" w14:textId="77777777" w:rsidR="0006302B" w:rsidRPr="002D5416" w:rsidRDefault="0006302B" w:rsidP="0006302B">
      <w:pPr>
        <w:ind w:left="0"/>
        <w:jc w:val="both"/>
        <w:rPr>
          <w:rFonts w:ascii="Bookman Old Style" w:hAnsi="Bookman Old Style" w:cs="Arial"/>
          <w:color w:val="000000" w:themeColor="text1"/>
        </w:rPr>
      </w:pPr>
      <w:r w:rsidRPr="002D5416">
        <w:rPr>
          <w:rFonts w:ascii="Bookman Old Style" w:hAnsi="Bookman Old Style" w:cs="Arial"/>
          <w:color w:val="000000" w:themeColor="text1"/>
        </w:rPr>
        <w:t xml:space="preserve">En este sentido, mediante la expedición de la Resolución CREG 186 de 2020 se compilaron las modificaciones realizadas hasta ese momento sobre la Resolución CREG 114 de 2017, entre otras las Resoluciones CREG 140 y 153 de 2017, 008 de 2018 y 021 de 2019. </w:t>
      </w:r>
    </w:p>
    <w:p w14:paraId="3E3DA9A3" w14:textId="77777777" w:rsidR="0006302B" w:rsidRPr="002D5416" w:rsidRDefault="0006302B" w:rsidP="0006302B">
      <w:pPr>
        <w:shd w:val="clear" w:color="auto" w:fill="FFFFFF"/>
        <w:ind w:left="0"/>
        <w:jc w:val="both"/>
        <w:rPr>
          <w:rFonts w:ascii="Bookman Old Style" w:hAnsi="Bookman Old Style" w:cs="Arial"/>
        </w:rPr>
      </w:pPr>
    </w:p>
    <w:p w14:paraId="5EA1A695" w14:textId="25B67D76" w:rsidR="0006302B" w:rsidRPr="002D5416" w:rsidRDefault="0006302B" w:rsidP="0006302B">
      <w:pPr>
        <w:shd w:val="clear" w:color="auto" w:fill="FFFFFF"/>
        <w:ind w:left="0"/>
        <w:jc w:val="both"/>
        <w:rPr>
          <w:rFonts w:ascii="Bookman Old Style" w:hAnsi="Bookman Old Style" w:cs="Arial"/>
        </w:rPr>
      </w:pPr>
      <w:r w:rsidRPr="002D5416">
        <w:rPr>
          <w:rFonts w:ascii="Bookman Old Style" w:hAnsi="Bookman Old Style" w:cs="Arial"/>
        </w:rPr>
        <w:t xml:space="preserve">Mediante el documento CREG-049 de 2021, publicado </w:t>
      </w:r>
      <w:r w:rsidR="00162A1F">
        <w:rPr>
          <w:rFonts w:ascii="Bookman Old Style" w:hAnsi="Bookman Old Style" w:cs="Arial"/>
        </w:rPr>
        <w:t>con</w:t>
      </w:r>
      <w:r w:rsidRPr="002D5416">
        <w:rPr>
          <w:rFonts w:ascii="Bookman Old Style" w:hAnsi="Bookman Old Style" w:cs="Arial"/>
        </w:rPr>
        <w:t xml:space="preserve"> la </w:t>
      </w:r>
      <w:r w:rsidR="007C2396">
        <w:rPr>
          <w:rFonts w:ascii="Bookman Old Style" w:hAnsi="Bookman Old Style" w:cs="Arial"/>
        </w:rPr>
        <w:t>C</w:t>
      </w:r>
      <w:r w:rsidRPr="002D5416">
        <w:rPr>
          <w:rFonts w:ascii="Bookman Old Style" w:hAnsi="Bookman Old Style" w:cs="Arial"/>
        </w:rPr>
        <w:t>ircular CREG 031 de 2021, la Comisión presentó para comentarios, sugerencias y observaciones de todos los Participantes del Mercado Mayorista de gas natural un “</w:t>
      </w:r>
      <w:r w:rsidRPr="002D5416">
        <w:rPr>
          <w:rFonts w:ascii="Bookman Old Style" w:hAnsi="Bookman Old Style" w:cs="Arial"/>
          <w:i/>
          <w:iCs/>
        </w:rPr>
        <w:t>Análisis de la comercialización mayorista de suministro de gas natural, desde la expedición de la Resolución CREG 089 de 2013 a la fecha y sus perspectivas de mejora</w:t>
      </w:r>
      <w:r w:rsidRPr="002D5416">
        <w:rPr>
          <w:rFonts w:ascii="Bookman Old Style" w:hAnsi="Bookman Old Style" w:cs="Arial"/>
        </w:rPr>
        <w:t>”. En dicho documento se realizó un análisis, entre otros aspectos, sobre el funcionamiento del mercado</w:t>
      </w:r>
      <w:r w:rsidR="002F1DF5" w:rsidRPr="002D5416">
        <w:rPr>
          <w:rFonts w:ascii="Bookman Old Style" w:hAnsi="Bookman Old Style" w:cs="Arial"/>
        </w:rPr>
        <w:t>,</w:t>
      </w:r>
      <w:r w:rsidRPr="002D5416">
        <w:rPr>
          <w:rFonts w:ascii="Bookman Old Style" w:hAnsi="Bookman Old Style" w:cs="Arial"/>
        </w:rPr>
        <w:t xml:space="preserve"> tomando en cuenta la percepción de los agentes, otros análisis o aproximaciones asociados al funcionamiento de la comercialización del suministro de gas natural, la evolución del Mercado Mayorista y su estado actual, y una formulación de alternativas para afrontar las problemáticas presentadas.</w:t>
      </w:r>
    </w:p>
    <w:p w14:paraId="1A670C46" w14:textId="77777777" w:rsidR="0006302B" w:rsidRPr="00670991" w:rsidRDefault="0006302B" w:rsidP="0006302B">
      <w:pPr>
        <w:shd w:val="clear" w:color="auto" w:fill="FFFFFF"/>
        <w:ind w:left="0"/>
        <w:jc w:val="both"/>
        <w:rPr>
          <w:rFonts w:ascii="Bookman Old Style" w:hAnsi="Bookman Old Style" w:cs="Arial"/>
          <w:highlight w:val="green"/>
        </w:rPr>
      </w:pPr>
    </w:p>
    <w:p w14:paraId="1EC0AB78" w14:textId="64F7E3EB" w:rsidR="0006302B" w:rsidRDefault="0006302B" w:rsidP="0006302B">
      <w:pPr>
        <w:shd w:val="clear" w:color="auto" w:fill="FFFFFF"/>
        <w:ind w:left="0"/>
        <w:jc w:val="both"/>
        <w:rPr>
          <w:rFonts w:ascii="Bookman Old Style" w:hAnsi="Bookman Old Style" w:cs="Arial"/>
        </w:rPr>
      </w:pPr>
      <w:r w:rsidRPr="002D5416">
        <w:rPr>
          <w:rFonts w:ascii="Bookman Old Style" w:hAnsi="Bookman Old Style" w:cs="Arial"/>
        </w:rPr>
        <w:t>A partir de los análisis presentados en el Documento CREG-049 de 2021, de los comentarios recibidos a las alternativas inicialmente formuladas en dicho documento</w:t>
      </w:r>
      <w:r w:rsidR="002F1DF5" w:rsidRPr="002D5416">
        <w:rPr>
          <w:rFonts w:ascii="Bookman Old Style" w:hAnsi="Bookman Old Style" w:cs="Arial"/>
        </w:rPr>
        <w:t>,</w:t>
      </w:r>
      <w:r w:rsidRPr="002D5416">
        <w:rPr>
          <w:rFonts w:ascii="Bookman Old Style" w:hAnsi="Bookman Old Style" w:cs="Arial"/>
        </w:rPr>
        <w:t xml:space="preserve"> y de los resultados de las operaciones en el Mercado Mayorista en el año 2020,</w:t>
      </w:r>
      <w:r w:rsidR="001A15D0" w:rsidRPr="002D5416">
        <w:rPr>
          <w:rFonts w:ascii="Bookman Old Style" w:hAnsi="Bookman Old Style" w:cs="Arial"/>
        </w:rPr>
        <w:t xml:space="preserve"> durante</w:t>
      </w:r>
      <w:r w:rsidRPr="002D5416">
        <w:rPr>
          <w:rFonts w:ascii="Bookman Old Style" w:hAnsi="Bookman Old Style" w:cs="Arial"/>
        </w:rPr>
        <w:t xml:space="preserve"> la </w:t>
      </w:r>
      <w:r w:rsidR="001A15D0" w:rsidRPr="002D5416">
        <w:rPr>
          <w:rFonts w:ascii="Bookman Old Style" w:hAnsi="Bookman Old Style" w:cs="Arial"/>
        </w:rPr>
        <w:t xml:space="preserve">emergencia económica y sanitaria decretadas por el Gobierno </w:t>
      </w:r>
      <w:r w:rsidR="00162A1F">
        <w:rPr>
          <w:rFonts w:ascii="Bookman Old Style" w:hAnsi="Bookman Old Style" w:cs="Arial"/>
        </w:rPr>
        <w:t>N</w:t>
      </w:r>
      <w:r w:rsidR="001A15D0" w:rsidRPr="002D5416">
        <w:rPr>
          <w:rFonts w:ascii="Bookman Old Style" w:hAnsi="Bookman Old Style" w:cs="Arial"/>
        </w:rPr>
        <w:t xml:space="preserve">acional como respuesta a la Pandemia del </w:t>
      </w:r>
      <w:r w:rsidR="002F1DF5" w:rsidRPr="002D5416">
        <w:rPr>
          <w:rFonts w:ascii="Bookman Old Style" w:hAnsi="Bookman Old Style" w:cs="Arial"/>
        </w:rPr>
        <w:t>COVID-</w:t>
      </w:r>
      <w:r w:rsidR="001A15D0" w:rsidRPr="002D5416">
        <w:rPr>
          <w:rFonts w:ascii="Bookman Old Style" w:hAnsi="Bookman Old Style" w:cs="Arial"/>
        </w:rPr>
        <w:t xml:space="preserve">19, la </w:t>
      </w:r>
      <w:r w:rsidRPr="002D5416">
        <w:rPr>
          <w:rFonts w:ascii="Bookman Old Style" w:hAnsi="Bookman Old Style" w:cs="Arial"/>
        </w:rPr>
        <w:t>Comisión consider</w:t>
      </w:r>
      <w:r w:rsidR="00084ED6">
        <w:rPr>
          <w:rFonts w:ascii="Bookman Old Style" w:hAnsi="Bookman Old Style" w:cs="Arial"/>
        </w:rPr>
        <w:t>ó</w:t>
      </w:r>
      <w:r w:rsidRPr="002D5416">
        <w:rPr>
          <w:rFonts w:ascii="Bookman Old Style" w:hAnsi="Bookman Old Style" w:cs="Arial"/>
        </w:rPr>
        <w:t xml:space="preserve"> conveniente realizar ajustes y modificaciones a algunas de las reglas contenidas </w:t>
      </w:r>
      <w:r w:rsidR="001A15D0" w:rsidRPr="002D5416">
        <w:rPr>
          <w:rFonts w:ascii="Bookman Old Style" w:hAnsi="Bookman Old Style" w:cs="Arial"/>
        </w:rPr>
        <w:t xml:space="preserve">en el </w:t>
      </w:r>
      <w:r w:rsidR="00F45B42">
        <w:rPr>
          <w:rFonts w:ascii="Bookman Old Style" w:hAnsi="Bookman Old Style" w:cs="Arial"/>
        </w:rPr>
        <w:t>m</w:t>
      </w:r>
      <w:r w:rsidR="00F45B42" w:rsidRPr="002D5416">
        <w:rPr>
          <w:rFonts w:ascii="Bookman Old Style" w:hAnsi="Bookman Old Style" w:cs="Arial"/>
        </w:rPr>
        <w:t xml:space="preserve">ercado </w:t>
      </w:r>
      <w:r w:rsidR="001A15D0" w:rsidRPr="002D5416">
        <w:rPr>
          <w:rFonts w:ascii="Bookman Old Style" w:hAnsi="Bookman Old Style" w:cs="Arial"/>
        </w:rPr>
        <w:t xml:space="preserve">mayorista de suministro de gas contenidas </w:t>
      </w:r>
      <w:r w:rsidRPr="002D5416">
        <w:rPr>
          <w:rFonts w:ascii="Bookman Old Style" w:hAnsi="Bookman Old Style" w:cs="Arial"/>
        </w:rPr>
        <w:t xml:space="preserve">en la Resolución CREG 186 de 2020, particularmente en el mercado primario del Mercado Mayorista, con el fin de, entre otros aspectos, incentivar una mayor oferta de gas, </w:t>
      </w:r>
      <w:r w:rsidR="007E4F98">
        <w:rPr>
          <w:rFonts w:ascii="Bookman Old Style" w:hAnsi="Bookman Old Style" w:cs="Arial"/>
        </w:rPr>
        <w:t xml:space="preserve">proveniente </w:t>
      </w:r>
      <w:r w:rsidRPr="002D5416">
        <w:rPr>
          <w:rFonts w:ascii="Bookman Old Style" w:hAnsi="Bookman Old Style" w:cs="Arial"/>
        </w:rPr>
        <w:t xml:space="preserve">de fuentes nacionales o </w:t>
      </w:r>
      <w:r w:rsidR="007E4F98">
        <w:rPr>
          <w:rFonts w:ascii="Bookman Old Style" w:hAnsi="Bookman Old Style" w:cs="Arial"/>
        </w:rPr>
        <w:t>de gas obtenido en el exterior</w:t>
      </w:r>
      <w:r w:rsidRPr="002D5416">
        <w:rPr>
          <w:rFonts w:ascii="Bookman Old Style" w:hAnsi="Bookman Old Style" w:cs="Arial"/>
        </w:rPr>
        <w:t xml:space="preserve">, aumentar la flexibilidad en la contratación del suministro en </w:t>
      </w:r>
      <w:r w:rsidR="006461EF">
        <w:rPr>
          <w:rFonts w:ascii="Bookman Old Style" w:hAnsi="Bookman Old Style" w:cs="Arial"/>
        </w:rPr>
        <w:t>el</w:t>
      </w:r>
      <w:r w:rsidR="006461EF" w:rsidRPr="002D5416">
        <w:rPr>
          <w:rFonts w:ascii="Bookman Old Style" w:hAnsi="Bookman Old Style" w:cs="Arial"/>
        </w:rPr>
        <w:t xml:space="preserve"> </w:t>
      </w:r>
      <w:r w:rsidRPr="002D5416">
        <w:rPr>
          <w:rFonts w:ascii="Bookman Old Style" w:hAnsi="Bookman Old Style" w:cs="Arial"/>
        </w:rPr>
        <w:t>mercado</w:t>
      </w:r>
      <w:r w:rsidR="006461EF">
        <w:rPr>
          <w:rFonts w:ascii="Bookman Old Style" w:hAnsi="Bookman Old Style" w:cs="Arial"/>
        </w:rPr>
        <w:t xml:space="preserve"> primario</w:t>
      </w:r>
      <w:r w:rsidRPr="002D5416">
        <w:rPr>
          <w:rFonts w:ascii="Bookman Old Style" w:hAnsi="Bookman Old Style" w:cs="Arial"/>
        </w:rPr>
        <w:t>, el acople de los mecanismos de comercialización del suministro de gas con los mecanismos de comercialización de la capacidad de transporte de gas natural establecidos en la Resolución CREG 185 de 2020</w:t>
      </w:r>
      <w:r w:rsidR="006461EF">
        <w:rPr>
          <w:rFonts w:ascii="Bookman Old Style" w:hAnsi="Bookman Old Style" w:cs="Arial"/>
        </w:rPr>
        <w:t xml:space="preserve"> y aquellas que la </w:t>
      </w:r>
      <w:r w:rsidR="006461EF">
        <w:rPr>
          <w:rFonts w:ascii="Bookman Old Style" w:hAnsi="Bookman Old Style" w:cs="Arial"/>
        </w:rPr>
        <w:lastRenderedPageBreak/>
        <w:t>modifiquen o sustituyan</w:t>
      </w:r>
      <w:r w:rsidRPr="002D5416">
        <w:rPr>
          <w:rFonts w:ascii="Bookman Old Style" w:hAnsi="Bookman Old Style" w:cs="Arial"/>
        </w:rPr>
        <w:t>, y asegurar un mecanismo que permita a los agentes que atiendan a la Demanda Esencial tener acceso a los contratos de suministro de gas natural con agentes que cuenten con Respaldo Físico</w:t>
      </w:r>
      <w:r w:rsidR="006461EF">
        <w:rPr>
          <w:rFonts w:ascii="Bookman Old Style" w:hAnsi="Bookman Old Style" w:cs="Arial"/>
        </w:rPr>
        <w:t>,</w:t>
      </w:r>
      <w:r w:rsidRPr="002D5416">
        <w:rPr>
          <w:rFonts w:ascii="Bookman Old Style" w:hAnsi="Bookman Old Style" w:cs="Arial"/>
        </w:rPr>
        <w:t xml:space="preserve"> considerando la</w:t>
      </w:r>
      <w:r w:rsidR="006461EF">
        <w:rPr>
          <w:rFonts w:ascii="Bookman Old Style" w:hAnsi="Bookman Old Style" w:cs="Arial"/>
        </w:rPr>
        <w:t xml:space="preserve">s proyecciones actuales </w:t>
      </w:r>
      <w:r w:rsidRPr="002D5416">
        <w:rPr>
          <w:rFonts w:ascii="Bookman Old Style" w:hAnsi="Bookman Old Style" w:cs="Arial"/>
        </w:rPr>
        <w:t>de abastecimiento de gas en el mediano</w:t>
      </w:r>
      <w:r w:rsidR="006461EF">
        <w:rPr>
          <w:rFonts w:ascii="Bookman Old Style" w:hAnsi="Bookman Old Style" w:cs="Arial"/>
        </w:rPr>
        <w:t xml:space="preserve"> y en el largo</w:t>
      </w:r>
      <w:r w:rsidRPr="002D5416">
        <w:rPr>
          <w:rFonts w:ascii="Bookman Old Style" w:hAnsi="Bookman Old Style" w:cs="Arial"/>
        </w:rPr>
        <w:t xml:space="preserve"> plazo.</w:t>
      </w:r>
    </w:p>
    <w:p w14:paraId="5AC73AE7" w14:textId="4AADD17F" w:rsidR="00986168" w:rsidRDefault="00986168" w:rsidP="0006302B">
      <w:pPr>
        <w:shd w:val="clear" w:color="auto" w:fill="FFFFFF"/>
        <w:ind w:left="0"/>
        <w:jc w:val="both"/>
        <w:rPr>
          <w:rFonts w:ascii="Bookman Old Style" w:hAnsi="Bookman Old Style" w:cs="Arial"/>
        </w:rPr>
      </w:pPr>
    </w:p>
    <w:p w14:paraId="6049C961" w14:textId="1831637B" w:rsidR="007E4F98" w:rsidRDefault="007E4F98" w:rsidP="0006302B">
      <w:pPr>
        <w:shd w:val="clear" w:color="auto" w:fill="FFFFFF"/>
        <w:ind w:left="0"/>
        <w:jc w:val="both"/>
        <w:rPr>
          <w:rFonts w:ascii="Bookman Old Style" w:hAnsi="Bookman Old Style" w:cs="Arial"/>
        </w:rPr>
      </w:pPr>
      <w:r>
        <w:rPr>
          <w:rFonts w:ascii="Bookman Old Style" w:hAnsi="Bookman Old Style" w:cs="Arial"/>
        </w:rPr>
        <w:t>A partir del análisis realizado y de los comentarios recibidos sobre el mismo</w:t>
      </w:r>
      <w:r w:rsidR="00F25AA1">
        <w:rPr>
          <w:rFonts w:ascii="Bookman Old Style" w:hAnsi="Bookman Old Style" w:cs="Arial"/>
        </w:rPr>
        <w:t xml:space="preserve"> anteriormente mencionados</w:t>
      </w:r>
      <w:r>
        <w:rPr>
          <w:rFonts w:ascii="Bookman Old Style" w:hAnsi="Bookman Old Style" w:cs="Arial"/>
        </w:rPr>
        <w:t xml:space="preserve">, la CREG </w:t>
      </w:r>
      <w:r w:rsidR="00F25AA1">
        <w:rPr>
          <w:rFonts w:ascii="Bookman Old Style" w:hAnsi="Bookman Old Style" w:cs="Arial"/>
        </w:rPr>
        <w:t xml:space="preserve">mediante la Resolución CREG 226 de 2021 sometió </w:t>
      </w:r>
      <w:r>
        <w:rPr>
          <w:rFonts w:ascii="Bookman Old Style" w:hAnsi="Bookman Old Style" w:cs="Arial"/>
        </w:rPr>
        <w:t xml:space="preserve">el 29 de marzo de 2022 </w:t>
      </w:r>
      <w:r w:rsidR="00F25AA1">
        <w:rPr>
          <w:rFonts w:ascii="Bookman Old Style" w:hAnsi="Bookman Old Style" w:cs="Arial"/>
        </w:rPr>
        <w:t xml:space="preserve">a consulta pública </w:t>
      </w:r>
      <w:r>
        <w:rPr>
          <w:rFonts w:ascii="Bookman Old Style" w:hAnsi="Bookman Old Style" w:cs="Arial"/>
        </w:rPr>
        <w:t xml:space="preserve">para comentarios </w:t>
      </w:r>
      <w:r w:rsidRPr="007E4F98">
        <w:rPr>
          <w:rFonts w:ascii="Bookman Old Style" w:hAnsi="Bookman Old Style" w:cs="Arial"/>
        </w:rPr>
        <w:t>un proyecto de resolución de carácter general “</w:t>
      </w:r>
      <w:r w:rsidRPr="00295053">
        <w:rPr>
          <w:rFonts w:ascii="Bookman Old Style" w:hAnsi="Bookman Old Style" w:cs="Arial"/>
          <w:i/>
          <w:iCs/>
        </w:rPr>
        <w:t>Por la cual se reglamentan aspectos comerciales del suministro del Mercado Mayorista de gas natural y se deroga parcialmente la Resolución CREG 186 de 2020</w:t>
      </w:r>
      <w:r>
        <w:rPr>
          <w:rFonts w:ascii="Bookman Old Style" w:hAnsi="Bookman Old Style" w:cs="Arial"/>
          <w:i/>
          <w:iCs/>
        </w:rPr>
        <w:t xml:space="preserve">”. </w:t>
      </w:r>
      <w:r w:rsidRPr="00295053">
        <w:rPr>
          <w:rFonts w:ascii="Bookman Old Style" w:hAnsi="Bookman Old Style" w:cs="Arial"/>
        </w:rPr>
        <w:t xml:space="preserve">En respuesta a dicha publicación se recibieron </w:t>
      </w:r>
      <w:r>
        <w:rPr>
          <w:rFonts w:ascii="Bookman Old Style" w:hAnsi="Bookman Old Style" w:cs="Arial"/>
        </w:rPr>
        <w:t>comentarios de las siguientes entidades que aparecen en la tabla a continuación:</w:t>
      </w:r>
    </w:p>
    <w:p w14:paraId="126FCCEF" w14:textId="77777777" w:rsidR="007E4F98" w:rsidRDefault="007E4F98" w:rsidP="0006302B">
      <w:pPr>
        <w:shd w:val="clear" w:color="auto" w:fill="FFFFFF"/>
        <w:ind w:left="0"/>
        <w:jc w:val="both"/>
        <w:rPr>
          <w:rFonts w:ascii="Bookman Old Style" w:hAnsi="Bookman Old Style" w:cs="Arial"/>
        </w:rPr>
      </w:pPr>
    </w:p>
    <w:tbl>
      <w:tblPr>
        <w:tblW w:w="8540" w:type="dxa"/>
        <w:jc w:val="center"/>
        <w:tblCellMar>
          <w:left w:w="70" w:type="dxa"/>
          <w:right w:w="70" w:type="dxa"/>
        </w:tblCellMar>
        <w:tblLook w:val="04A0" w:firstRow="1" w:lastRow="0" w:firstColumn="1" w:lastColumn="0" w:noHBand="0" w:noVBand="1"/>
      </w:tblPr>
      <w:tblGrid>
        <w:gridCol w:w="4400"/>
        <w:gridCol w:w="4140"/>
      </w:tblGrid>
      <w:tr w:rsidR="00986168" w:rsidRPr="00986168" w14:paraId="7961FC24" w14:textId="77777777" w:rsidTr="00295053">
        <w:trPr>
          <w:trHeight w:val="293"/>
          <w:tblHeader/>
          <w:jc w:val="center"/>
        </w:trPr>
        <w:tc>
          <w:tcPr>
            <w:tcW w:w="4400"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37CD9C1" w14:textId="77777777" w:rsidR="00986168" w:rsidRPr="00986168" w:rsidRDefault="00986168" w:rsidP="00986168">
            <w:pPr>
              <w:ind w:left="0"/>
              <w:jc w:val="center"/>
              <w:rPr>
                <w:rFonts w:ascii="Calibri" w:hAnsi="Calibri" w:cs="Calibri"/>
                <w:b/>
                <w:bCs/>
                <w:color w:val="000000"/>
                <w:sz w:val="22"/>
                <w:szCs w:val="22"/>
                <w:lang w:val="es-CO" w:eastAsia="es-CO"/>
              </w:rPr>
            </w:pPr>
            <w:r w:rsidRPr="00986168">
              <w:rPr>
                <w:rFonts w:ascii="Calibri" w:hAnsi="Calibri" w:cs="Calibri"/>
                <w:b/>
                <w:bCs/>
                <w:color w:val="000000"/>
                <w:sz w:val="22"/>
                <w:szCs w:val="22"/>
                <w:lang w:val="es-CO" w:eastAsia="es-CO"/>
              </w:rPr>
              <w:t>Radicado</w:t>
            </w:r>
          </w:p>
        </w:tc>
        <w:tc>
          <w:tcPr>
            <w:tcW w:w="4140" w:type="dxa"/>
            <w:tcBorders>
              <w:top w:val="single" w:sz="8" w:space="0" w:color="auto"/>
              <w:left w:val="nil"/>
              <w:bottom w:val="single" w:sz="8" w:space="0" w:color="auto"/>
              <w:right w:val="single" w:sz="4" w:space="0" w:color="auto"/>
            </w:tcBorders>
            <w:shd w:val="clear" w:color="000000" w:fill="D9D9D9"/>
            <w:noWrap/>
            <w:vAlign w:val="center"/>
            <w:hideMark/>
          </w:tcPr>
          <w:p w14:paraId="67BA83DF" w14:textId="7753EF1A" w:rsidR="00986168" w:rsidRPr="00986168" w:rsidRDefault="00986168" w:rsidP="00986168">
            <w:pPr>
              <w:ind w:left="0"/>
              <w:jc w:val="center"/>
              <w:rPr>
                <w:rFonts w:ascii="Calibri" w:hAnsi="Calibri" w:cs="Calibri"/>
                <w:b/>
                <w:bCs/>
                <w:color w:val="000000"/>
                <w:sz w:val="22"/>
                <w:szCs w:val="22"/>
                <w:lang w:val="es-CO" w:eastAsia="es-CO"/>
              </w:rPr>
            </w:pPr>
            <w:r w:rsidRPr="00986168">
              <w:rPr>
                <w:rFonts w:ascii="Calibri" w:hAnsi="Calibri" w:cs="Calibri"/>
                <w:b/>
                <w:bCs/>
                <w:color w:val="000000"/>
                <w:sz w:val="22"/>
                <w:szCs w:val="22"/>
                <w:lang w:val="es-CO" w:eastAsia="es-CO"/>
              </w:rPr>
              <w:t>E</w:t>
            </w:r>
            <w:r w:rsidR="007E4F98">
              <w:rPr>
                <w:rFonts w:ascii="Calibri" w:hAnsi="Calibri" w:cs="Calibri"/>
                <w:b/>
                <w:bCs/>
                <w:color w:val="000000"/>
                <w:sz w:val="22"/>
                <w:szCs w:val="22"/>
                <w:lang w:val="es-CO" w:eastAsia="es-CO"/>
              </w:rPr>
              <w:t>ntidad</w:t>
            </w:r>
          </w:p>
        </w:tc>
      </w:tr>
      <w:tr w:rsidR="00986168" w:rsidRPr="00986168" w14:paraId="2304BE1F"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3F12F421"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E-2022-005259</w:t>
            </w:r>
          </w:p>
        </w:tc>
        <w:tc>
          <w:tcPr>
            <w:tcW w:w="4140" w:type="dxa"/>
            <w:tcBorders>
              <w:top w:val="nil"/>
              <w:left w:val="nil"/>
              <w:bottom w:val="single" w:sz="4" w:space="0" w:color="auto"/>
              <w:right w:val="single" w:sz="4" w:space="0" w:color="auto"/>
            </w:tcBorders>
            <w:shd w:val="clear" w:color="000000" w:fill="FFFFFF"/>
            <w:noWrap/>
            <w:vAlign w:val="center"/>
            <w:hideMark/>
          </w:tcPr>
          <w:p w14:paraId="552C63FD"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ISAGEN</w:t>
            </w:r>
          </w:p>
        </w:tc>
      </w:tr>
      <w:tr w:rsidR="00986168" w:rsidRPr="00986168" w14:paraId="37D4FA7A"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07FE839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E-2022-005909</w:t>
            </w:r>
          </w:p>
        </w:tc>
        <w:tc>
          <w:tcPr>
            <w:tcW w:w="4140" w:type="dxa"/>
            <w:tcBorders>
              <w:top w:val="nil"/>
              <w:left w:val="nil"/>
              <w:bottom w:val="single" w:sz="4" w:space="0" w:color="auto"/>
              <w:right w:val="single" w:sz="4" w:space="0" w:color="auto"/>
            </w:tcBorders>
            <w:shd w:val="clear" w:color="000000" w:fill="FFFFFF"/>
            <w:noWrap/>
            <w:vAlign w:val="center"/>
            <w:hideMark/>
          </w:tcPr>
          <w:p w14:paraId="4A0B8AB4"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TGI</w:t>
            </w:r>
          </w:p>
        </w:tc>
      </w:tr>
      <w:tr w:rsidR="00986168" w:rsidRPr="00986168" w14:paraId="176B0BF3"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0099E10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E-2022-005935</w:t>
            </w:r>
          </w:p>
        </w:tc>
        <w:tc>
          <w:tcPr>
            <w:tcW w:w="4140" w:type="dxa"/>
            <w:tcBorders>
              <w:top w:val="nil"/>
              <w:left w:val="nil"/>
              <w:bottom w:val="single" w:sz="4" w:space="0" w:color="auto"/>
              <w:right w:val="single" w:sz="4" w:space="0" w:color="auto"/>
            </w:tcBorders>
            <w:shd w:val="clear" w:color="000000" w:fill="FFFFFF"/>
            <w:noWrap/>
            <w:vAlign w:val="center"/>
            <w:hideMark/>
          </w:tcPr>
          <w:p w14:paraId="2A5B9B8C"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MC2</w:t>
            </w:r>
          </w:p>
        </w:tc>
      </w:tr>
      <w:tr w:rsidR="00986168" w:rsidRPr="00986168" w14:paraId="596AF409"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00B6303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E-2022-005960</w:t>
            </w:r>
          </w:p>
        </w:tc>
        <w:tc>
          <w:tcPr>
            <w:tcW w:w="4140" w:type="dxa"/>
            <w:tcBorders>
              <w:top w:val="nil"/>
              <w:left w:val="nil"/>
              <w:bottom w:val="single" w:sz="4" w:space="0" w:color="auto"/>
              <w:right w:val="single" w:sz="4" w:space="0" w:color="auto"/>
            </w:tcBorders>
            <w:shd w:val="clear" w:color="000000" w:fill="FFFFFF"/>
            <w:noWrap/>
            <w:vAlign w:val="center"/>
            <w:hideMark/>
          </w:tcPr>
          <w:p w14:paraId="6863D83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SHELL</w:t>
            </w:r>
          </w:p>
        </w:tc>
      </w:tr>
      <w:tr w:rsidR="00986168" w:rsidRPr="00986168" w14:paraId="5221A045"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7720EB7C"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E-2022-005961</w:t>
            </w:r>
          </w:p>
        </w:tc>
        <w:tc>
          <w:tcPr>
            <w:tcW w:w="4140" w:type="dxa"/>
            <w:tcBorders>
              <w:top w:val="nil"/>
              <w:left w:val="nil"/>
              <w:bottom w:val="single" w:sz="4" w:space="0" w:color="auto"/>
              <w:right w:val="single" w:sz="4" w:space="0" w:color="auto"/>
            </w:tcBorders>
            <w:shd w:val="clear" w:color="000000" w:fill="FFFFFF"/>
            <w:noWrap/>
            <w:vAlign w:val="center"/>
            <w:hideMark/>
          </w:tcPr>
          <w:p w14:paraId="44F6FBA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SPEC LNG</w:t>
            </w:r>
          </w:p>
        </w:tc>
      </w:tr>
      <w:tr w:rsidR="00986168" w:rsidRPr="00986168" w14:paraId="090360F6"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6F0E460A"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E-2022-005974</w:t>
            </w:r>
          </w:p>
        </w:tc>
        <w:tc>
          <w:tcPr>
            <w:tcW w:w="4140" w:type="dxa"/>
            <w:tcBorders>
              <w:top w:val="nil"/>
              <w:left w:val="nil"/>
              <w:bottom w:val="single" w:sz="4" w:space="0" w:color="auto"/>
              <w:right w:val="single" w:sz="4" w:space="0" w:color="auto"/>
            </w:tcBorders>
            <w:shd w:val="clear" w:color="000000" w:fill="FFFFFF"/>
            <w:noWrap/>
            <w:vAlign w:val="center"/>
            <w:hideMark/>
          </w:tcPr>
          <w:p w14:paraId="11A1D8B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ACOLGEN</w:t>
            </w:r>
          </w:p>
        </w:tc>
      </w:tr>
      <w:tr w:rsidR="00986168" w:rsidRPr="00986168" w14:paraId="1817A68F"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61AB829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E-2022-005987</w:t>
            </w:r>
          </w:p>
        </w:tc>
        <w:tc>
          <w:tcPr>
            <w:tcW w:w="4140" w:type="dxa"/>
            <w:tcBorders>
              <w:top w:val="nil"/>
              <w:left w:val="nil"/>
              <w:bottom w:val="single" w:sz="4" w:space="0" w:color="auto"/>
              <w:right w:val="single" w:sz="4" w:space="0" w:color="auto"/>
            </w:tcBorders>
            <w:shd w:val="clear" w:color="000000" w:fill="FFFFFF"/>
            <w:noWrap/>
            <w:vAlign w:val="center"/>
            <w:hideMark/>
          </w:tcPr>
          <w:p w14:paraId="0BBE217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OILGAS ENERGY</w:t>
            </w:r>
          </w:p>
        </w:tc>
      </w:tr>
      <w:tr w:rsidR="00986168" w:rsidRPr="00986168" w14:paraId="416DFDCD"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5E5D6FD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E-2022-006003</w:t>
            </w:r>
          </w:p>
        </w:tc>
        <w:tc>
          <w:tcPr>
            <w:tcW w:w="4140" w:type="dxa"/>
            <w:tcBorders>
              <w:top w:val="nil"/>
              <w:left w:val="nil"/>
              <w:bottom w:val="single" w:sz="4" w:space="0" w:color="auto"/>
              <w:right w:val="single" w:sz="4" w:space="0" w:color="auto"/>
            </w:tcBorders>
            <w:shd w:val="clear" w:color="000000" w:fill="FFFFFF"/>
            <w:noWrap/>
            <w:vAlign w:val="center"/>
            <w:hideMark/>
          </w:tcPr>
          <w:p w14:paraId="4199B97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TEBSA</w:t>
            </w:r>
          </w:p>
        </w:tc>
      </w:tr>
      <w:tr w:rsidR="00986168" w:rsidRPr="00986168" w14:paraId="732BBA5A"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33AE71F2"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E-2022-006016</w:t>
            </w:r>
          </w:p>
        </w:tc>
        <w:tc>
          <w:tcPr>
            <w:tcW w:w="4140" w:type="dxa"/>
            <w:tcBorders>
              <w:top w:val="nil"/>
              <w:left w:val="nil"/>
              <w:bottom w:val="single" w:sz="4" w:space="0" w:color="auto"/>
              <w:right w:val="single" w:sz="4" w:space="0" w:color="auto"/>
            </w:tcBorders>
            <w:shd w:val="clear" w:color="000000" w:fill="FFFFFF"/>
            <w:noWrap/>
            <w:vAlign w:val="center"/>
            <w:hideMark/>
          </w:tcPr>
          <w:p w14:paraId="46562DE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TERPEL</w:t>
            </w:r>
          </w:p>
        </w:tc>
      </w:tr>
      <w:tr w:rsidR="00986168" w:rsidRPr="00986168" w14:paraId="1EE712B6"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6F98FAD0"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E-2022-006024</w:t>
            </w:r>
          </w:p>
        </w:tc>
        <w:tc>
          <w:tcPr>
            <w:tcW w:w="4140" w:type="dxa"/>
            <w:tcBorders>
              <w:top w:val="nil"/>
              <w:left w:val="nil"/>
              <w:bottom w:val="single" w:sz="4" w:space="0" w:color="auto"/>
              <w:right w:val="single" w:sz="4" w:space="0" w:color="auto"/>
            </w:tcBorders>
            <w:shd w:val="clear" w:color="000000" w:fill="FFFFFF"/>
            <w:noWrap/>
            <w:vAlign w:val="bottom"/>
            <w:hideMark/>
          </w:tcPr>
          <w:p w14:paraId="5ADB01F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GIGAS ENERGY</w:t>
            </w:r>
          </w:p>
        </w:tc>
      </w:tr>
      <w:tr w:rsidR="00986168" w:rsidRPr="00986168" w14:paraId="5A32C494"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21C58984"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E-2022-006053</w:t>
            </w:r>
          </w:p>
        </w:tc>
        <w:tc>
          <w:tcPr>
            <w:tcW w:w="4140" w:type="dxa"/>
            <w:tcBorders>
              <w:top w:val="nil"/>
              <w:left w:val="nil"/>
              <w:bottom w:val="single" w:sz="4" w:space="0" w:color="auto"/>
              <w:right w:val="single" w:sz="4" w:space="0" w:color="auto"/>
            </w:tcBorders>
            <w:shd w:val="clear" w:color="000000" w:fill="FFFFFF"/>
            <w:noWrap/>
            <w:vAlign w:val="bottom"/>
            <w:hideMark/>
          </w:tcPr>
          <w:p w14:paraId="323945AD"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ANDEG</w:t>
            </w:r>
          </w:p>
        </w:tc>
      </w:tr>
      <w:tr w:rsidR="00986168" w:rsidRPr="00986168" w14:paraId="0EB90E56"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68AC4D9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E-2022-006055</w:t>
            </w:r>
          </w:p>
        </w:tc>
        <w:tc>
          <w:tcPr>
            <w:tcW w:w="4140" w:type="dxa"/>
            <w:tcBorders>
              <w:top w:val="nil"/>
              <w:left w:val="nil"/>
              <w:bottom w:val="single" w:sz="4" w:space="0" w:color="auto"/>
              <w:right w:val="single" w:sz="4" w:space="0" w:color="auto"/>
            </w:tcBorders>
            <w:shd w:val="clear" w:color="000000" w:fill="FFFFFF"/>
            <w:noWrap/>
            <w:vAlign w:val="bottom"/>
            <w:hideMark/>
          </w:tcPr>
          <w:p w14:paraId="35295BF1"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GEAM</w:t>
            </w:r>
          </w:p>
        </w:tc>
      </w:tr>
      <w:tr w:rsidR="00986168" w:rsidRPr="00986168" w14:paraId="7ECDB11E"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6C67AE4A"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E-2022-006063</w:t>
            </w:r>
          </w:p>
        </w:tc>
        <w:tc>
          <w:tcPr>
            <w:tcW w:w="4140" w:type="dxa"/>
            <w:tcBorders>
              <w:top w:val="nil"/>
              <w:left w:val="nil"/>
              <w:bottom w:val="single" w:sz="4" w:space="0" w:color="auto"/>
              <w:right w:val="single" w:sz="4" w:space="0" w:color="auto"/>
            </w:tcBorders>
            <w:shd w:val="clear" w:color="000000" w:fill="FFFFFF"/>
            <w:noWrap/>
            <w:vAlign w:val="bottom"/>
            <w:hideMark/>
          </w:tcPr>
          <w:p w14:paraId="60963DCC"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CANACOL</w:t>
            </w:r>
          </w:p>
        </w:tc>
      </w:tr>
      <w:tr w:rsidR="00986168" w:rsidRPr="00986168" w14:paraId="6CF38853"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3410CF5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E-2022-006073</w:t>
            </w:r>
          </w:p>
        </w:tc>
        <w:tc>
          <w:tcPr>
            <w:tcW w:w="4140" w:type="dxa"/>
            <w:tcBorders>
              <w:top w:val="nil"/>
              <w:left w:val="nil"/>
              <w:bottom w:val="single" w:sz="4" w:space="0" w:color="auto"/>
              <w:right w:val="single" w:sz="4" w:space="0" w:color="auto"/>
            </w:tcBorders>
            <w:shd w:val="clear" w:color="000000" w:fill="FFFFFF"/>
            <w:noWrap/>
            <w:vAlign w:val="bottom"/>
            <w:hideMark/>
          </w:tcPr>
          <w:p w14:paraId="03EE6DB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EFICAS</w:t>
            </w:r>
          </w:p>
        </w:tc>
      </w:tr>
      <w:tr w:rsidR="00986168" w:rsidRPr="00986168" w14:paraId="70E9CCA8"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55C1D49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E-2022-006076</w:t>
            </w:r>
          </w:p>
        </w:tc>
        <w:tc>
          <w:tcPr>
            <w:tcW w:w="4140" w:type="dxa"/>
            <w:tcBorders>
              <w:top w:val="nil"/>
              <w:left w:val="nil"/>
              <w:bottom w:val="single" w:sz="4" w:space="0" w:color="auto"/>
              <w:right w:val="single" w:sz="4" w:space="0" w:color="auto"/>
            </w:tcBorders>
            <w:shd w:val="clear" w:color="000000" w:fill="FFFFFF"/>
            <w:noWrap/>
            <w:vAlign w:val="bottom"/>
            <w:hideMark/>
          </w:tcPr>
          <w:p w14:paraId="08063347"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PETROL MIL GAS</w:t>
            </w:r>
          </w:p>
        </w:tc>
      </w:tr>
      <w:tr w:rsidR="00986168" w:rsidRPr="00986168" w14:paraId="2838BB2C"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545D4D21"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E-2022-006077</w:t>
            </w:r>
          </w:p>
        </w:tc>
        <w:tc>
          <w:tcPr>
            <w:tcW w:w="4140" w:type="dxa"/>
            <w:tcBorders>
              <w:top w:val="nil"/>
              <w:left w:val="nil"/>
              <w:bottom w:val="single" w:sz="4" w:space="0" w:color="auto"/>
              <w:right w:val="single" w:sz="4" w:space="0" w:color="auto"/>
            </w:tcBorders>
            <w:shd w:val="clear" w:color="000000" w:fill="FFFFFF"/>
            <w:noWrap/>
            <w:vAlign w:val="bottom"/>
            <w:hideMark/>
          </w:tcPr>
          <w:p w14:paraId="1A64CDD2"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PRIME ENERGIA</w:t>
            </w:r>
          </w:p>
        </w:tc>
      </w:tr>
      <w:tr w:rsidR="00986168" w:rsidRPr="00986168" w14:paraId="37AF400E"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23713E3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E-2022-006082</w:t>
            </w:r>
          </w:p>
        </w:tc>
        <w:tc>
          <w:tcPr>
            <w:tcW w:w="4140" w:type="dxa"/>
            <w:tcBorders>
              <w:top w:val="nil"/>
              <w:left w:val="nil"/>
              <w:bottom w:val="single" w:sz="4" w:space="0" w:color="auto"/>
              <w:right w:val="single" w:sz="4" w:space="0" w:color="auto"/>
            </w:tcBorders>
            <w:shd w:val="clear" w:color="000000" w:fill="FFFFFF"/>
            <w:noWrap/>
            <w:vAlign w:val="bottom"/>
            <w:hideMark/>
          </w:tcPr>
          <w:p w14:paraId="4A6C4C1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PAREX RESOURCES</w:t>
            </w:r>
          </w:p>
        </w:tc>
      </w:tr>
      <w:tr w:rsidR="00986168" w:rsidRPr="00986168" w14:paraId="2A4ACD92"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59393A0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E-2022-006084</w:t>
            </w:r>
          </w:p>
        </w:tc>
        <w:tc>
          <w:tcPr>
            <w:tcW w:w="4140" w:type="dxa"/>
            <w:tcBorders>
              <w:top w:val="nil"/>
              <w:left w:val="nil"/>
              <w:bottom w:val="single" w:sz="4" w:space="0" w:color="auto"/>
              <w:right w:val="single" w:sz="4" w:space="0" w:color="auto"/>
            </w:tcBorders>
            <w:shd w:val="clear" w:color="000000" w:fill="FFFFFF"/>
            <w:noWrap/>
            <w:vAlign w:val="bottom"/>
            <w:hideMark/>
          </w:tcPr>
          <w:p w14:paraId="0374937D"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TERMOYOPAL</w:t>
            </w:r>
          </w:p>
        </w:tc>
      </w:tr>
      <w:tr w:rsidR="00986168" w:rsidRPr="00986168" w14:paraId="20BEFA87"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12BD257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E-2022-006085</w:t>
            </w:r>
          </w:p>
        </w:tc>
        <w:tc>
          <w:tcPr>
            <w:tcW w:w="4140" w:type="dxa"/>
            <w:tcBorders>
              <w:top w:val="nil"/>
              <w:left w:val="nil"/>
              <w:bottom w:val="single" w:sz="4" w:space="0" w:color="auto"/>
              <w:right w:val="single" w:sz="4" w:space="0" w:color="auto"/>
            </w:tcBorders>
            <w:shd w:val="clear" w:color="000000" w:fill="FFFFFF"/>
            <w:noWrap/>
            <w:vAlign w:val="bottom"/>
            <w:hideMark/>
          </w:tcPr>
          <w:p w14:paraId="7D54293D"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LEWIS ENERGY</w:t>
            </w:r>
          </w:p>
        </w:tc>
      </w:tr>
      <w:tr w:rsidR="00986168" w:rsidRPr="00986168" w14:paraId="2E207429"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599DE02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E-2022-006091</w:t>
            </w:r>
          </w:p>
        </w:tc>
        <w:tc>
          <w:tcPr>
            <w:tcW w:w="4140" w:type="dxa"/>
            <w:tcBorders>
              <w:top w:val="nil"/>
              <w:left w:val="nil"/>
              <w:bottom w:val="single" w:sz="4" w:space="0" w:color="auto"/>
              <w:right w:val="single" w:sz="4" w:space="0" w:color="auto"/>
            </w:tcBorders>
            <w:shd w:val="clear" w:color="000000" w:fill="FFFFFF"/>
            <w:noWrap/>
            <w:vAlign w:val="bottom"/>
            <w:hideMark/>
          </w:tcPr>
          <w:p w14:paraId="18AC896A"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SSPD</w:t>
            </w:r>
          </w:p>
        </w:tc>
      </w:tr>
      <w:tr w:rsidR="00986168" w:rsidRPr="00986168" w14:paraId="25C126A7" w14:textId="77777777" w:rsidTr="00295053">
        <w:trPr>
          <w:trHeight w:val="570"/>
          <w:jc w:val="center"/>
        </w:trPr>
        <w:tc>
          <w:tcPr>
            <w:tcW w:w="4400" w:type="dxa"/>
            <w:tcBorders>
              <w:top w:val="nil"/>
              <w:left w:val="single" w:sz="4" w:space="0" w:color="auto"/>
              <w:bottom w:val="single" w:sz="4" w:space="0" w:color="auto"/>
              <w:right w:val="single" w:sz="4" w:space="0" w:color="auto"/>
            </w:tcBorders>
            <w:shd w:val="clear" w:color="000000" w:fill="FFFFFF"/>
            <w:vAlign w:val="bottom"/>
            <w:hideMark/>
          </w:tcPr>
          <w:p w14:paraId="2E151BC4"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E-2022-006093, E-2022-006633 y E-22022-006634</w:t>
            </w:r>
          </w:p>
        </w:tc>
        <w:tc>
          <w:tcPr>
            <w:tcW w:w="4140" w:type="dxa"/>
            <w:tcBorders>
              <w:top w:val="nil"/>
              <w:left w:val="nil"/>
              <w:bottom w:val="single" w:sz="4" w:space="0" w:color="auto"/>
              <w:right w:val="single" w:sz="4" w:space="0" w:color="auto"/>
            </w:tcBorders>
            <w:shd w:val="clear" w:color="000000" w:fill="FFFFFF"/>
            <w:noWrap/>
            <w:vAlign w:val="center"/>
            <w:hideMark/>
          </w:tcPr>
          <w:p w14:paraId="7AD703F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EPM</w:t>
            </w:r>
          </w:p>
        </w:tc>
      </w:tr>
      <w:tr w:rsidR="00986168" w:rsidRPr="00986168" w14:paraId="1710DEE8"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7DF4A66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E-2022-006096</w:t>
            </w:r>
          </w:p>
        </w:tc>
        <w:tc>
          <w:tcPr>
            <w:tcW w:w="4140" w:type="dxa"/>
            <w:tcBorders>
              <w:top w:val="nil"/>
              <w:left w:val="nil"/>
              <w:bottom w:val="single" w:sz="4" w:space="0" w:color="auto"/>
              <w:right w:val="single" w:sz="4" w:space="0" w:color="auto"/>
            </w:tcBorders>
            <w:shd w:val="clear" w:color="000000" w:fill="FFFFFF"/>
            <w:noWrap/>
            <w:vAlign w:val="bottom"/>
            <w:hideMark/>
          </w:tcPr>
          <w:p w14:paraId="2DA110D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GASES DE OCCIDENTE</w:t>
            </w:r>
          </w:p>
        </w:tc>
      </w:tr>
      <w:tr w:rsidR="00986168" w:rsidRPr="00986168" w14:paraId="42D961F1"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7D441DFA"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E-2022-006105</w:t>
            </w:r>
          </w:p>
        </w:tc>
        <w:tc>
          <w:tcPr>
            <w:tcW w:w="4140" w:type="dxa"/>
            <w:tcBorders>
              <w:top w:val="nil"/>
              <w:left w:val="nil"/>
              <w:bottom w:val="single" w:sz="4" w:space="0" w:color="auto"/>
              <w:right w:val="single" w:sz="4" w:space="0" w:color="auto"/>
            </w:tcBorders>
            <w:shd w:val="clear" w:color="000000" w:fill="FFFFFF"/>
            <w:noWrap/>
            <w:vAlign w:val="bottom"/>
            <w:hideMark/>
          </w:tcPr>
          <w:p w14:paraId="393F0CC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ACP</w:t>
            </w:r>
          </w:p>
        </w:tc>
      </w:tr>
      <w:tr w:rsidR="00986168" w:rsidRPr="00986168" w14:paraId="33A11288"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288F30D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E-2022-006108</w:t>
            </w:r>
          </w:p>
        </w:tc>
        <w:tc>
          <w:tcPr>
            <w:tcW w:w="4140" w:type="dxa"/>
            <w:tcBorders>
              <w:top w:val="nil"/>
              <w:left w:val="nil"/>
              <w:bottom w:val="single" w:sz="4" w:space="0" w:color="auto"/>
              <w:right w:val="single" w:sz="4" w:space="0" w:color="auto"/>
            </w:tcBorders>
            <w:shd w:val="clear" w:color="000000" w:fill="FFFFFF"/>
            <w:noWrap/>
            <w:vAlign w:val="bottom"/>
            <w:hideMark/>
          </w:tcPr>
          <w:p w14:paraId="1852981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BOLSA MERCANTIL DE COLOMBIA</w:t>
            </w:r>
          </w:p>
        </w:tc>
      </w:tr>
      <w:tr w:rsidR="00986168" w:rsidRPr="00986168" w14:paraId="499A9CFB"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4550A80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E-2022-006112</w:t>
            </w:r>
          </w:p>
        </w:tc>
        <w:tc>
          <w:tcPr>
            <w:tcW w:w="4140" w:type="dxa"/>
            <w:tcBorders>
              <w:top w:val="nil"/>
              <w:left w:val="nil"/>
              <w:bottom w:val="single" w:sz="4" w:space="0" w:color="auto"/>
              <w:right w:val="single" w:sz="4" w:space="0" w:color="auto"/>
            </w:tcBorders>
            <w:shd w:val="clear" w:color="000000" w:fill="FFFFFF"/>
            <w:noWrap/>
            <w:vAlign w:val="bottom"/>
            <w:hideMark/>
          </w:tcPr>
          <w:p w14:paraId="424AC5F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GASES DEL CARIBE</w:t>
            </w:r>
          </w:p>
        </w:tc>
      </w:tr>
      <w:tr w:rsidR="00986168" w:rsidRPr="00986168" w14:paraId="1E04E6D2"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4B851EC0"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E-2022-006113</w:t>
            </w:r>
          </w:p>
        </w:tc>
        <w:tc>
          <w:tcPr>
            <w:tcW w:w="4140" w:type="dxa"/>
            <w:tcBorders>
              <w:top w:val="nil"/>
              <w:left w:val="nil"/>
              <w:bottom w:val="single" w:sz="4" w:space="0" w:color="auto"/>
              <w:right w:val="single" w:sz="4" w:space="0" w:color="auto"/>
            </w:tcBorders>
            <w:shd w:val="clear" w:color="000000" w:fill="FFFFFF"/>
            <w:noWrap/>
            <w:vAlign w:val="bottom"/>
            <w:hideMark/>
          </w:tcPr>
          <w:p w14:paraId="4CF9963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ECOPETROL</w:t>
            </w:r>
          </w:p>
        </w:tc>
      </w:tr>
      <w:tr w:rsidR="00986168" w:rsidRPr="00986168" w14:paraId="42A4E3E4"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3D17BF2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E-2022-006117</w:t>
            </w:r>
          </w:p>
        </w:tc>
        <w:tc>
          <w:tcPr>
            <w:tcW w:w="4140" w:type="dxa"/>
            <w:tcBorders>
              <w:top w:val="nil"/>
              <w:left w:val="nil"/>
              <w:bottom w:val="single" w:sz="4" w:space="0" w:color="auto"/>
              <w:right w:val="single" w:sz="4" w:space="0" w:color="auto"/>
            </w:tcBorders>
            <w:shd w:val="clear" w:color="000000" w:fill="FFFFFF"/>
            <w:noWrap/>
            <w:vAlign w:val="bottom"/>
            <w:hideMark/>
          </w:tcPr>
          <w:p w14:paraId="530D5C90"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METROGAS ESP</w:t>
            </w:r>
          </w:p>
        </w:tc>
      </w:tr>
      <w:tr w:rsidR="00986168" w:rsidRPr="00986168" w14:paraId="3CB9B0B9"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4AC78B07"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E-2022-006118</w:t>
            </w:r>
          </w:p>
        </w:tc>
        <w:tc>
          <w:tcPr>
            <w:tcW w:w="4140" w:type="dxa"/>
            <w:tcBorders>
              <w:top w:val="nil"/>
              <w:left w:val="nil"/>
              <w:bottom w:val="single" w:sz="4" w:space="0" w:color="auto"/>
              <w:right w:val="single" w:sz="4" w:space="0" w:color="auto"/>
            </w:tcBorders>
            <w:shd w:val="clear" w:color="000000" w:fill="FFFFFF"/>
            <w:noWrap/>
            <w:vAlign w:val="bottom"/>
            <w:hideMark/>
          </w:tcPr>
          <w:p w14:paraId="642D6647"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ASOENERGIA</w:t>
            </w:r>
          </w:p>
        </w:tc>
      </w:tr>
      <w:tr w:rsidR="00986168" w:rsidRPr="00986168" w14:paraId="09F89A23"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3ABD7782"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E-2022-006122</w:t>
            </w:r>
          </w:p>
        </w:tc>
        <w:tc>
          <w:tcPr>
            <w:tcW w:w="4140" w:type="dxa"/>
            <w:tcBorders>
              <w:top w:val="nil"/>
              <w:left w:val="nil"/>
              <w:bottom w:val="single" w:sz="4" w:space="0" w:color="auto"/>
              <w:right w:val="single" w:sz="4" w:space="0" w:color="auto"/>
            </w:tcBorders>
            <w:shd w:val="clear" w:color="000000" w:fill="FFFFFF"/>
            <w:noWrap/>
            <w:vAlign w:val="bottom"/>
            <w:hideMark/>
          </w:tcPr>
          <w:p w14:paraId="119E88F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ENEL</w:t>
            </w:r>
          </w:p>
        </w:tc>
      </w:tr>
      <w:tr w:rsidR="00986168" w:rsidRPr="00986168" w14:paraId="7BAED785"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213DEB9C"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E-2022-006128</w:t>
            </w:r>
          </w:p>
        </w:tc>
        <w:tc>
          <w:tcPr>
            <w:tcW w:w="4140" w:type="dxa"/>
            <w:tcBorders>
              <w:top w:val="nil"/>
              <w:left w:val="nil"/>
              <w:bottom w:val="single" w:sz="4" w:space="0" w:color="auto"/>
              <w:right w:val="single" w:sz="4" w:space="0" w:color="auto"/>
            </w:tcBorders>
            <w:shd w:val="clear" w:color="000000" w:fill="FFFFFF"/>
            <w:noWrap/>
            <w:vAlign w:val="bottom"/>
            <w:hideMark/>
          </w:tcPr>
          <w:p w14:paraId="5F8490A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SURTIGAS</w:t>
            </w:r>
          </w:p>
        </w:tc>
      </w:tr>
      <w:tr w:rsidR="00986168" w:rsidRPr="00986168" w14:paraId="2118F20E"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7D8EFCA1"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E-2022-006133</w:t>
            </w:r>
          </w:p>
        </w:tc>
        <w:tc>
          <w:tcPr>
            <w:tcW w:w="4140" w:type="dxa"/>
            <w:tcBorders>
              <w:top w:val="nil"/>
              <w:left w:val="nil"/>
              <w:bottom w:val="single" w:sz="4" w:space="0" w:color="auto"/>
              <w:right w:val="single" w:sz="4" w:space="0" w:color="auto"/>
            </w:tcBorders>
            <w:shd w:val="clear" w:color="000000" w:fill="FFFFFF"/>
            <w:noWrap/>
            <w:vAlign w:val="bottom"/>
            <w:hideMark/>
          </w:tcPr>
          <w:p w14:paraId="717E9B4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GECELCA</w:t>
            </w:r>
          </w:p>
        </w:tc>
      </w:tr>
      <w:tr w:rsidR="00986168" w:rsidRPr="00986168" w14:paraId="36AA0EB0"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550ABA28"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E-2022-006135</w:t>
            </w:r>
          </w:p>
        </w:tc>
        <w:tc>
          <w:tcPr>
            <w:tcW w:w="4140" w:type="dxa"/>
            <w:tcBorders>
              <w:top w:val="nil"/>
              <w:left w:val="nil"/>
              <w:bottom w:val="single" w:sz="4" w:space="0" w:color="auto"/>
              <w:right w:val="single" w:sz="4" w:space="0" w:color="auto"/>
            </w:tcBorders>
            <w:shd w:val="clear" w:color="000000" w:fill="FFFFFF"/>
            <w:noWrap/>
            <w:vAlign w:val="bottom"/>
            <w:hideMark/>
          </w:tcPr>
          <w:p w14:paraId="17947DC8"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ANDESCO</w:t>
            </w:r>
          </w:p>
        </w:tc>
      </w:tr>
      <w:tr w:rsidR="00986168" w:rsidRPr="00986168" w14:paraId="2F6543D4"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3502562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E-2022-006141</w:t>
            </w:r>
          </w:p>
        </w:tc>
        <w:tc>
          <w:tcPr>
            <w:tcW w:w="4140" w:type="dxa"/>
            <w:tcBorders>
              <w:top w:val="nil"/>
              <w:left w:val="nil"/>
              <w:bottom w:val="single" w:sz="4" w:space="0" w:color="auto"/>
              <w:right w:val="single" w:sz="4" w:space="0" w:color="auto"/>
            </w:tcBorders>
            <w:shd w:val="clear" w:color="000000" w:fill="FFFFFF"/>
            <w:noWrap/>
            <w:vAlign w:val="bottom"/>
            <w:hideMark/>
          </w:tcPr>
          <w:p w14:paraId="35AFABF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ANDI</w:t>
            </w:r>
          </w:p>
        </w:tc>
      </w:tr>
      <w:tr w:rsidR="00986168" w:rsidRPr="00986168" w14:paraId="6D4C2B48"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5AE7E3B8"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E-2022-006146</w:t>
            </w:r>
          </w:p>
        </w:tc>
        <w:tc>
          <w:tcPr>
            <w:tcW w:w="4140" w:type="dxa"/>
            <w:tcBorders>
              <w:top w:val="nil"/>
              <w:left w:val="nil"/>
              <w:bottom w:val="single" w:sz="4" w:space="0" w:color="auto"/>
              <w:right w:val="single" w:sz="4" w:space="0" w:color="auto"/>
            </w:tcBorders>
            <w:shd w:val="clear" w:color="000000" w:fill="FFFFFF"/>
            <w:noWrap/>
            <w:vAlign w:val="bottom"/>
            <w:hideMark/>
          </w:tcPr>
          <w:p w14:paraId="0D180388"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GASES DE LA GUAJIRA</w:t>
            </w:r>
          </w:p>
        </w:tc>
      </w:tr>
      <w:tr w:rsidR="00986168" w:rsidRPr="00986168" w14:paraId="23DBE523"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1E254FCF"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lastRenderedPageBreak/>
              <w:t>E-2022-006151</w:t>
            </w:r>
          </w:p>
        </w:tc>
        <w:tc>
          <w:tcPr>
            <w:tcW w:w="4140" w:type="dxa"/>
            <w:tcBorders>
              <w:top w:val="nil"/>
              <w:left w:val="nil"/>
              <w:bottom w:val="single" w:sz="4" w:space="0" w:color="auto"/>
              <w:right w:val="single" w:sz="4" w:space="0" w:color="auto"/>
            </w:tcBorders>
            <w:shd w:val="clear" w:color="000000" w:fill="FFFFFF"/>
            <w:noWrap/>
            <w:vAlign w:val="bottom"/>
            <w:hideMark/>
          </w:tcPr>
          <w:p w14:paraId="18738C5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PROMIGAS</w:t>
            </w:r>
          </w:p>
        </w:tc>
      </w:tr>
      <w:tr w:rsidR="00986168" w:rsidRPr="00986168" w14:paraId="54F09ED1"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45F2290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E-2022-006154</w:t>
            </w:r>
          </w:p>
        </w:tc>
        <w:tc>
          <w:tcPr>
            <w:tcW w:w="4140" w:type="dxa"/>
            <w:tcBorders>
              <w:top w:val="nil"/>
              <w:left w:val="nil"/>
              <w:bottom w:val="single" w:sz="4" w:space="0" w:color="auto"/>
              <w:right w:val="single" w:sz="4" w:space="0" w:color="auto"/>
            </w:tcBorders>
            <w:shd w:val="clear" w:color="000000" w:fill="FFFFFF"/>
            <w:noWrap/>
            <w:vAlign w:val="bottom"/>
            <w:hideMark/>
          </w:tcPr>
          <w:p w14:paraId="761D1662"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HOCOL</w:t>
            </w:r>
          </w:p>
        </w:tc>
      </w:tr>
      <w:tr w:rsidR="00986168" w:rsidRPr="00986168" w14:paraId="4A1B51F6"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2E09A373"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E-2022-006157</w:t>
            </w:r>
          </w:p>
        </w:tc>
        <w:tc>
          <w:tcPr>
            <w:tcW w:w="4140" w:type="dxa"/>
            <w:tcBorders>
              <w:top w:val="nil"/>
              <w:left w:val="nil"/>
              <w:bottom w:val="single" w:sz="4" w:space="0" w:color="auto"/>
              <w:right w:val="single" w:sz="4" w:space="0" w:color="auto"/>
            </w:tcBorders>
            <w:shd w:val="clear" w:color="000000" w:fill="FFFFFF"/>
            <w:noWrap/>
            <w:vAlign w:val="bottom"/>
            <w:hideMark/>
          </w:tcPr>
          <w:p w14:paraId="42D03F5B"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ALCANOS</w:t>
            </w:r>
          </w:p>
        </w:tc>
      </w:tr>
      <w:tr w:rsidR="00986168" w:rsidRPr="00986168" w14:paraId="18C18561"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15242449"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E-2022-006158</w:t>
            </w:r>
          </w:p>
        </w:tc>
        <w:tc>
          <w:tcPr>
            <w:tcW w:w="4140" w:type="dxa"/>
            <w:tcBorders>
              <w:top w:val="nil"/>
              <w:left w:val="nil"/>
              <w:bottom w:val="single" w:sz="4" w:space="0" w:color="auto"/>
              <w:right w:val="single" w:sz="4" w:space="0" w:color="auto"/>
            </w:tcBorders>
            <w:shd w:val="clear" w:color="000000" w:fill="FFFFFF"/>
            <w:noWrap/>
            <w:vAlign w:val="bottom"/>
            <w:hideMark/>
          </w:tcPr>
          <w:p w14:paraId="2690B6CC"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GASES DEL ORIENTE</w:t>
            </w:r>
          </w:p>
        </w:tc>
      </w:tr>
      <w:tr w:rsidR="00986168" w:rsidRPr="00986168" w14:paraId="53D4A8FA"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5326A8D6"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E-2022-006162</w:t>
            </w:r>
          </w:p>
        </w:tc>
        <w:tc>
          <w:tcPr>
            <w:tcW w:w="4140" w:type="dxa"/>
            <w:tcBorders>
              <w:top w:val="nil"/>
              <w:left w:val="nil"/>
              <w:bottom w:val="single" w:sz="4" w:space="0" w:color="auto"/>
              <w:right w:val="single" w:sz="4" w:space="0" w:color="auto"/>
            </w:tcBorders>
            <w:shd w:val="clear" w:color="000000" w:fill="FFFFFF"/>
            <w:noWrap/>
            <w:vAlign w:val="bottom"/>
            <w:hideMark/>
          </w:tcPr>
          <w:p w14:paraId="0D280857"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NATURGAS</w:t>
            </w:r>
          </w:p>
        </w:tc>
      </w:tr>
      <w:tr w:rsidR="00986168" w:rsidRPr="00986168" w14:paraId="521C278E"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20636194"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E-2022-006302</w:t>
            </w:r>
          </w:p>
        </w:tc>
        <w:tc>
          <w:tcPr>
            <w:tcW w:w="4140" w:type="dxa"/>
            <w:tcBorders>
              <w:top w:val="nil"/>
              <w:left w:val="nil"/>
              <w:bottom w:val="single" w:sz="4" w:space="0" w:color="auto"/>
              <w:right w:val="single" w:sz="4" w:space="0" w:color="auto"/>
            </w:tcBorders>
            <w:shd w:val="clear" w:color="000000" w:fill="FFFFFF"/>
            <w:noWrap/>
            <w:vAlign w:val="bottom"/>
            <w:hideMark/>
          </w:tcPr>
          <w:p w14:paraId="1FA32DA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FRONTERA ENERGY</w:t>
            </w:r>
          </w:p>
        </w:tc>
      </w:tr>
      <w:tr w:rsidR="00986168" w:rsidRPr="00986168" w14:paraId="21D83F55"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1D264708"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E-2022-006427</w:t>
            </w:r>
          </w:p>
        </w:tc>
        <w:tc>
          <w:tcPr>
            <w:tcW w:w="4140" w:type="dxa"/>
            <w:tcBorders>
              <w:top w:val="nil"/>
              <w:left w:val="nil"/>
              <w:bottom w:val="single" w:sz="4" w:space="0" w:color="auto"/>
              <w:right w:val="single" w:sz="4" w:space="0" w:color="auto"/>
            </w:tcBorders>
            <w:shd w:val="clear" w:color="000000" w:fill="FFFFFF"/>
            <w:noWrap/>
            <w:vAlign w:val="bottom"/>
            <w:hideMark/>
          </w:tcPr>
          <w:p w14:paraId="607FCC94"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MADIGAS INGENIEROS S.A.</w:t>
            </w:r>
          </w:p>
        </w:tc>
      </w:tr>
      <w:tr w:rsidR="00986168" w:rsidRPr="00986168" w14:paraId="3C43F0A7"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bottom"/>
            <w:hideMark/>
          </w:tcPr>
          <w:p w14:paraId="00025322"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E-2022-006631 y E-2022-006632</w:t>
            </w:r>
          </w:p>
        </w:tc>
        <w:tc>
          <w:tcPr>
            <w:tcW w:w="4140" w:type="dxa"/>
            <w:tcBorders>
              <w:top w:val="nil"/>
              <w:left w:val="nil"/>
              <w:bottom w:val="single" w:sz="4" w:space="0" w:color="auto"/>
              <w:right w:val="single" w:sz="4" w:space="0" w:color="auto"/>
            </w:tcBorders>
            <w:shd w:val="clear" w:color="000000" w:fill="FFFFFF"/>
            <w:noWrap/>
            <w:vAlign w:val="bottom"/>
            <w:hideMark/>
          </w:tcPr>
          <w:p w14:paraId="743BFC1E"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VANTI</w:t>
            </w:r>
          </w:p>
        </w:tc>
      </w:tr>
      <w:tr w:rsidR="00986168" w:rsidRPr="00986168" w14:paraId="1D8A1B32" w14:textId="77777777" w:rsidTr="00295053">
        <w:trPr>
          <w:trHeight w:val="285"/>
          <w:jc w:val="center"/>
        </w:trPr>
        <w:tc>
          <w:tcPr>
            <w:tcW w:w="4400" w:type="dxa"/>
            <w:tcBorders>
              <w:top w:val="nil"/>
              <w:left w:val="single" w:sz="4" w:space="0" w:color="auto"/>
              <w:bottom w:val="single" w:sz="4" w:space="0" w:color="auto"/>
              <w:right w:val="single" w:sz="4" w:space="0" w:color="auto"/>
            </w:tcBorders>
            <w:shd w:val="clear" w:color="000000" w:fill="FFFFFF"/>
            <w:noWrap/>
            <w:vAlign w:val="center"/>
            <w:hideMark/>
          </w:tcPr>
          <w:p w14:paraId="157411B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E-2022-007044</w:t>
            </w:r>
          </w:p>
        </w:tc>
        <w:tc>
          <w:tcPr>
            <w:tcW w:w="4140" w:type="dxa"/>
            <w:tcBorders>
              <w:top w:val="nil"/>
              <w:left w:val="nil"/>
              <w:bottom w:val="single" w:sz="4" w:space="0" w:color="auto"/>
              <w:right w:val="single" w:sz="4" w:space="0" w:color="auto"/>
            </w:tcBorders>
            <w:shd w:val="clear" w:color="000000" w:fill="FFFFFF"/>
            <w:noWrap/>
            <w:vAlign w:val="bottom"/>
            <w:hideMark/>
          </w:tcPr>
          <w:p w14:paraId="20D81AD5" w14:textId="77777777" w:rsidR="00986168" w:rsidRPr="00986168" w:rsidRDefault="00986168" w:rsidP="00986168">
            <w:pPr>
              <w:ind w:left="0"/>
              <w:jc w:val="center"/>
              <w:rPr>
                <w:rFonts w:ascii="Calibri" w:hAnsi="Calibri" w:cs="Calibri"/>
                <w:color w:val="000000"/>
                <w:sz w:val="22"/>
                <w:szCs w:val="22"/>
                <w:lang w:val="es-CO" w:eastAsia="es-CO"/>
              </w:rPr>
            </w:pPr>
            <w:r w:rsidRPr="00986168">
              <w:rPr>
                <w:rFonts w:ascii="Calibri" w:hAnsi="Calibri" w:cs="Calibri"/>
                <w:color w:val="000000"/>
                <w:sz w:val="22"/>
                <w:szCs w:val="22"/>
                <w:lang w:val="es-CO" w:eastAsia="es-CO"/>
              </w:rPr>
              <w:t>ENERGY FOR THE CARIBBEAN</w:t>
            </w:r>
          </w:p>
        </w:tc>
      </w:tr>
    </w:tbl>
    <w:p w14:paraId="193D5D34" w14:textId="77777777" w:rsidR="00986168" w:rsidRPr="002D5416" w:rsidRDefault="00986168" w:rsidP="0006302B">
      <w:pPr>
        <w:shd w:val="clear" w:color="auto" w:fill="FFFFFF"/>
        <w:ind w:left="0"/>
        <w:jc w:val="both"/>
        <w:rPr>
          <w:rFonts w:ascii="Bookman Old Style" w:hAnsi="Bookman Old Style" w:cs="Arial"/>
        </w:rPr>
      </w:pPr>
    </w:p>
    <w:p w14:paraId="57D961F4" w14:textId="537206B4" w:rsidR="00B61691" w:rsidRDefault="00F25AA1" w:rsidP="00F25AA1">
      <w:pPr>
        <w:ind w:left="0"/>
        <w:jc w:val="both"/>
        <w:rPr>
          <w:rFonts w:ascii="Bookman Old Style" w:hAnsi="Bookman Old Style" w:cs="Arial"/>
          <w:color w:val="000000" w:themeColor="text1"/>
        </w:rPr>
      </w:pPr>
      <w:r>
        <w:rPr>
          <w:rFonts w:ascii="Bookman Old Style" w:hAnsi="Bookman Old Style" w:cs="Arial"/>
          <w:color w:val="000000" w:themeColor="text1"/>
        </w:rPr>
        <w:t>C</w:t>
      </w:r>
      <w:r w:rsidRPr="00F25AA1">
        <w:rPr>
          <w:rFonts w:ascii="Bookman Old Style" w:hAnsi="Bookman Old Style" w:cs="Arial"/>
          <w:color w:val="000000" w:themeColor="text1"/>
        </w:rPr>
        <w:t xml:space="preserve">on base en los análisis realizados a los comentarios recibidos y </w:t>
      </w:r>
      <w:r>
        <w:rPr>
          <w:rFonts w:ascii="Bookman Old Style" w:hAnsi="Bookman Old Style" w:cs="Arial"/>
          <w:color w:val="000000" w:themeColor="text1"/>
        </w:rPr>
        <w:t>los realizados por</w:t>
      </w:r>
      <w:r w:rsidRPr="00F25AA1">
        <w:rPr>
          <w:rFonts w:ascii="Bookman Old Style" w:hAnsi="Bookman Old Style" w:cs="Arial"/>
          <w:color w:val="000000" w:themeColor="text1"/>
        </w:rPr>
        <w:t xml:space="preserve"> la Comisión, </w:t>
      </w:r>
      <w:r w:rsidR="00D11435">
        <w:rPr>
          <w:rFonts w:ascii="Bookman Old Style" w:hAnsi="Bookman Old Style" w:cs="Arial"/>
          <w:color w:val="000000" w:themeColor="text1"/>
        </w:rPr>
        <w:t xml:space="preserve">a través de la presente resolución </w:t>
      </w:r>
      <w:r w:rsidRPr="00F25AA1">
        <w:rPr>
          <w:rFonts w:ascii="Bookman Old Style" w:hAnsi="Bookman Old Style" w:cs="Arial"/>
          <w:color w:val="000000" w:themeColor="text1"/>
        </w:rPr>
        <w:t xml:space="preserve">se establecen ajustes a la propuesta inicialmente presentada en la Resolución CREG </w:t>
      </w:r>
      <w:r>
        <w:rPr>
          <w:rFonts w:ascii="Bookman Old Style" w:hAnsi="Bookman Old Style" w:cs="Arial"/>
          <w:color w:val="000000" w:themeColor="text1"/>
        </w:rPr>
        <w:t>226 de 2021</w:t>
      </w:r>
      <w:r w:rsidR="00B61691">
        <w:rPr>
          <w:rFonts w:ascii="Bookman Old Style" w:hAnsi="Bookman Old Style" w:cs="Arial"/>
          <w:color w:val="000000" w:themeColor="text1"/>
        </w:rPr>
        <w:t xml:space="preserve">, entre otros, relacionados con </w:t>
      </w:r>
      <w:r w:rsidR="000C47FC">
        <w:rPr>
          <w:rFonts w:ascii="Bookman Old Style" w:hAnsi="Bookman Old Style" w:cs="Arial"/>
          <w:color w:val="000000" w:themeColor="text1"/>
        </w:rPr>
        <w:t xml:space="preserve">la </w:t>
      </w:r>
      <w:r w:rsidR="00BE0262">
        <w:rPr>
          <w:rFonts w:ascii="Bookman Old Style" w:hAnsi="Bookman Old Style" w:cs="Arial"/>
          <w:color w:val="000000" w:themeColor="text1"/>
        </w:rPr>
        <w:t>definición de</w:t>
      </w:r>
      <w:r w:rsidR="00A2736F">
        <w:rPr>
          <w:rFonts w:ascii="Bookman Old Style" w:hAnsi="Bookman Old Style" w:cs="Arial"/>
          <w:color w:val="000000" w:themeColor="text1"/>
        </w:rPr>
        <w:t xml:space="preserve">l respaldo físico de gas obtenido en el exterior, </w:t>
      </w:r>
      <w:r w:rsidR="00A9559A">
        <w:rPr>
          <w:rFonts w:ascii="Bookman Old Style" w:hAnsi="Bookman Old Style" w:cs="Arial"/>
          <w:color w:val="000000" w:themeColor="text1"/>
        </w:rPr>
        <w:t xml:space="preserve">aspectos de </w:t>
      </w:r>
      <w:r w:rsidR="00E31CA3">
        <w:rPr>
          <w:rFonts w:ascii="Bookman Old Style" w:hAnsi="Bookman Old Style" w:cs="Arial"/>
          <w:color w:val="000000" w:themeColor="text1"/>
        </w:rPr>
        <w:t xml:space="preserve">relacionados con </w:t>
      </w:r>
      <w:r w:rsidR="00D23D98">
        <w:rPr>
          <w:rFonts w:ascii="Bookman Old Style" w:hAnsi="Bookman Old Style" w:cs="Arial"/>
          <w:color w:val="000000" w:themeColor="text1"/>
        </w:rPr>
        <w:t xml:space="preserve">la recepción </w:t>
      </w:r>
      <w:r w:rsidR="00E87666">
        <w:rPr>
          <w:rFonts w:ascii="Bookman Old Style" w:hAnsi="Bookman Old Style" w:cs="Arial"/>
          <w:color w:val="000000" w:themeColor="text1"/>
        </w:rPr>
        <w:t xml:space="preserve">y verificación </w:t>
      </w:r>
      <w:r w:rsidR="00D23D98">
        <w:rPr>
          <w:rFonts w:ascii="Bookman Old Style" w:hAnsi="Bookman Old Style" w:cs="Arial"/>
          <w:color w:val="000000" w:themeColor="text1"/>
        </w:rPr>
        <w:t>de información</w:t>
      </w:r>
      <w:r w:rsidR="00E87666">
        <w:rPr>
          <w:rFonts w:ascii="Bookman Old Style" w:hAnsi="Bookman Old Style" w:cs="Arial"/>
          <w:color w:val="000000" w:themeColor="text1"/>
        </w:rPr>
        <w:t xml:space="preserve"> </w:t>
      </w:r>
      <w:r w:rsidR="007857BF">
        <w:rPr>
          <w:rFonts w:ascii="Bookman Old Style" w:hAnsi="Bookman Old Style" w:cs="Arial"/>
          <w:color w:val="000000" w:themeColor="text1"/>
        </w:rPr>
        <w:t>por parte de</w:t>
      </w:r>
      <w:r w:rsidR="00E87666">
        <w:rPr>
          <w:rFonts w:ascii="Bookman Old Style" w:hAnsi="Bookman Old Style" w:cs="Arial"/>
          <w:color w:val="000000" w:themeColor="text1"/>
        </w:rPr>
        <w:t>l Gestor del Mercado</w:t>
      </w:r>
      <w:r w:rsidR="0054072F">
        <w:rPr>
          <w:rFonts w:ascii="Bookman Old Style" w:hAnsi="Bookman Old Style" w:cs="Arial"/>
          <w:color w:val="000000" w:themeColor="text1"/>
        </w:rPr>
        <w:t xml:space="preserve">, </w:t>
      </w:r>
      <w:r w:rsidR="00D11435">
        <w:rPr>
          <w:rFonts w:ascii="Bookman Old Style" w:hAnsi="Bookman Old Style" w:cs="Arial"/>
          <w:color w:val="000000" w:themeColor="text1"/>
        </w:rPr>
        <w:t>m</w:t>
      </w:r>
      <w:r w:rsidR="0054072F">
        <w:rPr>
          <w:rFonts w:ascii="Bookman Old Style" w:hAnsi="Bookman Old Style" w:cs="Arial"/>
          <w:color w:val="000000" w:themeColor="text1"/>
        </w:rPr>
        <w:t xml:space="preserve">odalidades de contratos en el </w:t>
      </w:r>
      <w:r w:rsidR="00D11435">
        <w:rPr>
          <w:rFonts w:ascii="Bookman Old Style" w:hAnsi="Bookman Old Style" w:cs="Arial"/>
          <w:color w:val="000000" w:themeColor="text1"/>
        </w:rPr>
        <w:t>m</w:t>
      </w:r>
      <w:r w:rsidR="0054072F">
        <w:rPr>
          <w:rFonts w:ascii="Bookman Old Style" w:hAnsi="Bookman Old Style" w:cs="Arial"/>
          <w:color w:val="000000" w:themeColor="text1"/>
        </w:rPr>
        <w:t xml:space="preserve">ercado </w:t>
      </w:r>
      <w:r w:rsidR="00D11435">
        <w:rPr>
          <w:rFonts w:ascii="Bookman Old Style" w:hAnsi="Bookman Old Style" w:cs="Arial"/>
          <w:color w:val="000000" w:themeColor="text1"/>
        </w:rPr>
        <w:t>p</w:t>
      </w:r>
      <w:r w:rsidR="0054072F">
        <w:rPr>
          <w:rFonts w:ascii="Bookman Old Style" w:hAnsi="Bookman Old Style" w:cs="Arial"/>
          <w:color w:val="000000" w:themeColor="text1"/>
        </w:rPr>
        <w:t>rimario</w:t>
      </w:r>
      <w:r w:rsidR="000A1DC9">
        <w:rPr>
          <w:rFonts w:ascii="Bookman Old Style" w:hAnsi="Bookman Old Style" w:cs="Arial"/>
          <w:color w:val="000000" w:themeColor="text1"/>
        </w:rPr>
        <w:t>, requisitos mínimos del contenido de los contratos firmes</w:t>
      </w:r>
      <w:r w:rsidR="008A6471">
        <w:rPr>
          <w:rFonts w:ascii="Bookman Old Style" w:hAnsi="Bookman Old Style" w:cs="Arial"/>
          <w:color w:val="000000" w:themeColor="text1"/>
        </w:rPr>
        <w:t xml:space="preserve">, </w:t>
      </w:r>
      <w:r w:rsidR="007E6029">
        <w:rPr>
          <w:rFonts w:ascii="Bookman Old Style" w:hAnsi="Bookman Old Style" w:cs="Arial"/>
          <w:color w:val="000000" w:themeColor="text1"/>
        </w:rPr>
        <w:t xml:space="preserve">fuentes de </w:t>
      </w:r>
      <w:r w:rsidR="00957984">
        <w:rPr>
          <w:rFonts w:ascii="Bookman Old Style" w:hAnsi="Bookman Old Style" w:cs="Arial"/>
          <w:color w:val="000000" w:themeColor="text1"/>
        </w:rPr>
        <w:t xml:space="preserve">suministro </w:t>
      </w:r>
      <w:r w:rsidR="00D048C0">
        <w:rPr>
          <w:rFonts w:ascii="Bookman Old Style" w:hAnsi="Bookman Old Style" w:cs="Arial"/>
          <w:color w:val="000000" w:themeColor="text1"/>
        </w:rPr>
        <w:t xml:space="preserve">exceptuadas </w:t>
      </w:r>
      <w:r w:rsidR="009457B1">
        <w:rPr>
          <w:rFonts w:ascii="Bookman Old Style" w:hAnsi="Bookman Old Style" w:cs="Arial"/>
          <w:color w:val="000000" w:themeColor="text1"/>
        </w:rPr>
        <w:t>a la apli</w:t>
      </w:r>
      <w:r w:rsidR="004672B7">
        <w:rPr>
          <w:rFonts w:ascii="Bookman Old Style" w:hAnsi="Bookman Old Style" w:cs="Arial"/>
          <w:color w:val="000000" w:themeColor="text1"/>
        </w:rPr>
        <w:t>cación de mecanismos de comercialización</w:t>
      </w:r>
      <w:r w:rsidR="00E62947">
        <w:rPr>
          <w:rFonts w:ascii="Bookman Old Style" w:hAnsi="Bookman Old Style" w:cs="Arial"/>
          <w:color w:val="000000" w:themeColor="text1"/>
        </w:rPr>
        <w:t xml:space="preserve">, </w:t>
      </w:r>
      <w:r w:rsidR="00AA3555">
        <w:rPr>
          <w:rFonts w:ascii="Bookman Old Style" w:hAnsi="Bookman Old Style" w:cs="Arial"/>
          <w:color w:val="000000" w:themeColor="text1"/>
        </w:rPr>
        <w:t xml:space="preserve">balances comerciales y </w:t>
      </w:r>
      <w:r w:rsidR="00E62947">
        <w:rPr>
          <w:rFonts w:ascii="Bookman Old Style" w:hAnsi="Bookman Old Style" w:cs="Arial"/>
          <w:color w:val="000000" w:themeColor="text1"/>
        </w:rPr>
        <w:t>cronograma</w:t>
      </w:r>
      <w:r w:rsidR="00FC4AD3">
        <w:rPr>
          <w:rFonts w:ascii="Bookman Old Style" w:hAnsi="Bookman Old Style" w:cs="Arial"/>
          <w:color w:val="000000" w:themeColor="text1"/>
        </w:rPr>
        <w:t>s</w:t>
      </w:r>
      <w:r w:rsidR="00E62947">
        <w:rPr>
          <w:rFonts w:ascii="Bookman Old Style" w:hAnsi="Bookman Old Style" w:cs="Arial"/>
          <w:color w:val="000000" w:themeColor="text1"/>
        </w:rPr>
        <w:t xml:space="preserve"> de comercialización,</w:t>
      </w:r>
      <w:r w:rsidR="006328E9">
        <w:rPr>
          <w:rFonts w:ascii="Bookman Old Style" w:hAnsi="Bookman Old Style" w:cs="Arial"/>
          <w:color w:val="000000" w:themeColor="text1"/>
        </w:rPr>
        <w:t xml:space="preserve"> ajustes a la aplicación del </w:t>
      </w:r>
      <w:r w:rsidR="006328E9" w:rsidRPr="006328E9">
        <w:rPr>
          <w:rFonts w:ascii="Bookman Old Style" w:hAnsi="Bookman Old Style" w:cs="Arial"/>
          <w:color w:val="000000" w:themeColor="text1"/>
        </w:rPr>
        <w:t>Mecanismo de Aseguramiento de la Demanda Esencial</w:t>
      </w:r>
      <w:r w:rsidR="003C1DE4">
        <w:rPr>
          <w:rFonts w:ascii="Bookman Old Style" w:hAnsi="Bookman Old Style" w:cs="Arial"/>
          <w:color w:val="000000" w:themeColor="text1"/>
        </w:rPr>
        <w:t>,</w:t>
      </w:r>
      <w:r w:rsidR="00D25E79">
        <w:rPr>
          <w:rFonts w:ascii="Bookman Old Style" w:hAnsi="Bookman Old Style" w:cs="Arial"/>
          <w:color w:val="000000" w:themeColor="text1"/>
        </w:rPr>
        <w:t xml:space="preserve"> así como a las</w:t>
      </w:r>
      <w:r w:rsidR="003C1DE4">
        <w:rPr>
          <w:rFonts w:ascii="Bookman Old Style" w:hAnsi="Bookman Old Style" w:cs="Arial"/>
          <w:color w:val="000000" w:themeColor="text1"/>
        </w:rPr>
        <w:t xml:space="preserve"> condiciones de negociación en el mercado primario</w:t>
      </w:r>
      <w:r w:rsidRPr="00F25AA1">
        <w:rPr>
          <w:rFonts w:ascii="Bookman Old Style" w:hAnsi="Bookman Old Style" w:cs="Arial"/>
          <w:color w:val="000000" w:themeColor="text1"/>
        </w:rPr>
        <w:t>.</w:t>
      </w:r>
      <w:r>
        <w:rPr>
          <w:rFonts w:ascii="Bookman Old Style" w:hAnsi="Bookman Old Style" w:cs="Arial"/>
          <w:color w:val="000000" w:themeColor="text1"/>
        </w:rPr>
        <w:t xml:space="preserve"> </w:t>
      </w:r>
    </w:p>
    <w:p w14:paraId="01C6A81D" w14:textId="77777777" w:rsidR="00B61691" w:rsidRDefault="00B61691" w:rsidP="00F25AA1">
      <w:pPr>
        <w:ind w:left="0"/>
        <w:jc w:val="both"/>
        <w:rPr>
          <w:rFonts w:ascii="Bookman Old Style" w:hAnsi="Bookman Old Style" w:cs="Arial"/>
          <w:color w:val="000000" w:themeColor="text1"/>
        </w:rPr>
      </w:pPr>
    </w:p>
    <w:p w14:paraId="7BD9B887" w14:textId="34DF9E3F" w:rsidR="0006302B" w:rsidRDefault="00F25AA1" w:rsidP="00F25AA1">
      <w:pPr>
        <w:ind w:left="0"/>
        <w:jc w:val="both"/>
        <w:rPr>
          <w:rFonts w:ascii="Bookman Old Style" w:hAnsi="Bookman Old Style" w:cs="Arial"/>
          <w:color w:val="000000" w:themeColor="text1"/>
        </w:rPr>
      </w:pPr>
      <w:r>
        <w:rPr>
          <w:rFonts w:ascii="Bookman Old Style" w:hAnsi="Bookman Old Style" w:cs="Arial"/>
          <w:color w:val="000000" w:themeColor="text1"/>
        </w:rPr>
        <w:t xml:space="preserve">Para ello, </w:t>
      </w:r>
      <w:r w:rsidRPr="00F25AA1">
        <w:rPr>
          <w:rFonts w:ascii="Bookman Old Style" w:hAnsi="Bookman Old Style" w:cs="Arial"/>
          <w:color w:val="000000" w:themeColor="text1"/>
        </w:rPr>
        <w:t xml:space="preserve">el presente acto tiene como objeto dar a conocer a los agentes interesados y al público en general, el proyecto </w:t>
      </w:r>
      <w:r>
        <w:rPr>
          <w:rFonts w:ascii="Bookman Old Style" w:hAnsi="Bookman Old Style" w:cs="Arial"/>
          <w:color w:val="000000" w:themeColor="text1"/>
        </w:rPr>
        <w:t xml:space="preserve">ajustado </w:t>
      </w:r>
      <w:r w:rsidRPr="00F25AA1">
        <w:rPr>
          <w:rFonts w:ascii="Bookman Old Style" w:hAnsi="Bookman Old Style" w:cs="Arial"/>
          <w:color w:val="000000" w:themeColor="text1"/>
        </w:rPr>
        <w:t>por el cual se regulan aspectos comerciales del Mercado Mayorista de gas natural, como parte del Reglamento de Operación de gas natural.</w:t>
      </w:r>
    </w:p>
    <w:p w14:paraId="4400888F" w14:textId="77777777" w:rsidR="00F23B14" w:rsidRDefault="00F23B14" w:rsidP="00F25AA1">
      <w:pPr>
        <w:ind w:left="0"/>
        <w:jc w:val="both"/>
        <w:rPr>
          <w:rFonts w:ascii="Bookman Old Style" w:hAnsi="Bookman Old Style" w:cs="Arial"/>
          <w:color w:val="000000" w:themeColor="text1"/>
        </w:rPr>
      </w:pPr>
    </w:p>
    <w:p w14:paraId="770BF28C" w14:textId="7BCAFFA4" w:rsidR="00F23B14" w:rsidRDefault="00F23B14" w:rsidP="00F25AA1">
      <w:pPr>
        <w:ind w:left="0"/>
        <w:jc w:val="both"/>
        <w:rPr>
          <w:rFonts w:ascii="Bookman Old Style" w:hAnsi="Bookman Old Style" w:cs="Arial"/>
          <w:color w:val="000000" w:themeColor="text1"/>
        </w:rPr>
      </w:pPr>
      <w:r>
        <w:rPr>
          <w:rFonts w:ascii="Bookman Old Style" w:hAnsi="Bookman Old Style" w:cs="Arial"/>
          <w:color w:val="000000" w:themeColor="text1"/>
        </w:rPr>
        <w:t>En el documento soporte que acompaña la presente propuesta regulatoria se</w:t>
      </w:r>
      <w:r w:rsidR="00C87937">
        <w:rPr>
          <w:rFonts w:ascii="Bookman Old Style" w:hAnsi="Bookman Old Style" w:cs="Arial"/>
          <w:color w:val="000000" w:themeColor="text1"/>
        </w:rPr>
        <w:t xml:space="preserve"> exponen los</w:t>
      </w:r>
      <w:r w:rsidR="00FB12A0">
        <w:rPr>
          <w:rFonts w:ascii="Bookman Old Style" w:hAnsi="Bookman Old Style" w:cs="Arial"/>
          <w:color w:val="000000" w:themeColor="text1"/>
        </w:rPr>
        <w:t xml:space="preserve"> análisis que sustentan los ajustes y modificaciones propuestas, así como se</w:t>
      </w:r>
      <w:r>
        <w:rPr>
          <w:rFonts w:ascii="Bookman Old Style" w:hAnsi="Bookman Old Style" w:cs="Arial"/>
          <w:color w:val="000000" w:themeColor="text1"/>
        </w:rPr>
        <w:t xml:space="preserve"> da respuesta de manera agrupada a los comentarios recibidos a la Resolución CREG 226 de 2021.</w:t>
      </w:r>
    </w:p>
    <w:p w14:paraId="5B8CAE7E" w14:textId="64F0E4F8" w:rsidR="00F25AA1" w:rsidRDefault="00F25AA1" w:rsidP="0006302B">
      <w:pPr>
        <w:ind w:left="0"/>
        <w:jc w:val="both"/>
        <w:rPr>
          <w:rFonts w:ascii="Bookman Old Style" w:hAnsi="Bookman Old Style" w:cs="Arial"/>
          <w:color w:val="000000" w:themeColor="text1"/>
        </w:rPr>
      </w:pPr>
    </w:p>
    <w:p w14:paraId="088CF6CF" w14:textId="77777777" w:rsidR="00F25AA1" w:rsidRPr="00B8157B" w:rsidRDefault="00F25AA1" w:rsidP="0006302B">
      <w:pPr>
        <w:ind w:left="0"/>
        <w:jc w:val="both"/>
        <w:rPr>
          <w:rFonts w:ascii="Bookman Old Style" w:hAnsi="Bookman Old Style" w:cs="Arial"/>
          <w:color w:val="000000" w:themeColor="text1"/>
        </w:rPr>
      </w:pPr>
    </w:p>
    <w:p w14:paraId="6A890395" w14:textId="77777777" w:rsidR="0006302B" w:rsidRPr="0013707D" w:rsidRDefault="0006302B" w:rsidP="0006302B">
      <w:pPr>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R E S U E L V E:</w:t>
      </w:r>
    </w:p>
    <w:p w14:paraId="3E3478EF" w14:textId="77777777" w:rsidR="0006302B" w:rsidRPr="0013707D" w:rsidRDefault="0006302B" w:rsidP="0006302B">
      <w:pPr>
        <w:ind w:left="0"/>
        <w:jc w:val="center"/>
        <w:rPr>
          <w:rFonts w:ascii="Bookman Old Style" w:hAnsi="Bookman Old Style" w:cs="Arial"/>
          <w:color w:val="000000" w:themeColor="text1"/>
          <w:lang w:val="es-CO"/>
        </w:rPr>
      </w:pPr>
    </w:p>
    <w:p w14:paraId="7E102D3B"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Título I</w:t>
      </w:r>
    </w:p>
    <w:p w14:paraId="4DA42A6B" w14:textId="77777777" w:rsidR="0006302B" w:rsidRPr="0013707D" w:rsidRDefault="0006302B" w:rsidP="0006302B">
      <w:pPr>
        <w:ind w:left="0"/>
        <w:jc w:val="center"/>
        <w:rPr>
          <w:rFonts w:ascii="Bookman Old Style" w:hAnsi="Bookman Old Style" w:cs="Arial"/>
          <w:b/>
          <w:color w:val="000000" w:themeColor="text1"/>
          <w:lang w:val="es-CO"/>
        </w:rPr>
      </w:pPr>
      <w:r w:rsidRPr="0013707D">
        <w:rPr>
          <w:rFonts w:ascii="Bookman Old Style" w:hAnsi="Bookman Old Style" w:cs="Arial"/>
          <w:b/>
          <w:color w:val="000000" w:themeColor="text1"/>
          <w:lang w:val="es-CO"/>
        </w:rPr>
        <w:t>Disposiciones generales</w:t>
      </w:r>
    </w:p>
    <w:p w14:paraId="2DFC199F" w14:textId="00ABAE42" w:rsidR="0006302B" w:rsidRDefault="0006302B" w:rsidP="0006302B">
      <w:pPr>
        <w:ind w:left="0"/>
        <w:rPr>
          <w:rFonts w:ascii="Bookman Old Style" w:hAnsi="Bookman Old Style" w:cs="Arial"/>
          <w:color w:val="000000" w:themeColor="text1"/>
          <w:lang w:val="es-CO"/>
        </w:rPr>
      </w:pPr>
    </w:p>
    <w:p w14:paraId="5548B8B2" w14:textId="77777777" w:rsidR="00FE1CCE" w:rsidRPr="0013707D" w:rsidRDefault="00FE1CCE" w:rsidP="0006302B">
      <w:pPr>
        <w:ind w:left="0"/>
        <w:rPr>
          <w:rFonts w:ascii="Bookman Old Style" w:hAnsi="Bookman Old Style" w:cs="Arial"/>
          <w:color w:val="000000" w:themeColor="text1"/>
          <w:lang w:val="es-CO"/>
        </w:rPr>
      </w:pPr>
    </w:p>
    <w:p w14:paraId="3B6FBEEE" w14:textId="5C899B19" w:rsidR="0006302B" w:rsidRPr="0013707D" w:rsidRDefault="0006302B" w:rsidP="0006302B">
      <w:pPr>
        <w:pStyle w:val="ARTICULOS"/>
        <w:tabs>
          <w:tab w:val="clear" w:pos="1559"/>
          <w:tab w:val="left" w:pos="1560"/>
        </w:tabs>
        <w:outlineLvl w:val="0"/>
        <w:rPr>
          <w:rFonts w:cs="Arial"/>
          <w:b/>
          <w:color w:val="000000" w:themeColor="text1"/>
          <w:lang w:val="es-CO"/>
        </w:rPr>
      </w:pPr>
      <w:bookmarkStart w:id="1" w:name="_Ref330309365"/>
      <w:bookmarkStart w:id="2" w:name="_Ref44967705"/>
      <w:r w:rsidRPr="0013707D">
        <w:rPr>
          <w:rFonts w:cs="Arial"/>
          <w:b/>
          <w:color w:val="000000" w:themeColor="text1"/>
          <w:lang w:val="es-CO"/>
        </w:rPr>
        <w:t>Objeto.</w:t>
      </w:r>
      <w:r w:rsidRPr="0013707D">
        <w:rPr>
          <w:rFonts w:cs="Arial"/>
          <w:color w:val="000000" w:themeColor="text1"/>
          <w:lang w:val="es-CO"/>
        </w:rPr>
        <w:t xml:space="preserve"> </w:t>
      </w:r>
      <w:bookmarkEnd w:id="1"/>
      <w:bookmarkEnd w:id="2"/>
      <w:r w:rsidRPr="0013707D">
        <w:rPr>
          <w:rFonts w:cs="Arial"/>
          <w:color w:val="000000" w:themeColor="text1"/>
          <w:lang w:val="es-CO"/>
        </w:rPr>
        <w:t xml:space="preserve">Mediante esta Resolución </w:t>
      </w:r>
      <w:r w:rsidRPr="0013707D">
        <w:rPr>
          <w:rFonts w:cs="Arial"/>
          <w:bCs w:val="0"/>
          <w:color w:val="000000" w:themeColor="text1"/>
          <w:lang w:val="es-CO"/>
        </w:rPr>
        <w:t xml:space="preserve">se regulan aspectos comerciales </w:t>
      </w:r>
      <w:r w:rsidRPr="00D11C85">
        <w:rPr>
          <w:rFonts w:cs="Arial"/>
          <w:bCs w:val="0"/>
          <w:color w:val="000000" w:themeColor="text1"/>
          <w:lang w:val="es-CO"/>
        </w:rPr>
        <w:t xml:space="preserve">del </w:t>
      </w:r>
      <w:r>
        <w:rPr>
          <w:rFonts w:cs="Arial"/>
          <w:bCs w:val="0"/>
          <w:color w:val="000000" w:themeColor="text1"/>
          <w:lang w:val="es-CO"/>
        </w:rPr>
        <w:t>Mercado Mayorista</w:t>
      </w:r>
      <w:r w:rsidRPr="0013707D">
        <w:rPr>
          <w:rFonts w:cs="Arial"/>
          <w:bCs w:val="0"/>
          <w:color w:val="000000" w:themeColor="text1"/>
          <w:lang w:val="es-CO"/>
        </w:rPr>
        <w:t xml:space="preserve"> de gas natural, </w:t>
      </w:r>
      <w:r w:rsidRPr="00D8590E">
        <w:rPr>
          <w:rFonts w:cs="Arial"/>
          <w:bCs w:val="0"/>
          <w:color w:val="000000" w:themeColor="text1"/>
          <w:lang w:val="es-CO"/>
        </w:rPr>
        <w:t xml:space="preserve">como parte del </w:t>
      </w:r>
      <w:r w:rsidR="006A7DBE" w:rsidRPr="00D8590E">
        <w:rPr>
          <w:rFonts w:cs="Arial"/>
          <w:bCs w:val="0"/>
          <w:color w:val="000000" w:themeColor="text1"/>
          <w:lang w:val="es-CO"/>
        </w:rPr>
        <w:t>R</w:t>
      </w:r>
      <w:r w:rsidRPr="00D8590E">
        <w:rPr>
          <w:rFonts w:cs="Arial"/>
          <w:bCs w:val="0"/>
          <w:color w:val="000000" w:themeColor="text1"/>
          <w:lang w:val="es-CO"/>
        </w:rPr>
        <w:t xml:space="preserve">eglamento de </w:t>
      </w:r>
      <w:r w:rsidR="006A7DBE" w:rsidRPr="00D8590E">
        <w:rPr>
          <w:rFonts w:cs="Arial"/>
          <w:bCs w:val="0"/>
          <w:color w:val="000000" w:themeColor="text1"/>
          <w:lang w:val="es-CO"/>
        </w:rPr>
        <w:t>O</w:t>
      </w:r>
      <w:r w:rsidRPr="00D8590E">
        <w:rPr>
          <w:rFonts w:cs="Arial"/>
          <w:bCs w:val="0"/>
          <w:color w:val="000000" w:themeColor="text1"/>
          <w:lang w:val="es-CO"/>
        </w:rPr>
        <w:t xml:space="preserve">peración de gas natural. Esta Resolución contiene el conjunto de disposiciones aplicables a las negociaciones del suministro de gas natural </w:t>
      </w:r>
      <w:r w:rsidRPr="00D8590E">
        <w:rPr>
          <w:rFonts w:cs="Arial"/>
          <w:b/>
          <w:color w:val="000000" w:themeColor="text1"/>
          <w:lang w:val="es-CO"/>
        </w:rPr>
        <w:t>a ser utilizado</w:t>
      </w:r>
      <w:r w:rsidRPr="00D8590E">
        <w:rPr>
          <w:rFonts w:cs="Arial"/>
          <w:bCs w:val="0"/>
          <w:color w:val="000000" w:themeColor="text1"/>
          <w:lang w:val="es-CO"/>
        </w:rPr>
        <w:t xml:space="preserve"> como combustible</w:t>
      </w:r>
      <w:r w:rsidR="006A7DBE" w:rsidRPr="00D8590E">
        <w:rPr>
          <w:rFonts w:cs="Arial"/>
          <w:bCs w:val="0"/>
          <w:color w:val="000000" w:themeColor="text1"/>
          <w:lang w:val="es-CO"/>
        </w:rPr>
        <w:t xml:space="preserve"> </w:t>
      </w:r>
      <w:r w:rsidRPr="00D8590E">
        <w:rPr>
          <w:rFonts w:cs="Arial"/>
          <w:b/>
          <w:color w:val="000000" w:themeColor="text1"/>
          <w:lang w:val="es-CO"/>
        </w:rPr>
        <w:t xml:space="preserve">para la atención del servicio público </w:t>
      </w:r>
      <w:r w:rsidR="0035662E">
        <w:rPr>
          <w:rFonts w:cs="Arial"/>
          <w:b/>
          <w:color w:val="000000" w:themeColor="text1"/>
          <w:lang w:val="es-CO"/>
        </w:rPr>
        <w:t xml:space="preserve">domiciliario </w:t>
      </w:r>
      <w:r w:rsidRPr="00D8590E">
        <w:rPr>
          <w:rFonts w:cs="Arial"/>
          <w:b/>
          <w:color w:val="000000" w:themeColor="text1"/>
          <w:lang w:val="es-CO"/>
        </w:rPr>
        <w:t>de gas combustible.</w:t>
      </w:r>
      <w:r w:rsidRPr="00D8590E">
        <w:rPr>
          <w:rFonts w:cs="Arial"/>
          <w:bCs w:val="0"/>
          <w:color w:val="000000" w:themeColor="text1"/>
          <w:lang w:val="es-CO"/>
        </w:rPr>
        <w:t xml:space="preserve"> </w:t>
      </w:r>
      <w:r>
        <w:rPr>
          <w:rFonts w:cs="Arial"/>
          <w:bCs w:val="0"/>
          <w:color w:val="000000" w:themeColor="text1"/>
          <w:lang w:val="es-CO"/>
        </w:rPr>
        <w:t xml:space="preserve"> </w:t>
      </w:r>
    </w:p>
    <w:p w14:paraId="48FC85F4"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1AABC526" w14:textId="5FA08D50"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Parágrafo.</w:t>
      </w:r>
      <w:r w:rsidRPr="0013707D">
        <w:rPr>
          <w:rFonts w:cs="Arial"/>
          <w:color w:val="000000" w:themeColor="text1"/>
          <w:lang w:val="es-CO"/>
        </w:rPr>
        <w:t xml:space="preserve"> De conformidad con el artículo 11 de la Ley 401 de 1997</w:t>
      </w:r>
      <w:r w:rsidR="006A7DBE">
        <w:rPr>
          <w:rFonts w:cs="Arial"/>
          <w:color w:val="000000" w:themeColor="text1"/>
          <w:lang w:val="es-CO"/>
        </w:rPr>
        <w:t>,</w:t>
      </w:r>
      <w:r w:rsidRPr="0013707D">
        <w:rPr>
          <w:rFonts w:cs="Arial"/>
          <w:color w:val="000000" w:themeColor="text1"/>
          <w:lang w:val="es-CO"/>
        </w:rPr>
        <w:t xml:space="preserve"> y los artículos 8 y 26 del Decreto 2100 de 2011, la regulación sobre los aspectos comerciales del gas con destino al procesamiento de gas natural, a su utilización como materia prima de procesos industriales petroquímicos, al consumo de los </w:t>
      </w:r>
      <w:r w:rsidRPr="0013707D">
        <w:rPr>
          <w:rFonts w:cs="Arial"/>
          <w:color w:val="000000" w:themeColor="text1"/>
          <w:lang w:val="es-CO"/>
        </w:rPr>
        <w:lastRenderedPageBreak/>
        <w:t>productores</w:t>
      </w:r>
      <w:r w:rsidRPr="0013707D">
        <w:rPr>
          <w:rFonts w:cs="Arial"/>
          <w:color w:val="000000" w:themeColor="text1"/>
          <w:lang w:val="es-CO"/>
        </w:rPr>
        <w:noBreakHyphen/>
        <w:t>comercializadores</w:t>
      </w:r>
      <w:r w:rsidR="006A7DBE">
        <w:rPr>
          <w:rFonts w:cs="Arial"/>
          <w:color w:val="000000" w:themeColor="text1"/>
          <w:lang w:val="es-CO"/>
        </w:rPr>
        <w:t>,</w:t>
      </w:r>
      <w:r w:rsidRPr="0013707D">
        <w:rPr>
          <w:rFonts w:cs="Arial"/>
          <w:color w:val="000000" w:themeColor="text1"/>
          <w:lang w:val="es-CO"/>
        </w:rPr>
        <w:t xml:space="preserve"> o a la exportación</w:t>
      </w:r>
      <w:r w:rsidR="006A7DBE">
        <w:rPr>
          <w:rFonts w:cs="Arial"/>
          <w:color w:val="000000" w:themeColor="text1"/>
          <w:lang w:val="es-CO"/>
        </w:rPr>
        <w:t>,</w:t>
      </w:r>
      <w:r w:rsidRPr="0013707D">
        <w:rPr>
          <w:rFonts w:cs="Arial"/>
          <w:color w:val="000000" w:themeColor="text1"/>
          <w:lang w:val="es-CO"/>
        </w:rPr>
        <w:t xml:space="preserve"> será la que sobre el particular se profiera o haya sido proferida por las autoridades competentes.</w:t>
      </w:r>
    </w:p>
    <w:p w14:paraId="4AB6FEAC" w14:textId="77777777" w:rsidR="0006302B" w:rsidRDefault="0006302B" w:rsidP="0006302B">
      <w:pPr>
        <w:pStyle w:val="ARTICULOS"/>
        <w:numPr>
          <w:ilvl w:val="0"/>
          <w:numId w:val="0"/>
        </w:numPr>
        <w:rPr>
          <w:rFonts w:cs="Arial"/>
          <w:color w:val="000000" w:themeColor="text1"/>
          <w:lang w:val="es-CO"/>
        </w:rPr>
      </w:pPr>
    </w:p>
    <w:p w14:paraId="6954EB57" w14:textId="6BCD1E48" w:rsidR="0006302B" w:rsidRPr="0013707D" w:rsidRDefault="0006302B" w:rsidP="0006302B">
      <w:pPr>
        <w:pStyle w:val="ARTICULOS"/>
        <w:tabs>
          <w:tab w:val="clear" w:pos="1559"/>
          <w:tab w:val="left" w:pos="1560"/>
        </w:tabs>
        <w:outlineLvl w:val="0"/>
        <w:rPr>
          <w:rFonts w:cs="Arial"/>
          <w:b/>
          <w:color w:val="000000" w:themeColor="text1"/>
          <w:lang w:val="es-CO"/>
        </w:rPr>
      </w:pPr>
      <w:r w:rsidRPr="0013707D">
        <w:rPr>
          <w:rFonts w:cs="Arial"/>
          <w:b/>
          <w:color w:val="000000" w:themeColor="text1"/>
          <w:lang w:val="es-CO"/>
        </w:rPr>
        <w:t xml:space="preserve">Ámbito de aplicación. </w:t>
      </w:r>
      <w:r w:rsidRPr="0013707D">
        <w:rPr>
          <w:rFonts w:cs="Arial"/>
          <w:color w:val="000000" w:themeColor="text1"/>
          <w:lang w:val="es-CO"/>
        </w:rPr>
        <w:t xml:space="preserve">La presente Resolución aplica a todos los </w:t>
      </w:r>
      <w:r>
        <w:rPr>
          <w:rFonts w:cs="Arial"/>
          <w:color w:val="000000" w:themeColor="text1"/>
          <w:lang w:val="es-CO"/>
        </w:rPr>
        <w:t>P</w:t>
      </w:r>
      <w:r w:rsidRPr="00E9502C">
        <w:rPr>
          <w:rFonts w:cs="Arial"/>
          <w:color w:val="000000" w:themeColor="text1"/>
          <w:lang w:val="es-CO"/>
        </w:rPr>
        <w:t xml:space="preserve">articipantes </w:t>
      </w:r>
      <w:r w:rsidRPr="00DB439B">
        <w:rPr>
          <w:rFonts w:cs="Arial"/>
          <w:color w:val="000000" w:themeColor="text1"/>
          <w:lang w:val="es-CO"/>
        </w:rPr>
        <w:t>del mercado</w:t>
      </w:r>
      <w:r>
        <w:rPr>
          <w:rFonts w:cs="Arial"/>
          <w:color w:val="000000" w:themeColor="text1"/>
          <w:lang w:val="es-CO"/>
        </w:rPr>
        <w:t xml:space="preserve"> </w:t>
      </w:r>
      <w:r w:rsidRPr="0013707D">
        <w:rPr>
          <w:rFonts w:cs="Arial"/>
          <w:color w:val="000000" w:themeColor="text1"/>
          <w:lang w:val="es-CO"/>
        </w:rPr>
        <w:t xml:space="preserve">de gas </w:t>
      </w:r>
      <w:r w:rsidR="00D64CE5">
        <w:rPr>
          <w:rFonts w:cs="Arial"/>
          <w:b/>
          <w:bCs w:val="0"/>
          <w:color w:val="000000" w:themeColor="text1"/>
          <w:lang w:val="es-CO"/>
        </w:rPr>
        <w:t>natural</w:t>
      </w:r>
      <w:r w:rsidRPr="0013707D">
        <w:rPr>
          <w:rFonts w:cs="Arial"/>
          <w:color w:val="000000" w:themeColor="text1"/>
          <w:lang w:val="es-CO"/>
        </w:rPr>
        <w:t>.</w:t>
      </w:r>
    </w:p>
    <w:p w14:paraId="79D56728" w14:textId="77777777" w:rsidR="0006302B" w:rsidRPr="0013707D" w:rsidRDefault="0006302B" w:rsidP="0006302B">
      <w:pPr>
        <w:pStyle w:val="ARTICULOS"/>
        <w:numPr>
          <w:ilvl w:val="0"/>
          <w:numId w:val="0"/>
        </w:numPr>
        <w:rPr>
          <w:rFonts w:cs="Arial"/>
          <w:color w:val="000000" w:themeColor="text1"/>
          <w:lang w:val="es-CO"/>
        </w:rPr>
      </w:pPr>
    </w:p>
    <w:p w14:paraId="0AE361B8" w14:textId="77777777" w:rsidR="0006302B" w:rsidRPr="0013707D" w:rsidRDefault="0006302B" w:rsidP="0006302B">
      <w:pPr>
        <w:pStyle w:val="ARTICULOS"/>
        <w:tabs>
          <w:tab w:val="clear" w:pos="1559"/>
          <w:tab w:val="left" w:pos="1560"/>
        </w:tabs>
        <w:outlineLvl w:val="0"/>
        <w:rPr>
          <w:rFonts w:cs="Arial"/>
          <w:color w:val="000000" w:themeColor="text1"/>
          <w:lang w:val="es-CO"/>
        </w:rPr>
      </w:pPr>
      <w:bookmarkStart w:id="3" w:name="_Ref330309266"/>
      <w:r w:rsidRPr="0013707D">
        <w:rPr>
          <w:rFonts w:cs="Arial"/>
          <w:b/>
          <w:color w:val="000000" w:themeColor="text1"/>
          <w:lang w:val="es-CO"/>
        </w:rPr>
        <w:t>Definiciones.</w:t>
      </w:r>
      <w:r w:rsidRPr="0013707D">
        <w:rPr>
          <w:rFonts w:cs="Arial"/>
          <w:color w:val="000000" w:themeColor="text1"/>
          <w:lang w:val="es-CO"/>
        </w:rPr>
        <w:t xml:space="preserve"> Para la interpretación y aplicación de esta Resolución se tendrán en cuenta las siguientes definiciones, además de las contenidas en la Ley 142 de 1994, los decretos del Gobierno Nacional y las resoluciones de la CREG.</w:t>
      </w:r>
      <w:bookmarkEnd w:id="3"/>
    </w:p>
    <w:p w14:paraId="502890CE" w14:textId="77777777" w:rsidR="0006302B" w:rsidRPr="0013707D" w:rsidRDefault="0006302B" w:rsidP="0006302B">
      <w:pPr>
        <w:pStyle w:val="ARTICULOS"/>
        <w:numPr>
          <w:ilvl w:val="0"/>
          <w:numId w:val="0"/>
        </w:numPr>
        <w:rPr>
          <w:rFonts w:cs="Arial"/>
          <w:color w:val="000000" w:themeColor="text1"/>
          <w:lang w:val="es-CO"/>
        </w:rPr>
      </w:pPr>
    </w:p>
    <w:p w14:paraId="3F481B2F" w14:textId="77777777" w:rsidR="0006302B"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Almacenador:</w:t>
      </w:r>
      <w:r w:rsidRPr="0013707D">
        <w:rPr>
          <w:rFonts w:cs="Arial"/>
          <w:color w:val="000000" w:themeColor="text1"/>
          <w:lang w:val="es-CO"/>
        </w:rPr>
        <w:t xml:space="preserve"> </w:t>
      </w:r>
      <w:r>
        <w:rPr>
          <w:rFonts w:cs="Arial"/>
          <w:color w:val="000000" w:themeColor="text1"/>
          <w:lang w:val="es-CO"/>
        </w:rPr>
        <w:t>P</w:t>
      </w:r>
      <w:r w:rsidRPr="0013707D">
        <w:rPr>
          <w:rFonts w:cs="Arial"/>
          <w:color w:val="000000" w:themeColor="text1"/>
          <w:lang w:val="es-CO"/>
        </w:rPr>
        <w:t xml:space="preserve">articipante del mercado que presta el servicio de almacenamiento, entendido servicio de almacenamiento en los términos del numeral 2.3 del </w:t>
      </w:r>
      <w:r w:rsidRPr="0069004E">
        <w:rPr>
          <w:rFonts w:cs="Arial"/>
          <w:color w:val="000000" w:themeColor="text1"/>
          <w:lang w:val="es-CO"/>
        </w:rPr>
        <w:t>RUT o aquellas que lo modifiquen o sustituyan.</w:t>
      </w:r>
      <w:r w:rsidRPr="0013707D">
        <w:rPr>
          <w:rFonts w:cs="Arial"/>
          <w:color w:val="000000" w:themeColor="text1"/>
          <w:lang w:val="es-CO"/>
        </w:rPr>
        <w:t xml:space="preserve"> Su participación en el </w:t>
      </w:r>
      <w:r>
        <w:rPr>
          <w:rFonts w:cs="Arial"/>
          <w:color w:val="000000" w:themeColor="text1"/>
          <w:lang w:val="es-CO"/>
        </w:rPr>
        <w:t>Mercado Mayorista</w:t>
      </w:r>
      <w:r w:rsidRPr="0013707D">
        <w:rPr>
          <w:rFonts w:cs="Arial"/>
          <w:color w:val="000000" w:themeColor="text1"/>
          <w:lang w:val="es-CO"/>
        </w:rPr>
        <w:t xml:space="preserve"> de gas natural será objeto de regulación aparte.</w:t>
      </w:r>
    </w:p>
    <w:p w14:paraId="4C47A693" w14:textId="77777777" w:rsidR="0006302B" w:rsidRDefault="0006302B" w:rsidP="0006302B">
      <w:pPr>
        <w:pStyle w:val="ARTICULOS"/>
        <w:numPr>
          <w:ilvl w:val="0"/>
          <w:numId w:val="0"/>
        </w:numPr>
        <w:rPr>
          <w:rFonts w:cs="Arial"/>
          <w:color w:val="000000" w:themeColor="text1"/>
          <w:lang w:val="es-CO"/>
        </w:rPr>
      </w:pPr>
    </w:p>
    <w:p w14:paraId="73CE40B2" w14:textId="370FAF16" w:rsidR="0006302B" w:rsidRDefault="0006302B" w:rsidP="0006302B">
      <w:pPr>
        <w:pStyle w:val="ARTICULOS"/>
        <w:numPr>
          <w:ilvl w:val="0"/>
          <w:numId w:val="0"/>
        </w:numPr>
        <w:rPr>
          <w:rFonts w:cs="Arial"/>
          <w:b/>
          <w:bCs w:val="0"/>
          <w:color w:val="000000" w:themeColor="text1"/>
          <w:lang w:val="es-CO"/>
        </w:rPr>
      </w:pPr>
      <w:r>
        <w:rPr>
          <w:rFonts w:cs="Arial"/>
          <w:b/>
          <w:bCs w:val="0"/>
          <w:color w:val="000000" w:themeColor="text1"/>
          <w:lang w:val="es-CO"/>
        </w:rPr>
        <w:t>Año de Gas: para los efectos de la presente resolución</w:t>
      </w:r>
      <w:r w:rsidR="006A7DBE">
        <w:rPr>
          <w:rFonts w:cs="Arial"/>
          <w:b/>
          <w:bCs w:val="0"/>
          <w:color w:val="000000" w:themeColor="text1"/>
          <w:lang w:val="es-CO"/>
        </w:rPr>
        <w:t>,</w:t>
      </w:r>
      <w:r>
        <w:rPr>
          <w:rFonts w:cs="Arial"/>
          <w:b/>
          <w:bCs w:val="0"/>
          <w:color w:val="000000" w:themeColor="text1"/>
          <w:lang w:val="es-CO"/>
        </w:rPr>
        <w:t xml:space="preserve"> se entiende por año de gas el periodo comprendido en</w:t>
      </w:r>
      <w:r w:rsidRPr="00D8590E">
        <w:rPr>
          <w:rFonts w:cs="Arial"/>
          <w:b/>
          <w:bCs w:val="0"/>
          <w:color w:val="000000" w:themeColor="text1"/>
          <w:lang w:val="es-CO"/>
        </w:rPr>
        <w:t>tre el 1 de diciembre y el 30 de noviembre de</w:t>
      </w:r>
      <w:r w:rsidR="00190793" w:rsidRPr="00D8590E">
        <w:rPr>
          <w:rFonts w:cs="Arial"/>
          <w:b/>
          <w:bCs w:val="0"/>
          <w:color w:val="000000" w:themeColor="text1"/>
          <w:lang w:val="es-CO"/>
        </w:rPr>
        <w:t>l siguiente</w:t>
      </w:r>
      <w:r w:rsidRPr="00D8590E">
        <w:rPr>
          <w:rFonts w:cs="Arial"/>
          <w:b/>
          <w:bCs w:val="0"/>
          <w:color w:val="000000" w:themeColor="text1"/>
          <w:lang w:val="es-CO"/>
        </w:rPr>
        <w:t xml:space="preserve"> año calendario.</w:t>
      </w:r>
      <w:r>
        <w:rPr>
          <w:rFonts w:cs="Arial"/>
          <w:b/>
          <w:bCs w:val="0"/>
          <w:color w:val="000000" w:themeColor="text1"/>
          <w:lang w:val="es-CO"/>
        </w:rPr>
        <w:t xml:space="preserve"> </w:t>
      </w:r>
    </w:p>
    <w:p w14:paraId="5321706E" w14:textId="36FF7DA3" w:rsidR="00942BCC" w:rsidRDefault="00942BCC" w:rsidP="0006302B">
      <w:pPr>
        <w:pStyle w:val="ARTICULOS"/>
        <w:numPr>
          <w:ilvl w:val="0"/>
          <w:numId w:val="0"/>
        </w:numPr>
        <w:rPr>
          <w:rFonts w:cs="Arial"/>
          <w:b/>
          <w:bCs w:val="0"/>
          <w:color w:val="000000" w:themeColor="text1"/>
          <w:lang w:val="es-CO"/>
        </w:rPr>
      </w:pPr>
    </w:p>
    <w:p w14:paraId="0283B3F4" w14:textId="3456A8B6" w:rsidR="00942BCC" w:rsidRPr="00D4238E" w:rsidRDefault="00942BCC" w:rsidP="0006302B">
      <w:pPr>
        <w:pStyle w:val="ARTICULOS"/>
        <w:numPr>
          <w:ilvl w:val="0"/>
          <w:numId w:val="0"/>
        </w:numPr>
        <w:rPr>
          <w:rFonts w:cs="Arial"/>
          <w:b/>
          <w:bCs w:val="0"/>
          <w:color w:val="000000" w:themeColor="text1"/>
          <w:lang w:val="es-CO"/>
        </w:rPr>
      </w:pPr>
      <w:r w:rsidRPr="00D4238E">
        <w:rPr>
          <w:rFonts w:cs="Arial"/>
          <w:b/>
          <w:bCs w:val="0"/>
          <w:color w:val="000000" w:themeColor="text1"/>
          <w:lang w:val="es-CO"/>
        </w:rPr>
        <w:t>Año de</w:t>
      </w:r>
      <w:r w:rsidR="0026381D" w:rsidRPr="00D4238E">
        <w:rPr>
          <w:rFonts w:cs="Arial"/>
          <w:b/>
          <w:bCs w:val="0"/>
          <w:color w:val="000000" w:themeColor="text1"/>
          <w:lang w:val="es-CO"/>
        </w:rPr>
        <w:t xml:space="preserve"> ejecución de</w:t>
      </w:r>
      <w:r w:rsidRPr="00D4238E">
        <w:rPr>
          <w:rFonts w:cs="Arial"/>
          <w:b/>
          <w:bCs w:val="0"/>
          <w:color w:val="000000" w:themeColor="text1"/>
          <w:lang w:val="es-CO"/>
        </w:rPr>
        <w:t xml:space="preserve">l contrato: para efectos de la presente resolución, </w:t>
      </w:r>
      <w:r w:rsidR="0026381D" w:rsidRPr="00D4238E">
        <w:rPr>
          <w:rFonts w:cs="Arial"/>
          <w:b/>
          <w:bCs w:val="0"/>
          <w:color w:val="000000" w:themeColor="text1"/>
          <w:lang w:val="es-CO"/>
        </w:rPr>
        <w:t>corresponde a</w:t>
      </w:r>
      <w:r w:rsidRPr="00D4238E">
        <w:rPr>
          <w:rFonts w:cs="Arial"/>
          <w:b/>
          <w:bCs w:val="0"/>
          <w:color w:val="000000" w:themeColor="text1"/>
          <w:lang w:val="es-CO"/>
        </w:rPr>
        <w:t xml:space="preserve">l período comprendido entre el </w:t>
      </w:r>
      <w:r w:rsidR="0026381D" w:rsidRPr="00D4238E">
        <w:rPr>
          <w:rFonts w:cs="Arial"/>
          <w:b/>
          <w:bCs w:val="0"/>
          <w:color w:val="000000" w:themeColor="text1"/>
          <w:lang w:val="es-CO"/>
        </w:rPr>
        <w:t xml:space="preserve">primer </w:t>
      </w:r>
      <w:r w:rsidRPr="00D4238E">
        <w:rPr>
          <w:rFonts w:cs="Arial"/>
          <w:b/>
          <w:bCs w:val="0"/>
          <w:color w:val="000000" w:themeColor="text1"/>
          <w:lang w:val="es-CO"/>
        </w:rPr>
        <w:t xml:space="preserve">día </w:t>
      </w:r>
      <w:r w:rsidR="0026381D" w:rsidRPr="00D4238E">
        <w:rPr>
          <w:rFonts w:cs="Arial"/>
          <w:b/>
          <w:bCs w:val="0"/>
          <w:color w:val="000000" w:themeColor="text1"/>
          <w:lang w:val="es-CO"/>
        </w:rPr>
        <w:t xml:space="preserve">calendario </w:t>
      </w:r>
      <w:r w:rsidRPr="00D4238E">
        <w:rPr>
          <w:rFonts w:cs="Arial"/>
          <w:b/>
          <w:bCs w:val="0"/>
          <w:color w:val="000000" w:themeColor="text1"/>
          <w:lang w:val="es-CO"/>
        </w:rPr>
        <w:t>de</w:t>
      </w:r>
      <w:r w:rsidR="0026381D" w:rsidRPr="00D4238E">
        <w:rPr>
          <w:rFonts w:cs="Arial"/>
          <w:b/>
          <w:bCs w:val="0"/>
          <w:color w:val="000000" w:themeColor="text1"/>
          <w:lang w:val="es-CO"/>
        </w:rPr>
        <w:t xml:space="preserve">l primer trimestre estándar de ejecución </w:t>
      </w:r>
      <w:r w:rsidRPr="00D4238E">
        <w:rPr>
          <w:rFonts w:cs="Arial"/>
          <w:b/>
          <w:bCs w:val="0"/>
          <w:color w:val="000000" w:themeColor="text1"/>
          <w:lang w:val="es-CO"/>
        </w:rPr>
        <w:t xml:space="preserve">del contrato y el </w:t>
      </w:r>
      <w:r w:rsidR="0026381D" w:rsidRPr="00D4238E">
        <w:rPr>
          <w:rFonts w:cs="Arial"/>
          <w:b/>
          <w:bCs w:val="0"/>
          <w:color w:val="000000" w:themeColor="text1"/>
          <w:lang w:val="es-CO"/>
        </w:rPr>
        <w:t>último</w:t>
      </w:r>
      <w:r w:rsidRPr="00D4238E">
        <w:rPr>
          <w:rFonts w:cs="Arial"/>
          <w:b/>
          <w:bCs w:val="0"/>
          <w:color w:val="000000" w:themeColor="text1"/>
          <w:lang w:val="es-CO"/>
        </w:rPr>
        <w:t xml:space="preserve"> día</w:t>
      </w:r>
      <w:r w:rsidR="0026381D" w:rsidRPr="00D4238E">
        <w:rPr>
          <w:rFonts w:cs="Arial"/>
          <w:b/>
          <w:bCs w:val="0"/>
          <w:color w:val="000000" w:themeColor="text1"/>
          <w:lang w:val="es-CO"/>
        </w:rPr>
        <w:t xml:space="preserve"> calendario del cuarto trimestre estándar</w:t>
      </w:r>
      <w:r w:rsidR="00E648F7" w:rsidRPr="00D4238E">
        <w:rPr>
          <w:rFonts w:cs="Arial"/>
          <w:b/>
          <w:bCs w:val="0"/>
          <w:color w:val="000000" w:themeColor="text1"/>
          <w:lang w:val="es-CO"/>
        </w:rPr>
        <w:t xml:space="preserve"> </w:t>
      </w:r>
      <w:r w:rsidR="004800B0" w:rsidRPr="00D4238E">
        <w:rPr>
          <w:rFonts w:cs="Arial"/>
          <w:b/>
          <w:bCs w:val="0"/>
          <w:color w:val="000000" w:themeColor="text1"/>
          <w:lang w:val="es-CO"/>
        </w:rPr>
        <w:t xml:space="preserve">de ejecución del contrato </w:t>
      </w:r>
      <w:r w:rsidR="00E648F7" w:rsidRPr="00D4238E">
        <w:rPr>
          <w:rFonts w:cs="Arial"/>
          <w:b/>
          <w:bCs w:val="0"/>
          <w:color w:val="000000" w:themeColor="text1"/>
          <w:lang w:val="es-CO"/>
        </w:rPr>
        <w:t>y así sucesivamente</w:t>
      </w:r>
      <w:r w:rsidRPr="00D4238E">
        <w:rPr>
          <w:rFonts w:cs="Arial"/>
          <w:b/>
          <w:bCs w:val="0"/>
          <w:color w:val="000000" w:themeColor="text1"/>
          <w:lang w:val="es-CO"/>
        </w:rPr>
        <w:t>.</w:t>
      </w:r>
      <w:r w:rsidR="00E648F7" w:rsidRPr="00D4238E">
        <w:rPr>
          <w:rFonts w:cs="Arial"/>
          <w:b/>
          <w:bCs w:val="0"/>
          <w:color w:val="000000" w:themeColor="text1"/>
          <w:lang w:val="es-CO"/>
        </w:rPr>
        <w:t xml:space="preserve"> </w:t>
      </w:r>
    </w:p>
    <w:p w14:paraId="4A94F110" w14:textId="77777777" w:rsidR="0006302B" w:rsidRDefault="0006302B" w:rsidP="0006302B">
      <w:pPr>
        <w:pStyle w:val="ARTICULOS"/>
        <w:numPr>
          <w:ilvl w:val="0"/>
          <w:numId w:val="0"/>
        </w:numPr>
        <w:rPr>
          <w:rFonts w:cs="Arial"/>
          <w:color w:val="000000" w:themeColor="text1"/>
          <w:lang w:val="es-CO"/>
        </w:rPr>
      </w:pPr>
    </w:p>
    <w:p w14:paraId="4EF0CB27" w14:textId="538860AE"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Boletín Electrónico Central, BEC:</w:t>
      </w:r>
      <w:r w:rsidRPr="0013707D">
        <w:rPr>
          <w:rFonts w:cs="Arial"/>
          <w:color w:val="000000" w:themeColor="text1"/>
          <w:lang w:val="es-CO"/>
        </w:rPr>
        <w:t xml:space="preserve"> página web en la que el</w:t>
      </w:r>
      <w:r w:rsidR="00AC6A1F">
        <w:rPr>
          <w:rFonts w:cs="Arial"/>
          <w:color w:val="000000" w:themeColor="text1"/>
          <w:lang w:val="es-CO"/>
        </w:rPr>
        <w:t xml:space="preserve"> Gestor</w:t>
      </w:r>
      <w:r w:rsidRPr="0013707D">
        <w:rPr>
          <w:rFonts w:cs="Arial"/>
          <w:color w:val="000000" w:themeColor="text1"/>
          <w:lang w:val="es-CO"/>
        </w:rPr>
        <w:t xml:space="preserve"> </w:t>
      </w:r>
      <w:r>
        <w:rPr>
          <w:rFonts w:cs="Arial"/>
          <w:color w:val="000000" w:themeColor="text1"/>
          <w:lang w:val="es-CO"/>
        </w:rPr>
        <w:t>del Mercado</w:t>
      </w:r>
      <w:r w:rsidRPr="0013707D">
        <w:rPr>
          <w:rFonts w:cs="Arial"/>
          <w:color w:val="000000" w:themeColor="text1"/>
          <w:lang w:val="es-CO"/>
        </w:rPr>
        <w:t xml:space="preserve"> despliega información transaccional y operativa</w:t>
      </w:r>
      <w:r>
        <w:rPr>
          <w:rFonts w:cs="Arial"/>
          <w:color w:val="000000" w:themeColor="text1"/>
          <w:lang w:val="es-CO"/>
        </w:rPr>
        <w:t xml:space="preserve"> </w:t>
      </w:r>
      <w:r w:rsidRPr="0013707D">
        <w:rPr>
          <w:rFonts w:cs="Arial"/>
          <w:color w:val="000000" w:themeColor="text1"/>
          <w:lang w:val="es-CO"/>
        </w:rPr>
        <w:t xml:space="preserve">recopilada, verificada y publicada conforme a los lineamientos de la presente Resolución. Es también una herramienta que permite a </w:t>
      </w:r>
      <w:r>
        <w:rPr>
          <w:rFonts w:cs="Arial"/>
          <w:color w:val="000000" w:themeColor="text1"/>
          <w:lang w:val="es-CO"/>
        </w:rPr>
        <w:t>P</w:t>
      </w:r>
      <w:r w:rsidRPr="0013707D">
        <w:rPr>
          <w:rFonts w:cs="Arial"/>
          <w:color w:val="000000" w:themeColor="text1"/>
          <w:lang w:val="es-CO"/>
        </w:rPr>
        <w:t>articipantes del mercado intercambiar información para la compra y venta de gas natural y de capacidad de transporte de gas natural, con el propósito de facilitar las negociaciones en el mercado de gas natural</w:t>
      </w:r>
      <w:r w:rsidR="006A7DBE">
        <w:rPr>
          <w:rFonts w:cs="Arial"/>
          <w:color w:val="000000" w:themeColor="text1"/>
          <w:lang w:val="es-CO"/>
        </w:rPr>
        <w:t>,</w:t>
      </w:r>
      <w:r w:rsidRPr="0013707D">
        <w:rPr>
          <w:rFonts w:cs="Arial"/>
          <w:color w:val="000000" w:themeColor="text1"/>
          <w:lang w:val="es-CO"/>
        </w:rPr>
        <w:t xml:space="preserve"> y de dotar de publicidad y transparencia a dicho mercado.</w:t>
      </w:r>
    </w:p>
    <w:p w14:paraId="40726ECF" w14:textId="4F0B8BC9" w:rsidR="0006302B" w:rsidRPr="00186D07" w:rsidRDefault="0006302B" w:rsidP="0006302B">
      <w:pPr>
        <w:tabs>
          <w:tab w:val="left" w:pos="-720"/>
        </w:tabs>
        <w:suppressAutoHyphens/>
        <w:spacing w:before="240" w:after="240"/>
        <w:ind w:left="0"/>
        <w:jc w:val="both"/>
        <w:rPr>
          <w:rFonts w:ascii="Bookman Old Style" w:hAnsi="Bookman Old Style" w:cs="Arial"/>
          <w:b/>
          <w:bCs/>
          <w:color w:val="000000" w:themeColor="text1"/>
          <w:lang w:val="es-CO" w:eastAsia="es-CO"/>
        </w:rPr>
      </w:pPr>
      <w:r w:rsidRPr="003D20AA">
        <w:rPr>
          <w:rFonts w:ascii="Bookman Old Style" w:hAnsi="Bookman Old Style" w:cs="Arial"/>
          <w:b/>
          <w:color w:val="000000" w:themeColor="text1"/>
          <w:lang w:val="es-CO" w:eastAsia="es-CO"/>
        </w:rPr>
        <w:t xml:space="preserve">Comercialización Mayorista de </w:t>
      </w:r>
      <w:r w:rsidR="00CD761C" w:rsidRPr="003D20AA">
        <w:rPr>
          <w:rFonts w:ascii="Bookman Old Style" w:hAnsi="Bookman Old Style" w:cs="Arial"/>
          <w:b/>
          <w:color w:val="000000" w:themeColor="text1"/>
          <w:lang w:val="es-CO" w:eastAsia="es-CO"/>
        </w:rPr>
        <w:t>g</w:t>
      </w:r>
      <w:r w:rsidRPr="003D20AA">
        <w:rPr>
          <w:rFonts w:ascii="Bookman Old Style" w:hAnsi="Bookman Old Style" w:cs="Arial"/>
          <w:b/>
          <w:color w:val="000000" w:themeColor="text1"/>
          <w:lang w:val="es-CO" w:eastAsia="es-CO"/>
        </w:rPr>
        <w:t xml:space="preserve">as </w:t>
      </w:r>
      <w:r w:rsidR="00CD761C" w:rsidRPr="003D20AA">
        <w:rPr>
          <w:rFonts w:ascii="Bookman Old Style" w:hAnsi="Bookman Old Style" w:cs="Arial"/>
          <w:b/>
          <w:color w:val="000000" w:themeColor="text1"/>
          <w:lang w:val="es-CO" w:eastAsia="es-CO"/>
        </w:rPr>
        <w:t>n</w:t>
      </w:r>
      <w:r w:rsidRPr="003D20AA">
        <w:rPr>
          <w:rFonts w:ascii="Bookman Old Style" w:hAnsi="Bookman Old Style" w:cs="Arial"/>
          <w:b/>
          <w:color w:val="000000" w:themeColor="text1"/>
          <w:lang w:val="es-CO" w:eastAsia="es-CO"/>
        </w:rPr>
        <w:t>atural:</w:t>
      </w:r>
      <w:r w:rsidRPr="003D20AA">
        <w:rPr>
          <w:rFonts w:ascii="Bookman Old Style" w:hAnsi="Bookman Old Style" w:cs="Arial"/>
          <w:color w:val="000000" w:themeColor="text1"/>
          <w:lang w:val="es-CO" w:eastAsia="es-CO"/>
        </w:rPr>
        <w:t xml:space="preserve"> </w:t>
      </w:r>
      <w:r w:rsidRPr="003D20AA">
        <w:rPr>
          <w:rFonts w:ascii="Bookman Old Style" w:hAnsi="Bookman Old Style"/>
          <w:b/>
          <w:bCs/>
          <w:color w:val="000000"/>
        </w:rPr>
        <w:t xml:space="preserve">actividad </w:t>
      </w:r>
      <w:r w:rsidR="004800B0" w:rsidRPr="003D20AA">
        <w:rPr>
          <w:rFonts w:ascii="Bookman Old Style" w:hAnsi="Bookman Old Style"/>
          <w:b/>
          <w:bCs/>
          <w:color w:val="000000"/>
        </w:rPr>
        <w:t xml:space="preserve">que consiste en la </w:t>
      </w:r>
      <w:r w:rsidR="002E1E9C" w:rsidRPr="003D20AA">
        <w:rPr>
          <w:rFonts w:ascii="Bookman Old Style" w:hAnsi="Bookman Old Style"/>
          <w:b/>
          <w:bCs/>
          <w:color w:val="000000"/>
        </w:rPr>
        <w:t>compra de</w:t>
      </w:r>
      <w:r w:rsidR="004800B0" w:rsidRPr="003D20AA">
        <w:rPr>
          <w:rFonts w:ascii="Bookman Old Style" w:hAnsi="Bookman Old Style"/>
          <w:b/>
          <w:bCs/>
          <w:color w:val="000000"/>
        </w:rPr>
        <w:t>l</w:t>
      </w:r>
      <w:r w:rsidR="002E1E9C" w:rsidRPr="003D20AA">
        <w:rPr>
          <w:rFonts w:ascii="Bookman Old Style" w:hAnsi="Bookman Old Style"/>
          <w:b/>
          <w:bCs/>
          <w:color w:val="000000"/>
        </w:rPr>
        <w:t xml:space="preserve"> </w:t>
      </w:r>
      <w:r w:rsidRPr="003D20AA">
        <w:rPr>
          <w:rFonts w:ascii="Bookman Old Style" w:hAnsi="Bookman Old Style"/>
          <w:b/>
          <w:bCs/>
          <w:color w:val="000000"/>
        </w:rPr>
        <w:t>suministro</w:t>
      </w:r>
      <w:r w:rsidR="0032460A" w:rsidRPr="003D20AA">
        <w:rPr>
          <w:rFonts w:ascii="Bookman Old Style" w:hAnsi="Bookman Old Style"/>
          <w:b/>
          <w:bCs/>
          <w:color w:val="000000"/>
        </w:rPr>
        <w:t xml:space="preserve"> de gas </w:t>
      </w:r>
      <w:r w:rsidR="002E1E9C" w:rsidRPr="003D20AA">
        <w:rPr>
          <w:rFonts w:ascii="Bookman Old Style" w:hAnsi="Bookman Old Style"/>
          <w:b/>
          <w:bCs/>
          <w:color w:val="000000"/>
        </w:rPr>
        <w:t>natural en el mercado primario y/</w:t>
      </w:r>
      <w:r w:rsidR="0032460A" w:rsidRPr="003D20AA">
        <w:rPr>
          <w:rFonts w:ascii="Bookman Old Style" w:hAnsi="Bookman Old Style"/>
          <w:b/>
          <w:bCs/>
          <w:color w:val="000000"/>
        </w:rPr>
        <w:t xml:space="preserve">o de </w:t>
      </w:r>
      <w:r w:rsidR="002E1E9C" w:rsidRPr="003D20AA">
        <w:rPr>
          <w:rFonts w:ascii="Bookman Old Style" w:hAnsi="Bookman Old Style"/>
          <w:b/>
          <w:bCs/>
          <w:color w:val="000000"/>
        </w:rPr>
        <w:t xml:space="preserve">compra o </w:t>
      </w:r>
      <w:r w:rsidR="00D34138" w:rsidRPr="003D20AA">
        <w:rPr>
          <w:rFonts w:ascii="Bookman Old Style" w:hAnsi="Bookman Old Style"/>
          <w:b/>
          <w:bCs/>
          <w:color w:val="000000"/>
        </w:rPr>
        <w:t xml:space="preserve">venta de </w:t>
      </w:r>
      <w:r w:rsidR="0032460A" w:rsidRPr="003D20AA">
        <w:rPr>
          <w:rFonts w:ascii="Bookman Old Style" w:hAnsi="Bookman Old Style"/>
          <w:b/>
          <w:bCs/>
          <w:color w:val="000000"/>
        </w:rPr>
        <w:t>derechos</w:t>
      </w:r>
      <w:r w:rsidR="0032460A">
        <w:rPr>
          <w:rFonts w:ascii="Bookman Old Style" w:hAnsi="Bookman Old Style"/>
          <w:b/>
          <w:bCs/>
          <w:color w:val="000000"/>
        </w:rPr>
        <w:t xml:space="preserve"> de suministro </w:t>
      </w:r>
      <w:r w:rsidRPr="00186D07">
        <w:rPr>
          <w:rFonts w:ascii="Bookman Old Style" w:hAnsi="Bookman Old Style"/>
          <w:b/>
          <w:bCs/>
          <w:color w:val="000000"/>
        </w:rPr>
        <w:t>de gas natural a título oneroso</w:t>
      </w:r>
      <w:r w:rsidRPr="00186D07">
        <w:rPr>
          <w:rFonts w:ascii="Bookman Old Style" w:hAnsi="Bookman Old Style" w:cs="Arial"/>
          <w:b/>
          <w:bCs/>
          <w:color w:val="000000" w:themeColor="text1"/>
          <w:lang w:val="es-CO" w:eastAsia="es-CO"/>
        </w:rPr>
        <w:t xml:space="preserve"> en el mercado secundario. </w:t>
      </w:r>
    </w:p>
    <w:p w14:paraId="0111C0A9" w14:textId="06178762" w:rsidR="0006302B" w:rsidRPr="003D20AA" w:rsidRDefault="0006302B" w:rsidP="0006302B">
      <w:pPr>
        <w:tabs>
          <w:tab w:val="left" w:pos="-720"/>
        </w:tabs>
        <w:suppressAutoHyphens/>
        <w:spacing w:before="240" w:after="240"/>
        <w:ind w:left="0"/>
        <w:jc w:val="both"/>
        <w:rPr>
          <w:rFonts w:ascii="Bookman Old Style" w:hAnsi="Bookman Old Style"/>
          <w:b/>
          <w:bCs/>
          <w:color w:val="000000"/>
        </w:rPr>
      </w:pPr>
      <w:r w:rsidRPr="00186D07">
        <w:rPr>
          <w:rFonts w:ascii="Bookman Old Style" w:hAnsi="Bookman Old Style"/>
          <w:b/>
          <w:bCs/>
          <w:color w:val="000000" w:themeColor="text1"/>
        </w:rPr>
        <w:t xml:space="preserve">Comercialización Minorista de gas natural: </w:t>
      </w:r>
      <w:r>
        <w:rPr>
          <w:rFonts w:ascii="Bookman Old Style" w:hAnsi="Bookman Old Style"/>
          <w:b/>
          <w:bCs/>
          <w:color w:val="000000" w:themeColor="text1"/>
        </w:rPr>
        <w:t>a</w:t>
      </w:r>
      <w:r w:rsidRPr="00186D07">
        <w:rPr>
          <w:rFonts w:ascii="Bookman Old Style" w:hAnsi="Bookman Old Style"/>
          <w:b/>
          <w:bCs/>
          <w:color w:val="000000" w:themeColor="text1"/>
        </w:rPr>
        <w:t>ctividad que consiste en la intermediación comercial de la compra, transporte y distribución de gas natural por redes de tubería</w:t>
      </w:r>
      <w:r w:rsidR="0093007D" w:rsidRPr="003D20AA">
        <w:rPr>
          <w:rFonts w:ascii="Bookman Old Style" w:hAnsi="Bookman Old Style"/>
          <w:b/>
          <w:bCs/>
          <w:color w:val="000000" w:themeColor="text1"/>
        </w:rPr>
        <w:t>, o por otro</w:t>
      </w:r>
      <w:r w:rsidR="00347285" w:rsidRPr="003D20AA">
        <w:rPr>
          <w:rFonts w:ascii="Bookman Old Style" w:hAnsi="Bookman Old Style"/>
          <w:b/>
          <w:bCs/>
          <w:color w:val="000000" w:themeColor="text1"/>
        </w:rPr>
        <w:t>s</w:t>
      </w:r>
      <w:r w:rsidR="0093007D" w:rsidRPr="003D20AA">
        <w:rPr>
          <w:rFonts w:ascii="Bookman Old Style" w:hAnsi="Bookman Old Style"/>
          <w:b/>
          <w:bCs/>
          <w:color w:val="000000" w:themeColor="text1"/>
        </w:rPr>
        <w:t xml:space="preserve"> medio</w:t>
      </w:r>
      <w:r w:rsidR="00347285" w:rsidRPr="003D20AA">
        <w:rPr>
          <w:rFonts w:ascii="Bookman Old Style" w:hAnsi="Bookman Old Style"/>
          <w:b/>
          <w:bCs/>
          <w:color w:val="000000" w:themeColor="text1"/>
        </w:rPr>
        <w:t>s</w:t>
      </w:r>
      <w:r w:rsidR="0093007D" w:rsidRPr="003D20AA">
        <w:rPr>
          <w:rFonts w:ascii="Bookman Old Style" w:hAnsi="Bookman Old Style"/>
          <w:b/>
          <w:bCs/>
          <w:color w:val="000000" w:themeColor="text1"/>
        </w:rPr>
        <w:t>,</w:t>
      </w:r>
      <w:r w:rsidRPr="003D20AA">
        <w:rPr>
          <w:rFonts w:ascii="Bookman Old Style" w:hAnsi="Bookman Old Style"/>
          <w:b/>
          <w:bCs/>
          <w:color w:val="000000" w:themeColor="text1"/>
        </w:rPr>
        <w:t xml:space="preserve"> y su venta a usuarios finales. </w:t>
      </w:r>
      <w:r w:rsidR="00E95071" w:rsidRPr="003D20AA">
        <w:rPr>
          <w:rFonts w:ascii="Bookman Old Style" w:hAnsi="Bookman Old Style"/>
          <w:b/>
          <w:bCs/>
          <w:color w:val="000000" w:themeColor="text1"/>
        </w:rPr>
        <w:t>También consiste en la intermediación comercial de la compra y transporte de gas natural por redes de tubería</w:t>
      </w:r>
      <w:r w:rsidR="005A12E9" w:rsidRPr="003D20AA">
        <w:rPr>
          <w:rFonts w:ascii="Bookman Old Style" w:hAnsi="Bookman Old Style"/>
          <w:b/>
          <w:bCs/>
          <w:color w:val="000000" w:themeColor="text1"/>
        </w:rPr>
        <w:t>, o por otros medios,</w:t>
      </w:r>
      <w:r w:rsidR="00E95071" w:rsidRPr="003D20AA">
        <w:rPr>
          <w:rFonts w:ascii="Bookman Old Style" w:hAnsi="Bookman Old Style"/>
          <w:b/>
          <w:bCs/>
          <w:color w:val="000000" w:themeColor="text1"/>
        </w:rPr>
        <w:t xml:space="preserve"> y su venta a usuarios finales que no están conectados a alguna red de distribución</w:t>
      </w:r>
      <w:r w:rsidR="004800B0" w:rsidRPr="003D20AA">
        <w:rPr>
          <w:rFonts w:ascii="Bookman Old Style" w:hAnsi="Bookman Old Style"/>
          <w:b/>
          <w:bCs/>
          <w:color w:val="000000" w:themeColor="text1"/>
        </w:rPr>
        <w:t xml:space="preserve"> de gas</w:t>
      </w:r>
      <w:r w:rsidR="00E95071" w:rsidRPr="003D20AA">
        <w:rPr>
          <w:rFonts w:ascii="Bookman Old Style" w:hAnsi="Bookman Old Style"/>
          <w:b/>
          <w:bCs/>
          <w:color w:val="000000" w:themeColor="text1"/>
        </w:rPr>
        <w:t>.</w:t>
      </w:r>
      <w:r w:rsidR="004800B0" w:rsidRPr="003D20AA">
        <w:rPr>
          <w:rFonts w:ascii="Bookman Old Style" w:hAnsi="Bookman Old Style"/>
          <w:b/>
          <w:bCs/>
          <w:color w:val="000000" w:themeColor="text1"/>
        </w:rPr>
        <w:t xml:space="preserve"> Incluye la celebración de los contratos de servicios públicos y la atención comercial de los usuarios finales.</w:t>
      </w:r>
    </w:p>
    <w:p w14:paraId="4D18BC95" w14:textId="79CD976B" w:rsidR="00BE4E34" w:rsidRPr="003D20AA" w:rsidRDefault="00BE4E34" w:rsidP="0006302B">
      <w:pPr>
        <w:pStyle w:val="ARTICULOS"/>
        <w:numPr>
          <w:ilvl w:val="0"/>
          <w:numId w:val="0"/>
        </w:numPr>
        <w:rPr>
          <w:rFonts w:cs="Arial"/>
          <w:b/>
          <w:bCs w:val="0"/>
          <w:color w:val="000000" w:themeColor="text1"/>
          <w:lang w:val="es-CO"/>
        </w:rPr>
      </w:pPr>
      <w:r w:rsidRPr="003D20AA">
        <w:rPr>
          <w:rFonts w:cs="Arial"/>
          <w:b/>
          <w:bCs w:val="0"/>
          <w:color w:val="000000" w:themeColor="text1"/>
          <w:lang w:val="es-CO"/>
        </w:rPr>
        <w:t xml:space="preserve">Comercializador de GNCV: </w:t>
      </w:r>
      <w:r w:rsidR="00CD761C" w:rsidRPr="003D20AA">
        <w:rPr>
          <w:rFonts w:cs="Arial"/>
          <w:b/>
          <w:bCs w:val="0"/>
          <w:color w:val="000000" w:themeColor="text1"/>
          <w:lang w:val="es-CO"/>
        </w:rPr>
        <w:t>p</w:t>
      </w:r>
      <w:r w:rsidRPr="003D20AA">
        <w:rPr>
          <w:rFonts w:cs="Arial"/>
          <w:b/>
          <w:bCs w:val="0"/>
          <w:color w:val="000000" w:themeColor="text1"/>
          <w:lang w:val="es-CO"/>
        </w:rPr>
        <w:t xml:space="preserve">ersona natural o jurídica que suministra GNCV a través de estaciones de servicio automotriz, de acuerdo con la definición establecida en el </w:t>
      </w:r>
      <w:r w:rsidR="00BD48A4">
        <w:rPr>
          <w:rFonts w:cs="Arial"/>
          <w:b/>
          <w:bCs w:val="0"/>
          <w:color w:val="000000" w:themeColor="text1"/>
          <w:lang w:val="es-CO"/>
        </w:rPr>
        <w:t>a</w:t>
      </w:r>
      <w:r w:rsidRPr="003D20AA">
        <w:rPr>
          <w:rFonts w:cs="Arial"/>
          <w:b/>
          <w:bCs w:val="0"/>
          <w:color w:val="000000" w:themeColor="text1"/>
          <w:lang w:val="es-CO"/>
        </w:rPr>
        <w:t>rtículo 2.2.2.1.4 del Decreto 1073 de 2015.</w:t>
      </w:r>
    </w:p>
    <w:p w14:paraId="160CB080" w14:textId="77777777" w:rsidR="00BE4E34" w:rsidRPr="003D20AA" w:rsidRDefault="00BE4E34" w:rsidP="0006302B">
      <w:pPr>
        <w:pStyle w:val="ARTICULOS"/>
        <w:numPr>
          <w:ilvl w:val="0"/>
          <w:numId w:val="0"/>
        </w:numPr>
        <w:rPr>
          <w:rFonts w:cs="Arial"/>
          <w:b/>
          <w:bCs w:val="0"/>
          <w:color w:val="000000" w:themeColor="text1"/>
          <w:lang w:val="es-CO"/>
        </w:rPr>
      </w:pPr>
    </w:p>
    <w:p w14:paraId="2118D57C" w14:textId="0EA24A2A" w:rsidR="0006302B" w:rsidRPr="003D20AA" w:rsidRDefault="0006302B" w:rsidP="0006302B">
      <w:pPr>
        <w:pStyle w:val="ARTICULOS"/>
        <w:numPr>
          <w:ilvl w:val="0"/>
          <w:numId w:val="0"/>
        </w:numPr>
        <w:rPr>
          <w:rFonts w:cs="Arial"/>
          <w:color w:val="000000" w:themeColor="text1"/>
          <w:lang w:val="es-CO"/>
        </w:rPr>
      </w:pPr>
      <w:r w:rsidRPr="003D20AA">
        <w:rPr>
          <w:rFonts w:cs="Arial"/>
          <w:b/>
          <w:bCs w:val="0"/>
          <w:color w:val="000000" w:themeColor="text1"/>
          <w:lang w:val="es-CO"/>
        </w:rPr>
        <w:lastRenderedPageBreak/>
        <w:t xml:space="preserve">Comercializador: </w:t>
      </w:r>
      <w:r w:rsidRPr="003D20AA">
        <w:rPr>
          <w:rFonts w:cs="Arial"/>
          <w:bCs w:val="0"/>
          <w:color w:val="000000" w:themeColor="text1"/>
          <w:lang w:val="es-CO"/>
        </w:rPr>
        <w:t>participante</w:t>
      </w:r>
      <w:r w:rsidR="00AC6A1F" w:rsidRPr="003D20AA">
        <w:rPr>
          <w:rFonts w:cs="Arial"/>
          <w:bCs w:val="0"/>
          <w:color w:val="000000" w:themeColor="text1"/>
          <w:lang w:val="es-CO"/>
        </w:rPr>
        <w:t xml:space="preserve"> </w:t>
      </w:r>
      <w:r w:rsidRPr="003D20AA">
        <w:rPr>
          <w:rFonts w:cs="Arial"/>
          <w:bCs w:val="0"/>
          <w:color w:val="000000" w:themeColor="text1"/>
          <w:lang w:val="es-CO"/>
        </w:rPr>
        <w:t xml:space="preserve">del </w:t>
      </w:r>
      <w:r w:rsidR="00E20BBC" w:rsidRPr="003D20AA">
        <w:rPr>
          <w:rFonts w:cs="Arial"/>
          <w:bCs w:val="0"/>
          <w:color w:val="000000" w:themeColor="text1"/>
          <w:lang w:val="es-CO"/>
        </w:rPr>
        <w:t>m</w:t>
      </w:r>
      <w:r w:rsidRPr="003D20AA">
        <w:rPr>
          <w:rFonts w:cs="Arial"/>
          <w:bCs w:val="0"/>
          <w:color w:val="000000" w:themeColor="text1"/>
          <w:lang w:val="es-CO"/>
        </w:rPr>
        <w:t xml:space="preserve">ercado </w:t>
      </w:r>
      <w:r w:rsidRPr="003D20AA">
        <w:rPr>
          <w:rFonts w:cs="Arial"/>
          <w:b/>
          <w:color w:val="000000" w:themeColor="text1"/>
          <w:lang w:val="es-CO"/>
        </w:rPr>
        <w:t>de gas natural</w:t>
      </w:r>
      <w:r w:rsidRPr="003D20AA">
        <w:rPr>
          <w:rFonts w:cs="Arial"/>
          <w:bCs w:val="0"/>
          <w:color w:val="000000" w:themeColor="text1"/>
          <w:lang w:val="es-CO"/>
        </w:rPr>
        <w:t xml:space="preserve"> que desarrolla la actividad de </w:t>
      </w:r>
      <w:r w:rsidR="002E1E9C" w:rsidRPr="003D20AA">
        <w:rPr>
          <w:rFonts w:cs="Arial"/>
          <w:bCs w:val="0"/>
          <w:color w:val="000000" w:themeColor="text1"/>
          <w:lang w:val="es-CO"/>
        </w:rPr>
        <w:t>C</w:t>
      </w:r>
      <w:r w:rsidRPr="003D20AA">
        <w:rPr>
          <w:rFonts w:cs="Arial"/>
          <w:bCs w:val="0"/>
          <w:color w:val="000000" w:themeColor="text1"/>
          <w:lang w:val="es-CO"/>
        </w:rPr>
        <w:t>omercializació</w:t>
      </w:r>
      <w:r w:rsidR="00E20BBC" w:rsidRPr="003D20AA">
        <w:rPr>
          <w:rFonts w:cs="Arial"/>
          <w:bCs w:val="0"/>
          <w:color w:val="000000" w:themeColor="text1"/>
          <w:lang w:val="es-CO"/>
        </w:rPr>
        <w:t xml:space="preserve">n </w:t>
      </w:r>
      <w:r w:rsidR="00E20BBC" w:rsidRPr="003D20AA">
        <w:rPr>
          <w:rFonts w:cs="Arial"/>
          <w:b/>
          <w:color w:val="000000" w:themeColor="text1"/>
          <w:lang w:val="es-CO"/>
        </w:rPr>
        <w:t>Mayorista y/o Minorista</w:t>
      </w:r>
      <w:r w:rsidRPr="003D20AA">
        <w:rPr>
          <w:rFonts w:cs="Arial"/>
          <w:bCs w:val="0"/>
          <w:color w:val="000000" w:themeColor="text1"/>
          <w:lang w:val="es-CO"/>
        </w:rPr>
        <w:t xml:space="preserve">. En adición a lo dispuesto en la </w:t>
      </w:r>
      <w:r w:rsidRPr="003D20AA">
        <w:rPr>
          <w:rFonts w:cs="Arial"/>
          <w:color w:val="000000" w:themeColor="text1"/>
          <w:lang w:val="es-CO"/>
        </w:rPr>
        <w:t>Resolución CREG 057 de 1996, el comercializador no podrá tener interés económico en Productores-comercializadores, entendido el interés económico como los porcentajes de participación en el capital de una empresa que se establecen en el literal d) del artículo 6 de la Resolución CREG 057 de 1996, o aquellas que la modifiquen o sustituyan.</w:t>
      </w:r>
      <w:r w:rsidR="00F85A52" w:rsidRPr="003D20AA">
        <w:rPr>
          <w:rFonts w:cs="Arial"/>
          <w:color w:val="000000" w:themeColor="text1"/>
          <w:lang w:val="es-CO"/>
        </w:rPr>
        <w:t xml:space="preserve"> </w:t>
      </w:r>
      <w:r w:rsidR="00E20BBC" w:rsidRPr="003D20AA">
        <w:rPr>
          <w:rFonts w:cs="Arial"/>
          <w:b/>
          <w:color w:val="000000" w:themeColor="text1"/>
          <w:lang w:val="es-CO"/>
        </w:rPr>
        <w:t>Las empresas de servicios públicos que tengan dentro de su objeto la comercialización</w:t>
      </w:r>
      <w:r w:rsidR="00CD761C" w:rsidRPr="003D20AA">
        <w:rPr>
          <w:rFonts w:cs="Arial"/>
          <w:b/>
          <w:color w:val="000000" w:themeColor="text1"/>
          <w:lang w:val="es-CO"/>
        </w:rPr>
        <w:t xml:space="preserve"> de gas</w:t>
      </w:r>
      <w:r w:rsidR="00E20BBC" w:rsidRPr="003D20AA">
        <w:rPr>
          <w:rFonts w:cs="Arial"/>
          <w:b/>
          <w:color w:val="000000" w:themeColor="text1"/>
          <w:lang w:val="es-CO"/>
        </w:rPr>
        <w:t xml:space="preserve"> tendrán la calidad de comercializadores.</w:t>
      </w:r>
    </w:p>
    <w:p w14:paraId="50C2B177" w14:textId="77777777" w:rsidR="0006302B" w:rsidRPr="003D20AA" w:rsidRDefault="0006302B" w:rsidP="0006302B">
      <w:pPr>
        <w:pStyle w:val="ARTICULOS"/>
        <w:numPr>
          <w:ilvl w:val="0"/>
          <w:numId w:val="0"/>
        </w:numPr>
        <w:rPr>
          <w:rFonts w:cs="Arial"/>
          <w:color w:val="000000" w:themeColor="text1"/>
          <w:lang w:val="es-CO"/>
        </w:rPr>
      </w:pPr>
    </w:p>
    <w:p w14:paraId="7CAD7EFD" w14:textId="633D1651" w:rsidR="0006302B" w:rsidRPr="003D20AA" w:rsidRDefault="0006302B" w:rsidP="0006302B">
      <w:pPr>
        <w:pStyle w:val="ARTICULOS"/>
        <w:numPr>
          <w:ilvl w:val="0"/>
          <w:numId w:val="0"/>
        </w:numPr>
        <w:rPr>
          <w:rFonts w:cs="Arial"/>
          <w:bCs w:val="0"/>
          <w:color w:val="000000" w:themeColor="text1"/>
          <w:lang w:val="es-CO"/>
        </w:rPr>
      </w:pPr>
      <w:r w:rsidRPr="003D20AA">
        <w:rPr>
          <w:rFonts w:cs="Arial"/>
          <w:b/>
          <w:bCs w:val="0"/>
          <w:color w:val="000000" w:themeColor="text1"/>
          <w:lang w:val="es-CO"/>
        </w:rPr>
        <w:t xml:space="preserve">Comercializador de gas importado: </w:t>
      </w:r>
      <w:r w:rsidR="007814E4" w:rsidRPr="003D20AA">
        <w:rPr>
          <w:rFonts w:cs="Arial"/>
          <w:b/>
          <w:bCs w:val="0"/>
          <w:color w:val="000000" w:themeColor="text1"/>
          <w:lang w:val="es-CO"/>
        </w:rPr>
        <w:t>p</w:t>
      </w:r>
      <w:r w:rsidR="00616C92" w:rsidRPr="003D20AA">
        <w:rPr>
          <w:rFonts w:cs="Arial"/>
          <w:b/>
          <w:color w:val="000000" w:themeColor="text1"/>
          <w:lang w:val="es-CO"/>
        </w:rPr>
        <w:t>articipante</w:t>
      </w:r>
      <w:r w:rsidR="00911FA6" w:rsidRPr="003D20AA">
        <w:rPr>
          <w:rFonts w:cs="Arial"/>
          <w:b/>
          <w:color w:val="000000" w:themeColor="text1"/>
          <w:lang w:val="es-CO"/>
        </w:rPr>
        <w:t xml:space="preserve"> </w:t>
      </w:r>
      <w:r w:rsidRPr="003D20AA">
        <w:rPr>
          <w:rFonts w:cs="Arial"/>
          <w:b/>
          <w:color w:val="000000" w:themeColor="text1"/>
          <w:lang w:val="es-CO"/>
        </w:rPr>
        <w:t>de</w:t>
      </w:r>
      <w:r w:rsidR="00911FA6" w:rsidRPr="003D20AA">
        <w:rPr>
          <w:rFonts w:cs="Arial"/>
          <w:b/>
          <w:color w:val="000000" w:themeColor="text1"/>
          <w:lang w:val="es-CO"/>
        </w:rPr>
        <w:t>l Mercado</w:t>
      </w:r>
      <w:r w:rsidR="00911FA6" w:rsidRPr="003D20AA">
        <w:rPr>
          <w:rFonts w:cs="Arial"/>
          <w:bCs w:val="0"/>
          <w:color w:val="000000" w:themeColor="text1"/>
          <w:lang w:val="es-CO"/>
        </w:rPr>
        <w:t xml:space="preserve"> de</w:t>
      </w:r>
      <w:r w:rsidRPr="003D20AA">
        <w:rPr>
          <w:rFonts w:cs="Arial"/>
          <w:bCs w:val="0"/>
          <w:color w:val="000000" w:themeColor="text1"/>
          <w:lang w:val="es-CO"/>
        </w:rPr>
        <w:t xml:space="preserve"> gas que vende el gas </w:t>
      </w:r>
      <w:r w:rsidR="00763BC2" w:rsidRPr="003D20AA">
        <w:rPr>
          <w:rFonts w:cs="Arial"/>
          <w:bCs w:val="0"/>
          <w:color w:val="000000" w:themeColor="text1"/>
          <w:lang w:val="es-CO"/>
        </w:rPr>
        <w:t>importado</w:t>
      </w:r>
      <w:r w:rsidRPr="003D20AA">
        <w:rPr>
          <w:rFonts w:cs="Arial"/>
          <w:bCs w:val="0"/>
          <w:color w:val="000000" w:themeColor="text1"/>
          <w:lang w:val="es-CO"/>
        </w:rPr>
        <w:t xml:space="preserve"> para la atención del servicio público de gas combustible.</w:t>
      </w:r>
    </w:p>
    <w:p w14:paraId="26EDAE64" w14:textId="77777777" w:rsidR="0006302B" w:rsidRPr="003D20AA" w:rsidRDefault="0006302B" w:rsidP="0006302B">
      <w:pPr>
        <w:pStyle w:val="ARTICULOS"/>
        <w:numPr>
          <w:ilvl w:val="0"/>
          <w:numId w:val="0"/>
        </w:numPr>
        <w:rPr>
          <w:rFonts w:cs="Arial"/>
          <w:color w:val="000000" w:themeColor="text1"/>
          <w:lang w:val="es-CO"/>
        </w:rPr>
      </w:pPr>
    </w:p>
    <w:p w14:paraId="0747FD2F" w14:textId="35A68DB0" w:rsidR="0006302B" w:rsidRPr="003D20AA" w:rsidRDefault="0006302B" w:rsidP="0006302B">
      <w:pPr>
        <w:ind w:left="0"/>
        <w:jc w:val="both"/>
        <w:rPr>
          <w:rFonts w:ascii="Bookman Old Style" w:hAnsi="Bookman Old Style"/>
          <w:bCs/>
          <w:color w:val="000000" w:themeColor="text1"/>
          <w:lang w:val="es-CO" w:eastAsia="x-none"/>
        </w:rPr>
      </w:pPr>
      <w:r w:rsidRPr="003D20AA">
        <w:rPr>
          <w:rFonts w:ascii="Bookman Old Style" w:hAnsi="Bookman Old Style"/>
          <w:b/>
          <w:bCs/>
          <w:color w:val="000000" w:themeColor="text1"/>
          <w:lang w:val="es-CO" w:eastAsia="x-none"/>
        </w:rPr>
        <w:t>Comprador Cesionario:</w:t>
      </w:r>
      <w:r w:rsidRPr="003D20AA">
        <w:rPr>
          <w:rFonts w:ascii="Bookman Old Style" w:hAnsi="Bookman Old Style"/>
          <w:bCs/>
          <w:color w:val="000000" w:themeColor="text1"/>
          <w:lang w:val="es-CO" w:eastAsia="x-none"/>
        </w:rPr>
        <w:t xml:space="preserve"> persona jurídica con la cual un comprador de </w:t>
      </w:r>
      <w:r w:rsidRPr="003D20AA">
        <w:rPr>
          <w:rFonts w:ascii="Bookman Old Style" w:hAnsi="Bookman Old Style"/>
          <w:b/>
          <w:color w:val="000000" w:themeColor="text1"/>
          <w:lang w:val="es-CO" w:eastAsia="x-none"/>
        </w:rPr>
        <w:t>gas en el mercado</w:t>
      </w:r>
      <w:r w:rsidRPr="003D20AA">
        <w:rPr>
          <w:rFonts w:ascii="Bookman Old Style" w:hAnsi="Bookman Old Style"/>
          <w:bCs/>
          <w:color w:val="000000" w:themeColor="text1"/>
          <w:lang w:val="es-CO" w:eastAsia="x-none"/>
        </w:rPr>
        <w:t xml:space="preserve"> primario celebra un contrato de cesión de </w:t>
      </w:r>
      <w:r w:rsidR="00086F1F" w:rsidRPr="003D20AA">
        <w:rPr>
          <w:rFonts w:ascii="Bookman Old Style" w:hAnsi="Bookman Old Style"/>
          <w:bCs/>
          <w:color w:val="000000" w:themeColor="text1"/>
          <w:lang w:val="es-CO" w:eastAsia="x-none"/>
        </w:rPr>
        <w:t>un contrato</w:t>
      </w:r>
      <w:r w:rsidRPr="003D20AA">
        <w:rPr>
          <w:rFonts w:ascii="Bookman Old Style" w:hAnsi="Bookman Old Style"/>
          <w:bCs/>
          <w:color w:val="000000" w:themeColor="text1"/>
          <w:lang w:val="es-CO" w:eastAsia="x-none"/>
        </w:rPr>
        <w:t xml:space="preserve"> de suministro de gas</w:t>
      </w:r>
      <w:r w:rsidR="00675C69" w:rsidRPr="003D20AA">
        <w:rPr>
          <w:rFonts w:ascii="Bookman Old Style" w:hAnsi="Bookman Old Style"/>
          <w:bCs/>
          <w:color w:val="000000" w:themeColor="text1"/>
          <w:lang w:val="es-CO" w:eastAsia="x-none"/>
        </w:rPr>
        <w:t xml:space="preserve"> </w:t>
      </w:r>
      <w:r w:rsidR="00675C69" w:rsidRPr="003D20AA">
        <w:rPr>
          <w:rFonts w:ascii="Bookman Old Style" w:hAnsi="Bookman Old Style"/>
          <w:b/>
          <w:color w:val="000000" w:themeColor="text1"/>
          <w:lang w:val="es-CO" w:eastAsia="x-none"/>
        </w:rPr>
        <w:t>suscrito en</w:t>
      </w:r>
      <w:r w:rsidR="00675C69" w:rsidRPr="003D20AA">
        <w:rPr>
          <w:rFonts w:ascii="Bookman Old Style" w:hAnsi="Bookman Old Style"/>
          <w:bCs/>
          <w:color w:val="000000" w:themeColor="text1"/>
          <w:lang w:val="es-CO" w:eastAsia="x-none"/>
        </w:rPr>
        <w:t xml:space="preserve"> </w:t>
      </w:r>
      <w:r w:rsidR="00675C69" w:rsidRPr="003D20AA">
        <w:rPr>
          <w:rFonts w:ascii="Bookman Old Style" w:hAnsi="Bookman Old Style"/>
          <w:b/>
          <w:color w:val="000000" w:themeColor="text1"/>
          <w:lang w:val="es-CO" w:eastAsia="x-none"/>
        </w:rPr>
        <w:t>el mercado primario</w:t>
      </w:r>
      <w:r w:rsidR="00086F1F" w:rsidRPr="003D20AA">
        <w:rPr>
          <w:rFonts w:ascii="Bookman Old Style" w:hAnsi="Bookman Old Style"/>
          <w:bCs/>
          <w:color w:val="000000" w:themeColor="text1"/>
          <w:lang w:val="es-CO" w:eastAsia="x-none"/>
        </w:rPr>
        <w:t xml:space="preserve">. </w:t>
      </w:r>
      <w:r w:rsidR="00086F1F" w:rsidRPr="003D20AA">
        <w:rPr>
          <w:rFonts w:ascii="Bookman Old Style" w:hAnsi="Bookman Old Style"/>
          <w:b/>
          <w:color w:val="000000" w:themeColor="text1"/>
          <w:lang w:val="es-CO" w:eastAsia="x-none"/>
        </w:rPr>
        <w:t xml:space="preserve">El comprador cesionario </w:t>
      </w:r>
      <w:r w:rsidR="00534F67">
        <w:rPr>
          <w:rFonts w:ascii="Bookman Old Style" w:hAnsi="Bookman Old Style"/>
          <w:b/>
          <w:color w:val="000000" w:themeColor="text1"/>
          <w:lang w:val="es-CO" w:eastAsia="x-none"/>
        </w:rPr>
        <w:t xml:space="preserve">solamente </w:t>
      </w:r>
      <w:r w:rsidR="00086F1F" w:rsidRPr="003D20AA">
        <w:rPr>
          <w:rFonts w:ascii="Bookman Old Style" w:hAnsi="Bookman Old Style"/>
          <w:b/>
          <w:color w:val="000000" w:themeColor="text1"/>
          <w:lang w:val="es-CO" w:eastAsia="x-none"/>
        </w:rPr>
        <w:t>podrá ser un comprador del mercado primario</w:t>
      </w:r>
      <w:r w:rsidRPr="003D20AA">
        <w:rPr>
          <w:rFonts w:ascii="Bookman Old Style" w:hAnsi="Bookman Old Style"/>
          <w:bCs/>
          <w:color w:val="000000" w:themeColor="text1"/>
          <w:lang w:val="es-CO" w:eastAsia="x-none"/>
        </w:rPr>
        <w:t>.</w:t>
      </w:r>
    </w:p>
    <w:p w14:paraId="6FC8B928" w14:textId="77777777" w:rsidR="0006302B" w:rsidRPr="0013707D" w:rsidRDefault="0006302B" w:rsidP="0006302B">
      <w:pPr>
        <w:ind w:left="0"/>
        <w:jc w:val="both"/>
        <w:rPr>
          <w:rFonts w:ascii="Bookman Old Style" w:hAnsi="Bookman Old Style" w:cs="Arial"/>
          <w:color w:val="000000" w:themeColor="text1"/>
          <w:sz w:val="20"/>
          <w:lang w:val="es-CO"/>
        </w:rPr>
      </w:pPr>
    </w:p>
    <w:p w14:paraId="02741F82" w14:textId="7BB9025C" w:rsidR="0006302B"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Comprador de corto plazo:</w:t>
      </w:r>
      <w:r w:rsidRPr="0013707D">
        <w:rPr>
          <w:rFonts w:cs="Arial"/>
          <w:color w:val="000000" w:themeColor="text1"/>
          <w:lang w:val="es-CO"/>
        </w:rPr>
        <w:t xml:space="preserve"> persona jurídica con la cual un comprador</w:t>
      </w:r>
      <w:r>
        <w:rPr>
          <w:rFonts w:cs="Arial"/>
          <w:color w:val="000000" w:themeColor="text1"/>
          <w:lang w:val="es-CO"/>
        </w:rPr>
        <w:t xml:space="preserve"> </w:t>
      </w:r>
      <w:r w:rsidRPr="00993642">
        <w:rPr>
          <w:rFonts w:cs="Arial"/>
          <w:b/>
          <w:bCs w:val="0"/>
          <w:color w:val="000000" w:themeColor="text1"/>
          <w:lang w:val="es-CO"/>
        </w:rPr>
        <w:t xml:space="preserve">de gas en el mercado </w:t>
      </w:r>
      <w:r w:rsidRPr="0013707D">
        <w:rPr>
          <w:rFonts w:cs="Arial"/>
          <w:color w:val="000000" w:themeColor="text1"/>
          <w:lang w:val="es-CO"/>
        </w:rPr>
        <w:t>primario, un comprador cesionario o un comprador</w:t>
      </w:r>
      <w:r>
        <w:rPr>
          <w:rFonts w:cs="Arial"/>
          <w:color w:val="000000" w:themeColor="text1"/>
          <w:lang w:val="es-CO"/>
        </w:rPr>
        <w:t xml:space="preserve"> </w:t>
      </w:r>
      <w:r w:rsidRPr="001D2D43">
        <w:rPr>
          <w:rFonts w:cs="Arial"/>
          <w:b/>
          <w:bCs w:val="0"/>
          <w:color w:val="000000" w:themeColor="text1"/>
          <w:lang w:val="es-CO"/>
        </w:rPr>
        <w:t>de gas en el mercado</w:t>
      </w:r>
      <w:r>
        <w:rPr>
          <w:rFonts w:cs="Arial"/>
          <w:color w:val="000000" w:themeColor="text1"/>
          <w:lang w:val="es-CO"/>
        </w:rPr>
        <w:t xml:space="preserve"> </w:t>
      </w:r>
      <w:r w:rsidRPr="0013707D">
        <w:rPr>
          <w:rFonts w:cs="Arial"/>
          <w:color w:val="000000" w:themeColor="text1"/>
          <w:lang w:val="es-CO"/>
        </w:rPr>
        <w:t>secundario</w:t>
      </w:r>
      <w:r w:rsidR="00264B78">
        <w:rPr>
          <w:rFonts w:cs="Arial"/>
          <w:color w:val="000000" w:themeColor="text1"/>
          <w:lang w:val="es-CO"/>
        </w:rPr>
        <w:t>,</w:t>
      </w:r>
      <w:r w:rsidRPr="0013707D">
        <w:rPr>
          <w:rFonts w:cs="Arial"/>
          <w:color w:val="000000" w:themeColor="text1"/>
          <w:lang w:val="es-CO"/>
        </w:rPr>
        <w:t xml:space="preserve"> celebra un contrato de </w:t>
      </w:r>
      <w:r w:rsidRPr="0013707D">
        <w:rPr>
          <w:bCs w:val="0"/>
          <w:color w:val="000000" w:themeColor="text1"/>
          <w:lang w:val="es-CO"/>
        </w:rPr>
        <w:t>derechos de suministro de gas</w:t>
      </w:r>
      <w:r w:rsidRPr="0013707D">
        <w:rPr>
          <w:rFonts w:cs="Arial"/>
          <w:color w:val="000000" w:themeColor="text1"/>
          <w:lang w:val="es-CO"/>
        </w:rPr>
        <w:t xml:space="preserve"> como resultado del proceso úselo o véndalo de corto plazo. Deberá corresponder a </w:t>
      </w:r>
      <w:r w:rsidRPr="0013707D">
        <w:rPr>
          <w:bCs w:val="0"/>
          <w:color w:val="000000" w:themeColor="text1"/>
          <w:lang w:val="es-CO"/>
        </w:rPr>
        <w:t>alguno de los</w:t>
      </w:r>
      <w:r w:rsidRPr="001D2D43">
        <w:rPr>
          <w:bCs w:val="0"/>
          <w:color w:val="000000" w:themeColor="text1"/>
          <w:lang w:val="es-CO"/>
        </w:rPr>
        <w:t xml:space="preserve"> </w:t>
      </w:r>
      <w:r>
        <w:rPr>
          <w:bCs w:val="0"/>
          <w:color w:val="000000" w:themeColor="text1"/>
          <w:lang w:val="es-CO"/>
        </w:rPr>
        <w:t>P</w:t>
      </w:r>
      <w:r w:rsidRPr="001D2D43">
        <w:rPr>
          <w:bCs w:val="0"/>
          <w:color w:val="000000" w:themeColor="text1"/>
          <w:lang w:val="es-CO"/>
        </w:rPr>
        <w:t xml:space="preserve">articipantes del mercado </w:t>
      </w:r>
      <w:r w:rsidRPr="0013707D">
        <w:rPr>
          <w:bCs w:val="0"/>
          <w:color w:val="000000" w:themeColor="text1"/>
          <w:lang w:val="es-CO"/>
        </w:rPr>
        <w:t>que puede comprar gas natural en el mercado secundario</w:t>
      </w:r>
      <w:r w:rsidRPr="0013707D">
        <w:rPr>
          <w:rFonts w:cs="Arial"/>
          <w:color w:val="000000" w:themeColor="text1"/>
          <w:lang w:val="es-CO"/>
        </w:rPr>
        <w:t xml:space="preserve"> y que esté registrado en el BEC</w:t>
      </w:r>
      <w:r w:rsidRPr="0013707D">
        <w:rPr>
          <w:bCs w:val="0"/>
          <w:color w:val="000000" w:themeColor="text1"/>
          <w:lang w:val="es-CO"/>
        </w:rPr>
        <w:t>, de acuerdo con lo dispuesto en esta Resolución</w:t>
      </w:r>
      <w:r w:rsidRPr="0013707D">
        <w:rPr>
          <w:rFonts w:cs="Arial"/>
          <w:color w:val="000000" w:themeColor="text1"/>
          <w:lang w:val="es-CO"/>
        </w:rPr>
        <w:t>.</w:t>
      </w:r>
    </w:p>
    <w:p w14:paraId="3BE967F6" w14:textId="77777777" w:rsidR="0006302B" w:rsidRPr="0013707D" w:rsidRDefault="0006302B" w:rsidP="0006302B">
      <w:pPr>
        <w:ind w:left="0"/>
        <w:jc w:val="both"/>
        <w:rPr>
          <w:rFonts w:ascii="Bookman Old Style" w:hAnsi="Bookman Old Style" w:cs="Arial"/>
          <w:color w:val="000000" w:themeColor="text1"/>
          <w:sz w:val="20"/>
          <w:lang w:val="es-CO"/>
        </w:rPr>
      </w:pPr>
    </w:p>
    <w:p w14:paraId="044628E2"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
          <w:bCs/>
          <w:color w:val="000000" w:themeColor="text1"/>
          <w:lang w:val="es-CO" w:eastAsia="x-none"/>
        </w:rPr>
        <w:t>Comprador primario:</w:t>
      </w:r>
      <w:r w:rsidRPr="0013707D">
        <w:rPr>
          <w:rFonts w:ascii="Bookman Old Style" w:hAnsi="Bookman Old Style"/>
          <w:bCs/>
          <w:color w:val="000000" w:themeColor="text1"/>
          <w:lang w:val="es-CO" w:eastAsia="x-none"/>
        </w:rPr>
        <w:t xml:space="preserve"> persona jurídica con la cual un </w:t>
      </w:r>
      <w:r>
        <w:rPr>
          <w:rFonts w:ascii="Bookman Old Style" w:hAnsi="Bookman Old Style"/>
          <w:bCs/>
          <w:color w:val="000000" w:themeColor="text1"/>
          <w:lang w:val="es-CO" w:eastAsia="x-none"/>
        </w:rPr>
        <w:t>P</w:t>
      </w:r>
      <w:r w:rsidRPr="0013707D">
        <w:rPr>
          <w:rFonts w:ascii="Bookman Old Style" w:hAnsi="Bookman Old Style"/>
          <w:bCs/>
          <w:color w:val="000000" w:themeColor="text1"/>
          <w:lang w:val="es-CO" w:eastAsia="x-none"/>
        </w:rPr>
        <w:t xml:space="preserve">roductor-comercializador o un </w:t>
      </w:r>
      <w:r>
        <w:rPr>
          <w:rFonts w:ascii="Bookman Old Style" w:hAnsi="Bookman Old Style"/>
          <w:bCs/>
          <w:color w:val="000000" w:themeColor="text1"/>
          <w:lang w:val="es-CO" w:eastAsia="x-none"/>
        </w:rPr>
        <w:t>C</w:t>
      </w:r>
      <w:r w:rsidRPr="0013707D">
        <w:rPr>
          <w:rFonts w:ascii="Bookman Old Style" w:hAnsi="Bookman Old Style"/>
          <w:bCs/>
          <w:color w:val="000000" w:themeColor="text1"/>
          <w:lang w:val="es-CO" w:eastAsia="x-none"/>
        </w:rPr>
        <w:t>omercializador de gas importado celebra un contrato para el suministro de gas natural</w:t>
      </w:r>
      <w:r>
        <w:rPr>
          <w:rFonts w:ascii="Bookman Old Style" w:hAnsi="Bookman Old Style"/>
          <w:bCs/>
          <w:color w:val="000000" w:themeColor="text1"/>
          <w:lang w:val="es-CO" w:eastAsia="x-none"/>
        </w:rPr>
        <w:t xml:space="preserve"> </w:t>
      </w:r>
      <w:r w:rsidRPr="005D1009">
        <w:rPr>
          <w:rFonts w:ascii="Bookman Old Style" w:hAnsi="Bookman Old Style"/>
          <w:b/>
          <w:color w:val="000000" w:themeColor="text1"/>
          <w:lang w:val="es-CO" w:eastAsia="x-none"/>
        </w:rPr>
        <w:t>en el mercado primario con destino a la prestación del servicio público de gas combustible.</w:t>
      </w:r>
      <w:r>
        <w:rPr>
          <w:rFonts w:ascii="Bookman Old Style" w:hAnsi="Bookman Old Style"/>
          <w:b/>
          <w:color w:val="000000" w:themeColor="text1"/>
          <w:lang w:val="es-CO" w:eastAsia="x-none"/>
        </w:rPr>
        <w:t xml:space="preserve"> </w:t>
      </w:r>
      <w:r w:rsidRPr="0013707D">
        <w:rPr>
          <w:rFonts w:ascii="Bookman Old Style" w:hAnsi="Bookman Old Style"/>
          <w:bCs/>
          <w:color w:val="000000" w:themeColor="text1"/>
          <w:lang w:val="es-CO" w:eastAsia="x-none"/>
        </w:rPr>
        <w:t>Deberá corresponder a alguno de los</w:t>
      </w:r>
      <w:r>
        <w:rPr>
          <w:rFonts w:ascii="Bookman Old Style" w:hAnsi="Bookman Old Style"/>
          <w:bCs/>
          <w:color w:val="000000" w:themeColor="text1"/>
          <w:lang w:val="es-CO" w:eastAsia="x-none"/>
        </w:rPr>
        <w:t xml:space="preserve"> P</w:t>
      </w:r>
      <w:r w:rsidRPr="00C27D92">
        <w:rPr>
          <w:rFonts w:ascii="Bookman Old Style" w:hAnsi="Bookman Old Style"/>
          <w:bCs/>
          <w:color w:val="000000" w:themeColor="text1"/>
          <w:lang w:val="es-CO" w:eastAsia="x-none"/>
        </w:rPr>
        <w:t>articipantes</w:t>
      </w:r>
      <w:r>
        <w:rPr>
          <w:rFonts w:ascii="Bookman Old Style" w:hAnsi="Bookman Old Style"/>
          <w:bCs/>
          <w:color w:val="000000" w:themeColor="text1"/>
          <w:lang w:val="es-CO" w:eastAsia="x-none"/>
        </w:rPr>
        <w:t xml:space="preserve"> </w:t>
      </w:r>
      <w:r w:rsidRPr="0013707D">
        <w:rPr>
          <w:rFonts w:ascii="Bookman Old Style" w:hAnsi="Bookman Old Style"/>
          <w:bCs/>
          <w:color w:val="000000" w:themeColor="text1"/>
          <w:lang w:val="es-CO" w:eastAsia="x-none"/>
        </w:rPr>
        <w:t>del mercado que puede comprar gas natural en el mercado primario, de acuerdo con lo dispuesto en esta Resolución.</w:t>
      </w:r>
    </w:p>
    <w:p w14:paraId="129B086C" w14:textId="77777777" w:rsidR="0006302B" w:rsidRPr="0013707D" w:rsidRDefault="0006302B" w:rsidP="0006302B">
      <w:pPr>
        <w:ind w:left="0"/>
        <w:jc w:val="both"/>
        <w:rPr>
          <w:rFonts w:ascii="Bookman Old Style" w:hAnsi="Bookman Old Style"/>
          <w:bCs/>
          <w:color w:val="000000" w:themeColor="text1"/>
          <w:sz w:val="20"/>
          <w:lang w:val="es-CO" w:eastAsia="x-none"/>
        </w:rPr>
      </w:pPr>
    </w:p>
    <w:p w14:paraId="609ED20D" w14:textId="70DB5241" w:rsidR="0006302B" w:rsidRPr="00C27D92" w:rsidRDefault="0006302B" w:rsidP="0006302B">
      <w:pPr>
        <w:ind w:left="0"/>
        <w:jc w:val="both"/>
        <w:rPr>
          <w:rFonts w:ascii="Bookman Old Style" w:hAnsi="Bookman Old Style"/>
          <w:bCs/>
          <w:color w:val="000000" w:themeColor="text1"/>
          <w:lang w:val="es-CO" w:eastAsia="x-none"/>
        </w:rPr>
      </w:pPr>
      <w:r w:rsidRPr="00C27D92">
        <w:rPr>
          <w:rFonts w:ascii="Bookman Old Style" w:hAnsi="Bookman Old Style"/>
          <w:b/>
          <w:bCs/>
          <w:color w:val="000000" w:themeColor="text1"/>
          <w:lang w:val="es-CO" w:eastAsia="x-none"/>
        </w:rPr>
        <w:t>Comprador secundario:</w:t>
      </w:r>
      <w:r w:rsidRPr="00C27D92">
        <w:rPr>
          <w:rFonts w:ascii="Bookman Old Style" w:hAnsi="Bookman Old Style"/>
          <w:bCs/>
          <w:color w:val="000000" w:themeColor="text1"/>
          <w:lang w:val="es-CO" w:eastAsia="x-none"/>
        </w:rPr>
        <w:t xml:space="preserve"> persona jurídica con la cual un comprador primario o un comprador cesionario celebra un contrato de </w:t>
      </w:r>
      <w:r>
        <w:rPr>
          <w:rFonts w:ascii="Bookman Old Style" w:hAnsi="Bookman Old Style"/>
          <w:bCs/>
          <w:color w:val="000000" w:themeColor="text1"/>
          <w:lang w:val="es-CO" w:eastAsia="x-none"/>
        </w:rPr>
        <w:t>d</w:t>
      </w:r>
      <w:r w:rsidRPr="00C27D92">
        <w:rPr>
          <w:rFonts w:ascii="Bookman Old Style" w:hAnsi="Bookman Old Style"/>
          <w:bCs/>
          <w:color w:val="000000" w:themeColor="text1"/>
          <w:lang w:val="es-CO" w:eastAsia="x-none"/>
        </w:rPr>
        <w:t xml:space="preserve">erechos de suministro de gas con destino a la prestación del servicio público de gas combustible. Deberá corresponder a alguno de los </w:t>
      </w:r>
      <w:r>
        <w:rPr>
          <w:rFonts w:ascii="Bookman Old Style" w:hAnsi="Bookman Old Style"/>
          <w:bCs/>
          <w:color w:val="000000" w:themeColor="text1"/>
          <w:lang w:val="es-CO" w:eastAsia="x-none"/>
        </w:rPr>
        <w:t>P</w:t>
      </w:r>
      <w:r w:rsidRPr="00C27D92">
        <w:rPr>
          <w:rFonts w:ascii="Bookman Old Style" w:hAnsi="Bookman Old Style"/>
          <w:bCs/>
          <w:color w:val="000000" w:themeColor="text1"/>
          <w:lang w:val="es-CO" w:eastAsia="x-none"/>
        </w:rPr>
        <w:t>articipantes del mercado que puede comprar gas natural en el mercado secundario, de acuerdo con lo dispuesto en esta Resolución.</w:t>
      </w:r>
    </w:p>
    <w:p w14:paraId="47ED2D1D" w14:textId="77777777" w:rsidR="0006302B" w:rsidRPr="0013707D" w:rsidRDefault="0006302B" w:rsidP="0006302B">
      <w:pPr>
        <w:ind w:left="0"/>
        <w:jc w:val="both"/>
        <w:rPr>
          <w:rFonts w:ascii="Bookman Old Style" w:hAnsi="Bookman Old Style"/>
          <w:b/>
          <w:bCs/>
          <w:color w:val="000000" w:themeColor="text1"/>
          <w:lang w:val="es-CO" w:eastAsia="x-none"/>
        </w:rPr>
      </w:pPr>
    </w:p>
    <w:p w14:paraId="70E89D0E" w14:textId="77777777"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Condición de probable escasez</w:t>
      </w:r>
      <w:r w:rsidRPr="0013707D">
        <w:rPr>
          <w:rFonts w:ascii="Bookman Old Style" w:hAnsi="Bookman Old Style" w:cs="Arial"/>
          <w:color w:val="000000" w:themeColor="text1"/>
          <w:lang w:val="es-CO"/>
        </w:rPr>
        <w:t xml:space="preserve">: corresponderá a los eventos en que el precio del predespacho ideal del </w:t>
      </w:r>
      <w:r>
        <w:rPr>
          <w:rFonts w:ascii="Bookman Old Style" w:hAnsi="Bookman Old Style" w:cs="Arial"/>
          <w:color w:val="000000" w:themeColor="text1"/>
          <w:lang w:val="es-CO"/>
        </w:rPr>
        <w:t>Mercado Mayorista</w:t>
      </w:r>
      <w:r w:rsidRPr="0013707D">
        <w:rPr>
          <w:rFonts w:ascii="Bookman Old Style" w:hAnsi="Bookman Old Style" w:cs="Arial"/>
          <w:color w:val="000000" w:themeColor="text1"/>
          <w:lang w:val="es-CO"/>
        </w:rPr>
        <w:t xml:space="preserve"> de energía, en al menos una hora, sea igual o superior al 95% del precio de escasez de activación. </w:t>
      </w:r>
    </w:p>
    <w:p w14:paraId="4707F8B4" w14:textId="77777777" w:rsidR="00FE1CCE" w:rsidRDefault="00FE1CCE" w:rsidP="0006302B">
      <w:pPr>
        <w:tabs>
          <w:tab w:val="left" w:pos="8640"/>
        </w:tabs>
        <w:ind w:left="0"/>
        <w:jc w:val="both"/>
        <w:rPr>
          <w:rFonts w:ascii="Bookman Old Style" w:hAnsi="Bookman Old Style" w:cs="Arial"/>
          <w:b/>
          <w:color w:val="000000" w:themeColor="text1"/>
          <w:lang w:val="es-CO"/>
        </w:rPr>
      </w:pPr>
    </w:p>
    <w:p w14:paraId="30D97999" w14:textId="01C24B8A" w:rsidR="0006302B" w:rsidRPr="003D20AA" w:rsidRDefault="0006302B" w:rsidP="0006302B">
      <w:pPr>
        <w:tabs>
          <w:tab w:val="left" w:pos="8640"/>
        </w:tabs>
        <w:ind w:left="0"/>
        <w:jc w:val="both"/>
        <w:rPr>
          <w:rFonts w:ascii="Bookman Old Style" w:hAnsi="Bookman Old Style" w:cs="Arial"/>
          <w:color w:val="000000" w:themeColor="text1"/>
          <w:lang w:val="es-CO"/>
        </w:rPr>
      </w:pPr>
      <w:r w:rsidRPr="00C27D92">
        <w:rPr>
          <w:rFonts w:ascii="Bookman Old Style" w:hAnsi="Bookman Old Style" w:cs="Arial"/>
          <w:b/>
          <w:color w:val="000000" w:themeColor="text1"/>
          <w:lang w:val="es-CO"/>
        </w:rPr>
        <w:t>Contrato con interrupciones, CI:</w:t>
      </w:r>
      <w:r w:rsidRPr="00C27D92">
        <w:rPr>
          <w:rFonts w:ascii="Bookman Old Style" w:hAnsi="Bookman Old Style" w:cs="Arial"/>
          <w:color w:val="000000" w:themeColor="text1"/>
          <w:lang w:val="es-CO"/>
        </w:rPr>
        <w:t xml:space="preserve"> contrato escrito en el que l</w:t>
      </w:r>
      <w:r>
        <w:rPr>
          <w:rFonts w:ascii="Bookman Old Style" w:hAnsi="Bookman Old Style" w:cs="Arial"/>
          <w:color w:val="000000" w:themeColor="text1"/>
          <w:lang w:val="es-CO"/>
        </w:rPr>
        <w:t xml:space="preserve">os </w:t>
      </w:r>
      <w:r w:rsidRPr="009D526F">
        <w:rPr>
          <w:rFonts w:ascii="Bookman Old Style" w:hAnsi="Bookman Old Style" w:cs="Arial"/>
          <w:b/>
          <w:bCs/>
          <w:color w:val="000000" w:themeColor="text1"/>
          <w:lang w:val="es-CO"/>
        </w:rPr>
        <w:t>Participantes del Mercado</w:t>
      </w:r>
      <w:r>
        <w:rPr>
          <w:rFonts w:ascii="Bookman Old Style" w:hAnsi="Bookman Old Style" w:cs="Arial"/>
          <w:color w:val="000000" w:themeColor="text1"/>
          <w:lang w:val="es-CO"/>
        </w:rPr>
        <w:t xml:space="preserve"> </w:t>
      </w:r>
      <w:r w:rsidR="007E7DFE" w:rsidRPr="00191320">
        <w:rPr>
          <w:rFonts w:ascii="Bookman Old Style" w:hAnsi="Bookman Old Style" w:cs="Arial"/>
          <w:b/>
          <w:bCs/>
          <w:color w:val="000000" w:themeColor="text1"/>
          <w:lang w:val="es-CO"/>
        </w:rPr>
        <w:t>mayorista</w:t>
      </w:r>
      <w:r w:rsidR="007E7DFE">
        <w:rPr>
          <w:rFonts w:ascii="Bookman Old Style" w:hAnsi="Bookman Old Style" w:cs="Arial"/>
          <w:color w:val="000000" w:themeColor="text1"/>
          <w:lang w:val="es-CO"/>
        </w:rPr>
        <w:t xml:space="preserve"> </w:t>
      </w:r>
      <w:r w:rsidRPr="00C27D92">
        <w:rPr>
          <w:rFonts w:ascii="Bookman Old Style" w:hAnsi="Bookman Old Style" w:cs="Arial"/>
          <w:color w:val="000000" w:themeColor="text1"/>
          <w:lang w:val="es-CO"/>
        </w:rPr>
        <w:t xml:space="preserve">acuerdan no asumir compromiso de continuidad en la entrega o recibo </w:t>
      </w:r>
      <w:r w:rsidRPr="00191320">
        <w:rPr>
          <w:rFonts w:ascii="Bookman Old Style" w:hAnsi="Bookman Old Style" w:cs="Arial"/>
          <w:b/>
          <w:bCs/>
          <w:color w:val="000000" w:themeColor="text1"/>
          <w:lang w:val="es-CO"/>
        </w:rPr>
        <w:t xml:space="preserve">de </w:t>
      </w:r>
      <w:r w:rsidR="007E7DFE" w:rsidRPr="00191320">
        <w:rPr>
          <w:rFonts w:ascii="Bookman Old Style" w:hAnsi="Bookman Old Style" w:cs="Arial"/>
          <w:b/>
          <w:bCs/>
          <w:color w:val="000000" w:themeColor="text1"/>
          <w:lang w:val="es-CO"/>
        </w:rPr>
        <w:t xml:space="preserve">una cantidad </w:t>
      </w:r>
      <w:r w:rsidR="00B36153">
        <w:rPr>
          <w:rFonts w:ascii="Bookman Old Style" w:hAnsi="Bookman Old Style" w:cs="Arial"/>
          <w:b/>
          <w:bCs/>
          <w:color w:val="000000" w:themeColor="text1"/>
          <w:lang w:val="es-CO"/>
        </w:rPr>
        <w:t>m</w:t>
      </w:r>
      <w:r w:rsidR="007E7DFE" w:rsidRPr="00191320">
        <w:rPr>
          <w:rFonts w:ascii="Bookman Old Style" w:hAnsi="Bookman Old Style" w:cs="Arial"/>
          <w:b/>
          <w:bCs/>
          <w:color w:val="000000" w:themeColor="text1"/>
          <w:lang w:val="es-CO"/>
        </w:rPr>
        <w:t xml:space="preserve">áxima </w:t>
      </w:r>
      <w:r w:rsidR="002502D2">
        <w:rPr>
          <w:rFonts w:ascii="Bookman Old Style" w:hAnsi="Bookman Old Style" w:cs="Arial"/>
          <w:b/>
          <w:bCs/>
          <w:color w:val="000000" w:themeColor="text1"/>
          <w:lang w:val="es-CO"/>
        </w:rPr>
        <w:t xml:space="preserve">diaria </w:t>
      </w:r>
      <w:r w:rsidRPr="00191320">
        <w:rPr>
          <w:rFonts w:ascii="Bookman Old Style" w:hAnsi="Bookman Old Style" w:cs="Arial"/>
          <w:b/>
          <w:bCs/>
          <w:color w:val="000000" w:themeColor="text1"/>
          <w:lang w:val="es-CO"/>
        </w:rPr>
        <w:t>de gas natural</w:t>
      </w:r>
      <w:r w:rsidRPr="00C27D92">
        <w:rPr>
          <w:rFonts w:ascii="Bookman Old Style" w:hAnsi="Bookman Old Style" w:cs="Arial"/>
          <w:color w:val="000000" w:themeColor="text1"/>
          <w:lang w:val="es-CO"/>
        </w:rPr>
        <w:t>,</w:t>
      </w:r>
      <w:r w:rsidR="002502D2">
        <w:rPr>
          <w:rFonts w:ascii="Bookman Old Style" w:hAnsi="Bookman Old Style" w:cs="Arial"/>
          <w:color w:val="000000" w:themeColor="text1"/>
          <w:lang w:val="es-CO"/>
        </w:rPr>
        <w:t xml:space="preserve"> </w:t>
      </w:r>
      <w:r w:rsidR="002502D2" w:rsidRPr="00191320">
        <w:rPr>
          <w:rFonts w:ascii="Bookman Old Style" w:hAnsi="Bookman Old Style" w:cs="Arial"/>
          <w:b/>
          <w:bCs/>
          <w:color w:val="000000" w:themeColor="text1"/>
          <w:lang w:val="es-CO"/>
        </w:rPr>
        <w:t xml:space="preserve">expresada en </w:t>
      </w:r>
      <w:r w:rsidR="00713FA9" w:rsidRPr="003D20AA">
        <w:rPr>
          <w:rFonts w:ascii="Bookman Old Style" w:hAnsi="Bookman Old Style" w:cs="Arial"/>
          <w:b/>
          <w:bCs/>
          <w:color w:val="000000" w:themeColor="text1"/>
          <w:lang w:val="es-CO"/>
        </w:rPr>
        <w:t>MBTUD</w:t>
      </w:r>
      <w:r w:rsidR="002502D2" w:rsidRPr="003D20AA">
        <w:rPr>
          <w:rFonts w:ascii="Bookman Old Style" w:hAnsi="Bookman Old Style" w:cs="Arial"/>
          <w:color w:val="000000" w:themeColor="text1"/>
          <w:lang w:val="es-CO"/>
        </w:rPr>
        <w:t>,</w:t>
      </w:r>
      <w:r w:rsidRPr="003D20AA">
        <w:rPr>
          <w:rFonts w:ascii="Bookman Old Style" w:hAnsi="Bookman Old Style" w:cs="Arial"/>
          <w:color w:val="000000" w:themeColor="text1"/>
          <w:lang w:val="es-CO"/>
        </w:rPr>
        <w:t xml:space="preserve"> durante un período determinado. El servicio puede ser interrumpido por cualquiera de las partes, en cualquier momento y bajo cualquier circunstancia, dando aviso previo a la otra parte.</w:t>
      </w:r>
    </w:p>
    <w:p w14:paraId="221AA412" w14:textId="77777777" w:rsidR="0006302B" w:rsidRPr="003D20AA" w:rsidRDefault="0006302B" w:rsidP="0006302B">
      <w:pPr>
        <w:ind w:left="0"/>
        <w:jc w:val="both"/>
        <w:rPr>
          <w:rFonts w:ascii="Bookman Old Style" w:hAnsi="Bookman Old Style"/>
          <w:b/>
          <w:bCs/>
          <w:color w:val="000000" w:themeColor="text1"/>
          <w:lang w:val="es-CO" w:eastAsia="x-none"/>
        </w:rPr>
      </w:pPr>
    </w:p>
    <w:p w14:paraId="731516EF" w14:textId="134F0DEB" w:rsidR="0006302B" w:rsidRPr="0013707D" w:rsidRDefault="0006302B" w:rsidP="0006302B">
      <w:pPr>
        <w:pStyle w:val="ARTICULOS"/>
        <w:numPr>
          <w:ilvl w:val="0"/>
          <w:numId w:val="0"/>
        </w:numPr>
        <w:rPr>
          <w:rFonts w:cs="Arial"/>
          <w:bCs w:val="0"/>
          <w:color w:val="000000" w:themeColor="text1"/>
          <w:lang w:val="es-CO"/>
        </w:rPr>
      </w:pPr>
      <w:r w:rsidRPr="003D20AA">
        <w:rPr>
          <w:rFonts w:cs="Arial"/>
          <w:b/>
          <w:bCs w:val="0"/>
          <w:color w:val="000000" w:themeColor="text1"/>
          <w:lang w:val="es-CO"/>
        </w:rPr>
        <w:t>Contrato de opción de compra de gas, OCG:</w:t>
      </w:r>
      <w:r w:rsidRPr="003D20AA">
        <w:rPr>
          <w:rFonts w:cs="Arial"/>
          <w:bCs w:val="0"/>
          <w:color w:val="000000" w:themeColor="text1"/>
          <w:lang w:val="es-CO"/>
        </w:rPr>
        <w:t xml:space="preserve"> </w:t>
      </w:r>
      <w:r w:rsidRPr="003D20AA">
        <w:rPr>
          <w:rFonts w:cs="Arial"/>
          <w:color w:val="000000" w:themeColor="text1"/>
          <w:lang w:val="es-CO"/>
        </w:rPr>
        <w:t xml:space="preserve">contrato escrito en el que un </w:t>
      </w:r>
      <w:r w:rsidRPr="003D20AA">
        <w:rPr>
          <w:rFonts w:cs="Arial"/>
          <w:b/>
          <w:bCs w:val="0"/>
          <w:color w:val="000000" w:themeColor="text1"/>
          <w:lang w:val="es-CO"/>
        </w:rPr>
        <w:lastRenderedPageBreak/>
        <w:t>vendedor</w:t>
      </w:r>
      <w:r w:rsidRPr="003D20AA">
        <w:rPr>
          <w:rFonts w:cs="Arial"/>
          <w:color w:val="000000" w:themeColor="text1"/>
          <w:lang w:val="es-CO"/>
        </w:rPr>
        <w:t xml:space="preserve"> garantiza el suministro de una cantidad máxima de gas natural durante un período determinado, sin interrupciones, cuando se presente la condición de probable escasez y, en hasta cinco (5) días calendario adicionales definidos a discreción del comprador</w:t>
      </w:r>
      <w:r w:rsidR="002A3156" w:rsidRPr="003D20AA">
        <w:rPr>
          <w:rFonts w:cs="Arial"/>
          <w:b/>
          <w:bCs w:val="0"/>
          <w:color w:val="000000" w:themeColor="text1"/>
          <w:lang w:val="es-CO"/>
        </w:rPr>
        <w:t xml:space="preserve"> para cada año de vigencia del contrato</w:t>
      </w:r>
      <w:r w:rsidR="00C96A71">
        <w:rPr>
          <w:rFonts w:cs="Arial"/>
          <w:b/>
          <w:bCs w:val="0"/>
          <w:color w:val="000000" w:themeColor="text1"/>
          <w:lang w:val="es-CO"/>
        </w:rPr>
        <w:t xml:space="preserve"> o en proporción a la duración del contrato cuando este tiene períodos de duración diferentes</w:t>
      </w:r>
      <w:r w:rsidRPr="0013707D">
        <w:rPr>
          <w:rFonts w:cs="Arial"/>
          <w:color w:val="000000" w:themeColor="text1"/>
          <w:lang w:val="es-CO"/>
        </w:rPr>
        <w:t xml:space="preserve">. </w:t>
      </w:r>
      <w:r w:rsidRPr="0013707D">
        <w:rPr>
          <w:rFonts w:cs="Arial"/>
          <w:bCs w:val="0"/>
          <w:color w:val="000000" w:themeColor="text1"/>
          <w:lang w:val="es-CO"/>
        </w:rPr>
        <w:t>El comprador pagará una prima por el derecho a tomar hasta la cantidad máxima de gas y un precio de suministro al momento de la entrega del gas nominado. Las cantidades nominadas deberán ser aceptadas por el vendedor al ejercicio de la opción. La prima se pagará mensualmente.</w:t>
      </w:r>
      <w:bookmarkStart w:id="4" w:name="_Hlk86758908"/>
      <w:r>
        <w:rPr>
          <w:rFonts w:cs="Arial"/>
          <w:bCs w:val="0"/>
          <w:color w:val="000000" w:themeColor="text1"/>
          <w:lang w:val="es-CO"/>
        </w:rPr>
        <w:t xml:space="preserve"> </w:t>
      </w:r>
      <w:r w:rsidRPr="0016686E">
        <w:rPr>
          <w:rFonts w:cs="Arial"/>
          <w:b/>
          <w:color w:val="000000" w:themeColor="text1"/>
          <w:lang w:val="es-CO"/>
        </w:rPr>
        <w:t xml:space="preserve">Esta modalidad contractual requiere de Respaldo Físico, de acuerdo con </w:t>
      </w:r>
      <w:r w:rsidR="00C1648C">
        <w:rPr>
          <w:rFonts w:cs="Arial"/>
          <w:b/>
          <w:color w:val="000000" w:themeColor="text1"/>
          <w:lang w:val="es-CO"/>
        </w:rPr>
        <w:t>la definición</w:t>
      </w:r>
      <w:r w:rsidRPr="0016686E">
        <w:rPr>
          <w:rFonts w:cs="Arial"/>
          <w:b/>
          <w:color w:val="000000" w:themeColor="text1"/>
          <w:lang w:val="es-CO"/>
        </w:rPr>
        <w:t xml:space="preserve"> establecida en la presente resolución</w:t>
      </w:r>
      <w:r w:rsidR="00DC4693">
        <w:rPr>
          <w:rFonts w:cs="Arial"/>
          <w:b/>
          <w:color w:val="000000" w:themeColor="text1"/>
          <w:lang w:val="es-CO"/>
        </w:rPr>
        <w:t>,</w:t>
      </w:r>
      <w:r>
        <w:rPr>
          <w:rFonts w:cs="Arial"/>
          <w:b/>
          <w:color w:val="000000" w:themeColor="text1"/>
          <w:lang w:val="es-CO"/>
        </w:rPr>
        <w:t xml:space="preserve"> </w:t>
      </w:r>
      <w:r w:rsidRPr="009D526F">
        <w:rPr>
          <w:rFonts w:cs="Arial"/>
          <w:b/>
          <w:color w:val="000000" w:themeColor="text1"/>
          <w:lang w:val="es-CO"/>
        </w:rPr>
        <w:t xml:space="preserve">y deberá estar suscrito únicamente entre los Participantes del </w:t>
      </w:r>
      <w:r>
        <w:rPr>
          <w:rFonts w:cs="Arial"/>
          <w:b/>
          <w:color w:val="000000" w:themeColor="text1"/>
          <w:lang w:val="es-CO"/>
        </w:rPr>
        <w:t>Mercado Mayorista</w:t>
      </w:r>
      <w:r w:rsidRPr="0016686E">
        <w:rPr>
          <w:rFonts w:cs="Arial"/>
          <w:b/>
          <w:color w:val="000000" w:themeColor="text1"/>
          <w:lang w:val="es-CO"/>
        </w:rPr>
        <w:t>.</w:t>
      </w:r>
      <w:bookmarkEnd w:id="4"/>
    </w:p>
    <w:p w14:paraId="0B1DCB35" w14:textId="77777777" w:rsidR="0006302B" w:rsidRPr="0013707D" w:rsidRDefault="0006302B" w:rsidP="0006302B">
      <w:pPr>
        <w:ind w:left="0"/>
        <w:jc w:val="both"/>
        <w:rPr>
          <w:rFonts w:ascii="Bookman Old Style" w:hAnsi="Bookman Old Style" w:cs="Arial"/>
          <w:color w:val="000000" w:themeColor="text1"/>
          <w:sz w:val="22"/>
          <w:lang w:val="es-CO"/>
        </w:rPr>
      </w:pPr>
    </w:p>
    <w:p w14:paraId="110977D0" w14:textId="22F297EB" w:rsidR="0006302B" w:rsidRPr="0013707D" w:rsidRDefault="0006302B" w:rsidP="0006302B">
      <w:pPr>
        <w:pStyle w:val="ARTICULOS"/>
        <w:numPr>
          <w:ilvl w:val="0"/>
          <w:numId w:val="0"/>
        </w:numPr>
        <w:rPr>
          <w:rFonts w:cs="Arial"/>
          <w:bCs w:val="0"/>
          <w:color w:val="000000" w:themeColor="text1"/>
          <w:lang w:val="es-CO"/>
        </w:rPr>
      </w:pPr>
      <w:r w:rsidRPr="0013707D">
        <w:rPr>
          <w:rFonts w:cs="Arial"/>
          <w:b/>
          <w:bCs w:val="0"/>
          <w:color w:val="000000" w:themeColor="text1"/>
          <w:lang w:val="es-CO"/>
        </w:rPr>
        <w:t>Contrato de opción de compra de gas contra exportaciones, OCGX:</w:t>
      </w:r>
      <w:r w:rsidRPr="0013707D">
        <w:rPr>
          <w:rFonts w:cs="Arial"/>
          <w:bCs w:val="0"/>
          <w:color w:val="000000" w:themeColor="text1"/>
          <w:lang w:val="es-CO"/>
        </w:rPr>
        <w:t xml:space="preserve"> </w:t>
      </w:r>
      <w:r w:rsidRPr="0013707D">
        <w:rPr>
          <w:rFonts w:cs="Arial"/>
          <w:color w:val="000000" w:themeColor="text1"/>
          <w:lang w:val="es-CO"/>
        </w:rPr>
        <w:t xml:space="preserve">contrato escrito en el que un </w:t>
      </w:r>
      <w:r w:rsidRPr="009D526F">
        <w:rPr>
          <w:rFonts w:cs="Arial"/>
          <w:b/>
          <w:bCs w:val="0"/>
          <w:color w:val="000000" w:themeColor="text1"/>
          <w:lang w:val="es-CO"/>
        </w:rPr>
        <w:t>vendedor</w:t>
      </w:r>
      <w:r w:rsidRPr="0016686E">
        <w:rPr>
          <w:rFonts w:cs="Arial"/>
          <w:color w:val="000000" w:themeColor="text1"/>
          <w:lang w:val="es-CO"/>
        </w:rPr>
        <w:t xml:space="preserve"> </w:t>
      </w:r>
      <w:r w:rsidRPr="0013707D">
        <w:rPr>
          <w:rFonts w:cs="Arial"/>
          <w:color w:val="000000" w:themeColor="text1"/>
          <w:lang w:val="es-CO"/>
        </w:rPr>
        <w:t>garantiza el suministro de una cantidad máxima de gas natural, que está comprometida para exportaciones, durante un período determinado, sin interrupciones, cuando se presente la condición de entrega pactada entre el comprador y el vendedor.</w:t>
      </w:r>
      <w:r w:rsidRPr="0013707D">
        <w:rPr>
          <w:rFonts w:cs="Arial"/>
          <w:bCs w:val="0"/>
          <w:color w:val="000000" w:themeColor="text1"/>
          <w:lang w:val="es-CO"/>
        </w:rPr>
        <w:t xml:space="preserve"> Dicha condición de entrega no podrá estar supeditada a la ocurrencia de aspectos técnicos y/u operativos. Las cantidades nominadas deberán ser aceptadas por el vendedor al ejercicio de la opción.</w:t>
      </w:r>
      <w:r>
        <w:rPr>
          <w:rFonts w:cs="Arial"/>
          <w:bCs w:val="0"/>
          <w:color w:val="000000" w:themeColor="text1"/>
          <w:lang w:val="es-CO"/>
        </w:rPr>
        <w:t xml:space="preserve"> </w:t>
      </w:r>
      <w:r w:rsidRPr="0016686E">
        <w:rPr>
          <w:rFonts w:cs="Arial"/>
          <w:b/>
          <w:color w:val="000000" w:themeColor="text1"/>
          <w:lang w:val="es-CO"/>
        </w:rPr>
        <w:t xml:space="preserve">Esta modalidad contractual requiere de Respaldo Físico, de acuerdo con la </w:t>
      </w:r>
      <w:r w:rsidR="00C1648C">
        <w:rPr>
          <w:rFonts w:cs="Arial"/>
          <w:b/>
          <w:color w:val="000000" w:themeColor="text1"/>
          <w:lang w:val="es-CO"/>
        </w:rPr>
        <w:t>definición</w:t>
      </w:r>
      <w:r w:rsidR="00C1648C" w:rsidRPr="0016686E">
        <w:rPr>
          <w:rFonts w:cs="Arial"/>
          <w:b/>
          <w:color w:val="000000" w:themeColor="text1"/>
          <w:lang w:val="es-CO"/>
        </w:rPr>
        <w:t xml:space="preserve"> </w:t>
      </w:r>
      <w:r w:rsidRPr="0016686E">
        <w:rPr>
          <w:rFonts w:cs="Arial"/>
          <w:b/>
          <w:color w:val="000000" w:themeColor="text1"/>
          <w:lang w:val="es-CO"/>
        </w:rPr>
        <w:t>establecida en la presente resolución</w:t>
      </w:r>
      <w:r w:rsidR="00DC4693">
        <w:rPr>
          <w:rFonts w:cs="Arial"/>
          <w:b/>
          <w:color w:val="000000" w:themeColor="text1"/>
          <w:lang w:val="es-CO"/>
        </w:rPr>
        <w:t>,</w:t>
      </w:r>
      <w:r>
        <w:rPr>
          <w:rFonts w:cs="Arial"/>
          <w:b/>
          <w:color w:val="000000" w:themeColor="text1"/>
          <w:lang w:val="es-CO"/>
        </w:rPr>
        <w:t xml:space="preserve"> </w:t>
      </w:r>
      <w:r w:rsidRPr="009D526F">
        <w:rPr>
          <w:rFonts w:cs="Arial"/>
          <w:b/>
          <w:color w:val="000000" w:themeColor="text1"/>
          <w:lang w:val="es-CO"/>
        </w:rPr>
        <w:t xml:space="preserve">y deberá estar suscrito únicamente entre los Participantes del </w:t>
      </w:r>
      <w:r>
        <w:rPr>
          <w:rFonts w:cs="Arial"/>
          <w:b/>
          <w:color w:val="000000" w:themeColor="text1"/>
          <w:lang w:val="es-CO"/>
        </w:rPr>
        <w:t>Mercado Mayorista</w:t>
      </w:r>
      <w:r w:rsidRPr="0016686E">
        <w:rPr>
          <w:rFonts w:cs="Arial"/>
          <w:b/>
          <w:color w:val="000000" w:themeColor="text1"/>
          <w:lang w:val="es-CO"/>
        </w:rPr>
        <w:t>.</w:t>
      </w:r>
    </w:p>
    <w:p w14:paraId="33462BF2" w14:textId="77777777" w:rsidR="0006302B" w:rsidRPr="0013707D" w:rsidRDefault="0006302B" w:rsidP="0006302B">
      <w:pPr>
        <w:pStyle w:val="ARTICULOS"/>
        <w:numPr>
          <w:ilvl w:val="0"/>
          <w:numId w:val="0"/>
        </w:numPr>
        <w:rPr>
          <w:rFonts w:cs="Arial"/>
          <w:bCs w:val="0"/>
          <w:color w:val="000000" w:themeColor="text1"/>
          <w:lang w:val="es-CO"/>
        </w:rPr>
      </w:pPr>
    </w:p>
    <w:p w14:paraId="2610C466" w14:textId="74EF6104" w:rsidR="0006302B" w:rsidRPr="0013707D" w:rsidRDefault="0006302B" w:rsidP="0006302B">
      <w:pPr>
        <w:pStyle w:val="ARTICULOS"/>
        <w:numPr>
          <w:ilvl w:val="0"/>
          <w:numId w:val="0"/>
        </w:numPr>
        <w:rPr>
          <w:rFonts w:cs="Arial"/>
          <w:bCs w:val="0"/>
          <w:color w:val="000000" w:themeColor="text1"/>
          <w:lang w:val="es-CO"/>
        </w:rPr>
      </w:pPr>
      <w:r w:rsidRPr="0013707D">
        <w:rPr>
          <w:rFonts w:cs="Arial"/>
          <w:b/>
          <w:color w:val="000000" w:themeColor="text1"/>
          <w:lang w:val="es-CO"/>
        </w:rPr>
        <w:t>Contrato de suministro con firmeza condicionada, CFC:</w:t>
      </w:r>
      <w:r w:rsidRPr="0013707D">
        <w:rPr>
          <w:rFonts w:cs="Arial"/>
          <w:color w:val="000000" w:themeColor="text1"/>
          <w:lang w:val="es-CO"/>
        </w:rPr>
        <w:t xml:space="preserve"> contrato escrito en el que un</w:t>
      </w:r>
      <w:r>
        <w:rPr>
          <w:rFonts w:cs="Arial"/>
          <w:color w:val="000000" w:themeColor="text1"/>
          <w:lang w:val="es-CO"/>
        </w:rPr>
        <w:t xml:space="preserve"> </w:t>
      </w:r>
      <w:r w:rsidRPr="006A2D1D">
        <w:rPr>
          <w:rFonts w:cs="Arial"/>
          <w:b/>
          <w:bCs w:val="0"/>
          <w:color w:val="000000" w:themeColor="text1"/>
          <w:lang w:val="es-CO"/>
        </w:rPr>
        <w:t>vendedor</w:t>
      </w:r>
      <w:r>
        <w:rPr>
          <w:rFonts w:cs="Arial"/>
          <w:color w:val="000000" w:themeColor="text1"/>
          <w:lang w:val="es-CO"/>
        </w:rPr>
        <w:t xml:space="preserve"> </w:t>
      </w:r>
      <w:r w:rsidRPr="0013707D">
        <w:rPr>
          <w:rFonts w:cs="Arial"/>
          <w:color w:val="000000" w:themeColor="text1"/>
          <w:lang w:val="es-CO"/>
        </w:rPr>
        <w:t xml:space="preserve">garantiza el suministro de </w:t>
      </w:r>
      <w:r w:rsidRPr="00D8590E">
        <w:rPr>
          <w:rFonts w:cs="Arial"/>
          <w:color w:val="000000" w:themeColor="text1"/>
          <w:lang w:val="es-CO"/>
        </w:rPr>
        <w:t>una cantidad máxima de gas natural durante un período determinado, sin interrupciones, excepto cuando se presente la condición de probable escasez y excepto en hasta cinco (5) días calendario definidos a discreción del vendedor</w:t>
      </w:r>
      <w:r w:rsidR="008A3960">
        <w:rPr>
          <w:rFonts w:cs="Arial"/>
          <w:color w:val="000000" w:themeColor="text1"/>
          <w:lang w:val="es-CO"/>
        </w:rPr>
        <w:t xml:space="preserve"> </w:t>
      </w:r>
      <w:r w:rsidR="008A3960" w:rsidRPr="003D20AA">
        <w:rPr>
          <w:rFonts w:cs="Arial"/>
          <w:b/>
          <w:bCs w:val="0"/>
          <w:color w:val="000000" w:themeColor="text1"/>
          <w:lang w:val="es-CO"/>
        </w:rPr>
        <w:t>para cada año de vigencia del contrato</w:t>
      </w:r>
      <w:r w:rsidR="008A3960">
        <w:rPr>
          <w:rFonts w:cs="Arial"/>
          <w:b/>
          <w:bCs w:val="0"/>
          <w:color w:val="000000" w:themeColor="text1"/>
          <w:lang w:val="es-CO"/>
        </w:rPr>
        <w:t xml:space="preserve"> o en proporción a la duración del contrato cuando este tiene períodos de duración diferentes</w:t>
      </w:r>
      <w:r w:rsidRPr="00D8590E">
        <w:rPr>
          <w:rFonts w:cs="Arial"/>
          <w:color w:val="000000" w:themeColor="text1"/>
          <w:lang w:val="es-CO"/>
        </w:rPr>
        <w:t xml:space="preserve">. </w:t>
      </w:r>
      <w:r w:rsidRPr="00D8590E">
        <w:rPr>
          <w:rFonts w:cs="Arial"/>
          <w:b/>
          <w:color w:val="000000" w:themeColor="text1"/>
          <w:lang w:val="es-CO"/>
        </w:rPr>
        <w:t xml:space="preserve">Esta modalidad contractual requiere de Respaldo Físico, de acuerdo con </w:t>
      </w:r>
      <w:r w:rsidR="008C3941">
        <w:rPr>
          <w:rFonts w:cs="Arial"/>
          <w:b/>
          <w:color w:val="000000" w:themeColor="text1"/>
          <w:lang w:val="es-CO"/>
        </w:rPr>
        <w:t xml:space="preserve">la definición </w:t>
      </w:r>
      <w:r w:rsidRPr="0016686E">
        <w:rPr>
          <w:rFonts w:cs="Arial"/>
          <w:b/>
          <w:color w:val="000000" w:themeColor="text1"/>
          <w:lang w:val="es-CO"/>
        </w:rPr>
        <w:t>establecida en la presente resolución</w:t>
      </w:r>
      <w:r w:rsidR="00DC4693">
        <w:rPr>
          <w:rFonts w:cs="Arial"/>
          <w:b/>
          <w:color w:val="000000" w:themeColor="text1"/>
          <w:lang w:val="es-CO"/>
        </w:rPr>
        <w:t>,</w:t>
      </w:r>
      <w:r>
        <w:rPr>
          <w:rFonts w:cs="Arial"/>
          <w:b/>
          <w:color w:val="000000" w:themeColor="text1"/>
          <w:lang w:val="es-CO"/>
        </w:rPr>
        <w:t xml:space="preserve"> </w:t>
      </w:r>
      <w:r w:rsidRPr="009D526F">
        <w:rPr>
          <w:rFonts w:cs="Arial"/>
          <w:b/>
          <w:color w:val="000000" w:themeColor="text1"/>
          <w:lang w:val="es-CO"/>
        </w:rPr>
        <w:t xml:space="preserve">y deberá estar suscrito únicamente entre los Participantes del </w:t>
      </w:r>
      <w:r>
        <w:rPr>
          <w:rFonts w:cs="Arial"/>
          <w:b/>
          <w:color w:val="000000" w:themeColor="text1"/>
          <w:lang w:val="es-CO"/>
        </w:rPr>
        <w:t>Mercado Mayorista</w:t>
      </w:r>
      <w:r w:rsidRPr="0016686E">
        <w:rPr>
          <w:rFonts w:cs="Arial"/>
          <w:b/>
          <w:color w:val="000000" w:themeColor="text1"/>
          <w:lang w:val="es-CO"/>
        </w:rPr>
        <w:t>.</w:t>
      </w:r>
    </w:p>
    <w:p w14:paraId="6C4B3C97" w14:textId="77777777" w:rsidR="0006302B" w:rsidRDefault="0006302B" w:rsidP="0006302B">
      <w:pPr>
        <w:pStyle w:val="ARTICULOS"/>
        <w:numPr>
          <w:ilvl w:val="0"/>
          <w:numId w:val="0"/>
        </w:numPr>
        <w:rPr>
          <w:b/>
          <w:color w:val="000000" w:themeColor="text1"/>
          <w:lang w:val="es-CO"/>
        </w:rPr>
      </w:pPr>
    </w:p>
    <w:p w14:paraId="1D606E42" w14:textId="4FAAE423" w:rsidR="0006302B" w:rsidRPr="0013707D" w:rsidRDefault="0006302B" w:rsidP="0006302B">
      <w:pPr>
        <w:pStyle w:val="ARTICULOS"/>
        <w:numPr>
          <w:ilvl w:val="0"/>
          <w:numId w:val="0"/>
        </w:numPr>
        <w:rPr>
          <w:rFonts w:cs="Arial"/>
          <w:bCs w:val="0"/>
          <w:color w:val="000000" w:themeColor="text1"/>
          <w:lang w:val="es-CO"/>
        </w:rPr>
      </w:pPr>
      <w:r w:rsidRPr="0013707D">
        <w:rPr>
          <w:b/>
          <w:color w:val="000000" w:themeColor="text1"/>
          <w:lang w:val="es-CO"/>
        </w:rPr>
        <w:t>Contrato de suministro de contingencia, CSC:</w:t>
      </w:r>
      <w:r w:rsidRPr="0013707D">
        <w:rPr>
          <w:color w:val="000000" w:themeColor="text1"/>
          <w:lang w:val="es-CO"/>
        </w:rPr>
        <w:t xml:space="preserve"> contrato escrito en el que un </w:t>
      </w:r>
      <w:r w:rsidRPr="006A2D1D">
        <w:rPr>
          <w:b/>
          <w:color w:val="000000" w:themeColor="text1"/>
          <w:lang w:val="es-CO"/>
        </w:rPr>
        <w:t>vendedor</w:t>
      </w:r>
      <w:r>
        <w:rPr>
          <w:bCs w:val="0"/>
          <w:color w:val="000000" w:themeColor="text1"/>
          <w:lang w:val="es-CO"/>
        </w:rPr>
        <w:t xml:space="preserve"> </w:t>
      </w:r>
      <w:r w:rsidRPr="0013707D">
        <w:rPr>
          <w:color w:val="000000" w:themeColor="text1"/>
          <w:lang w:val="es-CO"/>
        </w:rPr>
        <w:t xml:space="preserve">garantiza el suministro de una cantidad máxima de gas natural desde una fuente alterna de suministro, sin interrupciones, cuando </w:t>
      </w:r>
      <w:r w:rsidRPr="00021C41">
        <w:rPr>
          <w:b/>
          <w:color w:val="000000" w:themeColor="text1"/>
          <w:lang w:val="es-CO"/>
        </w:rPr>
        <w:t>el mismo agente</w:t>
      </w:r>
      <w:r w:rsidRPr="00D66B65">
        <w:rPr>
          <w:b/>
          <w:color w:val="000000" w:themeColor="text1"/>
          <w:lang w:val="es-CO"/>
        </w:rPr>
        <w:t xml:space="preserve"> u</w:t>
      </w:r>
      <w:r>
        <w:rPr>
          <w:color w:val="000000" w:themeColor="text1"/>
          <w:lang w:val="es-CO"/>
        </w:rPr>
        <w:t xml:space="preserve"> </w:t>
      </w:r>
      <w:r w:rsidRPr="0013707D">
        <w:rPr>
          <w:color w:val="000000" w:themeColor="text1"/>
          <w:lang w:val="es-CO"/>
        </w:rPr>
        <w:t xml:space="preserve">otro </w:t>
      </w:r>
      <w:r>
        <w:rPr>
          <w:bCs w:val="0"/>
          <w:color w:val="000000" w:themeColor="text1"/>
          <w:lang w:val="es-CO"/>
        </w:rPr>
        <w:t>P</w:t>
      </w:r>
      <w:r w:rsidRPr="00810995">
        <w:rPr>
          <w:color w:val="000000" w:themeColor="text1"/>
          <w:lang w:val="es-CO"/>
        </w:rPr>
        <w:t>articipante</w:t>
      </w:r>
      <w:r w:rsidRPr="0013707D">
        <w:rPr>
          <w:color w:val="000000" w:themeColor="text1"/>
          <w:lang w:val="es-CO"/>
        </w:rPr>
        <w:t xml:space="preserve"> del </w:t>
      </w:r>
      <w:r>
        <w:rPr>
          <w:color w:val="000000" w:themeColor="text1"/>
          <w:lang w:val="es-CO"/>
        </w:rPr>
        <w:t>M</w:t>
      </w:r>
      <w:r w:rsidRPr="0013707D">
        <w:rPr>
          <w:color w:val="000000" w:themeColor="text1"/>
          <w:lang w:val="es-CO"/>
        </w:rPr>
        <w:t>ercado que suministra gas natural se enfrenta a un evento que le impide la prestación del servicio</w:t>
      </w:r>
      <w:r>
        <w:rPr>
          <w:color w:val="000000" w:themeColor="text1"/>
          <w:lang w:val="es-CO"/>
        </w:rPr>
        <w:t xml:space="preserve"> </w:t>
      </w:r>
      <w:r w:rsidRPr="00810995">
        <w:rPr>
          <w:b/>
          <w:color w:val="000000" w:themeColor="text1"/>
          <w:lang w:val="es-CO"/>
        </w:rPr>
        <w:t>desde la</w:t>
      </w:r>
      <w:r>
        <w:rPr>
          <w:b/>
          <w:color w:val="000000" w:themeColor="text1"/>
          <w:lang w:val="es-CO"/>
        </w:rPr>
        <w:t>(s)</w:t>
      </w:r>
      <w:r w:rsidRPr="00810995">
        <w:rPr>
          <w:b/>
          <w:color w:val="000000" w:themeColor="text1"/>
          <w:lang w:val="es-CO"/>
        </w:rPr>
        <w:t xml:space="preserve"> fuente</w:t>
      </w:r>
      <w:r>
        <w:rPr>
          <w:b/>
          <w:color w:val="000000" w:themeColor="text1"/>
          <w:lang w:val="es-CO"/>
        </w:rPr>
        <w:t>(s)</w:t>
      </w:r>
      <w:r w:rsidRPr="00810995">
        <w:rPr>
          <w:b/>
          <w:color w:val="000000" w:themeColor="text1"/>
          <w:lang w:val="es-CO"/>
        </w:rPr>
        <w:t xml:space="preserve"> de suministro pactada</w:t>
      </w:r>
      <w:r>
        <w:rPr>
          <w:b/>
          <w:color w:val="000000" w:themeColor="text1"/>
          <w:lang w:val="es-CO"/>
        </w:rPr>
        <w:t>(s)</w:t>
      </w:r>
      <w:r w:rsidRPr="0013707D">
        <w:rPr>
          <w:color w:val="000000" w:themeColor="text1"/>
          <w:lang w:val="es-CO"/>
        </w:rPr>
        <w:t>. El suministro de gas natural desde la fuente alterna y mediante esta modalidad contractual sólo se realizará durante el período en que se presente el mencionado impedimento para la prestación del servicio.</w:t>
      </w:r>
      <w:r>
        <w:rPr>
          <w:bCs w:val="0"/>
          <w:color w:val="000000" w:themeColor="text1"/>
          <w:lang w:val="es-CO"/>
        </w:rPr>
        <w:t xml:space="preserve"> </w:t>
      </w:r>
      <w:r w:rsidRPr="0016686E">
        <w:rPr>
          <w:rFonts w:cs="Arial"/>
          <w:b/>
          <w:color w:val="000000" w:themeColor="text1"/>
          <w:lang w:val="es-CO"/>
        </w:rPr>
        <w:t xml:space="preserve">Esta modalidad contractual requiere de Respaldo Físico, de acuerdo con </w:t>
      </w:r>
      <w:r w:rsidR="008C3941">
        <w:rPr>
          <w:rFonts w:cs="Arial"/>
          <w:b/>
          <w:color w:val="000000" w:themeColor="text1"/>
          <w:lang w:val="es-CO"/>
        </w:rPr>
        <w:t xml:space="preserve">definición establecida </w:t>
      </w:r>
      <w:r w:rsidRPr="0016686E">
        <w:rPr>
          <w:rFonts w:cs="Arial"/>
          <w:b/>
          <w:color w:val="000000" w:themeColor="text1"/>
          <w:lang w:val="es-CO"/>
        </w:rPr>
        <w:t>en la presente resolución</w:t>
      </w:r>
      <w:r w:rsidR="00DC4693">
        <w:rPr>
          <w:rFonts w:cs="Arial"/>
          <w:b/>
          <w:color w:val="000000" w:themeColor="text1"/>
          <w:lang w:val="es-CO"/>
        </w:rPr>
        <w:t>,</w:t>
      </w:r>
      <w:r>
        <w:rPr>
          <w:rFonts w:cs="Arial"/>
          <w:b/>
          <w:color w:val="000000" w:themeColor="text1"/>
          <w:lang w:val="es-CO"/>
        </w:rPr>
        <w:t xml:space="preserve"> </w:t>
      </w:r>
      <w:r w:rsidRPr="009D526F">
        <w:rPr>
          <w:rFonts w:cs="Arial"/>
          <w:b/>
          <w:color w:val="000000" w:themeColor="text1"/>
          <w:lang w:val="es-CO"/>
        </w:rPr>
        <w:t xml:space="preserve">y deberá estar suscrito únicamente entre los Participantes del </w:t>
      </w:r>
      <w:r>
        <w:rPr>
          <w:rFonts w:cs="Arial"/>
          <w:b/>
          <w:color w:val="000000" w:themeColor="text1"/>
          <w:lang w:val="es-CO"/>
        </w:rPr>
        <w:t>Mercado Mayorista</w:t>
      </w:r>
      <w:r w:rsidRPr="0016686E">
        <w:rPr>
          <w:rFonts w:cs="Arial"/>
          <w:b/>
          <w:color w:val="000000" w:themeColor="text1"/>
          <w:lang w:val="es-CO"/>
        </w:rPr>
        <w:t>.</w:t>
      </w:r>
    </w:p>
    <w:p w14:paraId="1772A821" w14:textId="77777777" w:rsidR="0006302B" w:rsidRPr="0013707D" w:rsidRDefault="0006302B" w:rsidP="0006302B">
      <w:pPr>
        <w:ind w:left="0"/>
        <w:jc w:val="both"/>
        <w:rPr>
          <w:rFonts w:ascii="Bookman Old Style" w:hAnsi="Bookman Old Style"/>
          <w:bCs/>
          <w:color w:val="000000" w:themeColor="text1"/>
          <w:lang w:val="es-CO" w:eastAsia="x-none"/>
        </w:rPr>
      </w:pPr>
    </w:p>
    <w:p w14:paraId="24A8BEC6" w14:textId="78211818" w:rsidR="0006302B" w:rsidRPr="00A442BD" w:rsidRDefault="0006302B" w:rsidP="0006302B">
      <w:pPr>
        <w:ind w:left="0"/>
        <w:jc w:val="both"/>
        <w:rPr>
          <w:rFonts w:ascii="Bookman Old Style" w:hAnsi="Bookman Old Style" w:cs="Arial"/>
          <w:bCs/>
          <w:color w:val="000000" w:themeColor="text1"/>
          <w:lang w:val="es-CO"/>
        </w:rPr>
      </w:pPr>
      <w:r w:rsidRPr="00810995">
        <w:rPr>
          <w:rFonts w:ascii="Bookman Old Style" w:hAnsi="Bookman Old Style" w:cs="Arial"/>
          <w:b/>
          <w:color w:val="000000" w:themeColor="text1"/>
          <w:lang w:val="es-CO"/>
        </w:rPr>
        <w:t xml:space="preserve">Contrato de suministro firme al 80%, CF80: contrato escrito en el que </w:t>
      </w:r>
      <w:r>
        <w:rPr>
          <w:rFonts w:ascii="Bookman Old Style" w:hAnsi="Bookman Old Style" w:cs="Arial"/>
          <w:b/>
          <w:color w:val="000000" w:themeColor="text1"/>
          <w:lang w:val="es-CO"/>
        </w:rPr>
        <w:t xml:space="preserve">el vendedor </w:t>
      </w:r>
      <w:r w:rsidRPr="00810995">
        <w:rPr>
          <w:rFonts w:ascii="Bookman Old Style" w:hAnsi="Bookman Old Style" w:cs="Arial"/>
          <w:b/>
          <w:color w:val="000000" w:themeColor="text1"/>
          <w:lang w:val="es-CO"/>
        </w:rPr>
        <w:t>garantiza el servicio de suministro de una cantidad diaria máxima de gas natural sin interrupciones, durante un período determinado</w:t>
      </w:r>
      <w:r w:rsidR="00DC4693">
        <w:rPr>
          <w:rFonts w:ascii="Bookman Old Style" w:hAnsi="Bookman Old Style" w:cs="Arial"/>
          <w:b/>
          <w:color w:val="000000" w:themeColor="text1"/>
          <w:lang w:val="es-CO"/>
        </w:rPr>
        <w:t>,</w:t>
      </w:r>
      <w:r w:rsidRPr="00810995">
        <w:rPr>
          <w:rFonts w:ascii="Bookman Old Style" w:hAnsi="Bookman Old Style" w:cs="Arial"/>
          <w:b/>
          <w:color w:val="000000" w:themeColor="text1"/>
          <w:lang w:val="es-CO"/>
        </w:rPr>
        <w:t xml:space="preserve"> y</w:t>
      </w:r>
      <w:r>
        <w:rPr>
          <w:rFonts w:ascii="Bookman Old Style" w:hAnsi="Bookman Old Style" w:cs="Arial"/>
          <w:b/>
          <w:color w:val="000000" w:themeColor="text1"/>
          <w:lang w:val="es-CO"/>
        </w:rPr>
        <w:t xml:space="preserve"> el comprador</w:t>
      </w:r>
      <w:r w:rsidRPr="00810995">
        <w:rPr>
          <w:rFonts w:ascii="Bookman Old Style" w:hAnsi="Bookman Old Style" w:cs="Arial"/>
          <w:b/>
          <w:color w:val="000000" w:themeColor="text1"/>
          <w:lang w:val="es-CO"/>
        </w:rPr>
        <w:t xml:space="preserve"> se comprometen a pagar en la liquidación mensual</w:t>
      </w:r>
      <w:r w:rsidR="00DC4693">
        <w:rPr>
          <w:rFonts w:ascii="Bookman Old Style" w:hAnsi="Bookman Old Style" w:cs="Arial"/>
          <w:b/>
          <w:color w:val="000000" w:themeColor="text1"/>
          <w:lang w:val="es-CO"/>
        </w:rPr>
        <w:t>,</w:t>
      </w:r>
      <w:r w:rsidRPr="00810995">
        <w:rPr>
          <w:rFonts w:ascii="Bookman Old Style" w:hAnsi="Bookman Old Style" w:cs="Arial"/>
          <w:b/>
          <w:color w:val="000000" w:themeColor="text1"/>
          <w:lang w:val="es-CO"/>
        </w:rPr>
        <w:t xml:space="preserve"> como mínimo, el 80% de la cantidad contratada correspondiente al mes</w:t>
      </w:r>
      <w:r>
        <w:rPr>
          <w:rFonts w:ascii="Bookman Old Style" w:hAnsi="Bookman Old Style" w:cs="Arial"/>
          <w:b/>
          <w:color w:val="000000" w:themeColor="text1"/>
          <w:lang w:val="es-CO"/>
        </w:rPr>
        <w:t>,</w:t>
      </w:r>
      <w:r w:rsidRPr="00810995">
        <w:rPr>
          <w:rFonts w:ascii="Bookman Old Style" w:hAnsi="Bookman Old Style" w:cs="Arial"/>
          <w:b/>
          <w:color w:val="000000" w:themeColor="text1"/>
          <w:lang w:val="es-CO"/>
        </w:rPr>
        <w:t xml:space="preserve"> </w:t>
      </w:r>
      <w:r w:rsidRPr="00810995">
        <w:rPr>
          <w:rFonts w:ascii="Bookman Old Style" w:hAnsi="Bookman Old Style" w:cs="Arial"/>
          <w:b/>
          <w:color w:val="000000" w:themeColor="text1"/>
          <w:lang w:val="es-CO"/>
        </w:rPr>
        <w:lastRenderedPageBreak/>
        <w:t>independientemente de que sea consumida o no, excepto en los días establecidos para mantenimiento y labores programadas. Esta modalidad de contrato requiere contar con Respaldo Físico</w:t>
      </w:r>
      <w:r>
        <w:rPr>
          <w:rFonts w:ascii="Bookman Old Style" w:hAnsi="Bookman Old Style" w:cs="Arial"/>
          <w:b/>
          <w:color w:val="000000" w:themeColor="text1"/>
          <w:lang w:val="es-CO"/>
        </w:rPr>
        <w:t xml:space="preserve"> </w:t>
      </w:r>
      <w:r w:rsidRPr="004C0E3E">
        <w:rPr>
          <w:rFonts w:ascii="Bookman Old Style" w:hAnsi="Bookman Old Style"/>
          <w:b/>
          <w:color w:val="000000" w:themeColor="text1"/>
          <w:lang w:val="es-CO" w:eastAsia="x-none"/>
        </w:rPr>
        <w:t>de acuerdo con las condiciones establecidas en la presente Resolución</w:t>
      </w:r>
      <w:r w:rsidR="00DC4693">
        <w:rPr>
          <w:rFonts w:ascii="Bookman Old Style" w:hAnsi="Bookman Old Style"/>
          <w:b/>
          <w:color w:val="000000" w:themeColor="text1"/>
          <w:lang w:val="es-CO" w:eastAsia="x-none"/>
        </w:rPr>
        <w:t>,</w:t>
      </w:r>
      <w:r w:rsidRPr="004C0E3E">
        <w:rPr>
          <w:b/>
        </w:rPr>
        <w:t xml:space="preserve"> </w:t>
      </w:r>
      <w:r w:rsidRPr="004C0E3E">
        <w:rPr>
          <w:rFonts w:ascii="Bookman Old Style" w:hAnsi="Bookman Old Style"/>
          <w:b/>
          <w:color w:val="000000" w:themeColor="text1"/>
          <w:lang w:val="es-CO" w:eastAsia="x-none"/>
        </w:rPr>
        <w:t xml:space="preserve">y deberá estar suscrito únicamente entre los </w:t>
      </w:r>
      <w:r w:rsidR="00616C92">
        <w:rPr>
          <w:rFonts w:ascii="Bookman Old Style" w:hAnsi="Bookman Old Style"/>
          <w:b/>
          <w:color w:val="000000" w:themeColor="text1"/>
          <w:lang w:val="es-CO" w:eastAsia="x-none"/>
        </w:rPr>
        <w:t>Participante</w:t>
      </w:r>
      <w:r w:rsidRPr="004C0E3E">
        <w:rPr>
          <w:rFonts w:ascii="Bookman Old Style" w:hAnsi="Bookman Old Style"/>
          <w:b/>
          <w:color w:val="000000" w:themeColor="text1"/>
          <w:lang w:val="es-CO" w:eastAsia="x-none"/>
        </w:rPr>
        <w:t xml:space="preserve">s del </w:t>
      </w:r>
      <w:r>
        <w:rPr>
          <w:rFonts w:ascii="Bookman Old Style" w:hAnsi="Bookman Old Style"/>
          <w:b/>
          <w:color w:val="000000" w:themeColor="text1"/>
          <w:lang w:val="es-CO" w:eastAsia="x-none"/>
        </w:rPr>
        <w:t>Mercado Mayorista</w:t>
      </w:r>
      <w:r w:rsidRPr="00810995">
        <w:rPr>
          <w:rFonts w:ascii="Bookman Old Style" w:hAnsi="Bookman Old Style" w:cs="Arial"/>
          <w:b/>
          <w:color w:val="000000" w:themeColor="text1"/>
          <w:lang w:val="es-CO"/>
        </w:rPr>
        <w:t>.</w:t>
      </w:r>
    </w:p>
    <w:p w14:paraId="78AB8206" w14:textId="77777777" w:rsidR="0006302B" w:rsidRDefault="0006302B" w:rsidP="0006302B">
      <w:pPr>
        <w:ind w:left="0"/>
        <w:jc w:val="both"/>
        <w:rPr>
          <w:rFonts w:ascii="Bookman Old Style" w:hAnsi="Bookman Old Style" w:cs="Arial"/>
          <w:b/>
          <w:color w:val="000000" w:themeColor="text1"/>
          <w:lang w:val="es-CO"/>
        </w:rPr>
      </w:pPr>
    </w:p>
    <w:p w14:paraId="66A8270C" w14:textId="0FEE3A50"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cs="Arial"/>
          <w:b/>
          <w:color w:val="000000" w:themeColor="text1"/>
          <w:lang w:val="es-CO"/>
        </w:rPr>
        <w:t>Contrato de suministro firme al 95%, CF95:</w:t>
      </w:r>
      <w:r w:rsidRPr="0013707D">
        <w:rPr>
          <w:rFonts w:ascii="Bookman Old Style" w:hAnsi="Bookman Old Style" w:cs="Arial"/>
          <w:color w:val="000000" w:themeColor="text1"/>
          <w:lang w:val="es-CO"/>
        </w:rPr>
        <w:t xml:space="preserve"> contrato escrito</w:t>
      </w:r>
      <w:r>
        <w:rPr>
          <w:rFonts w:ascii="Bookman Old Style" w:hAnsi="Bookman Old Style" w:cs="Arial"/>
          <w:color w:val="000000" w:themeColor="text1"/>
          <w:lang w:val="es-CO"/>
        </w:rPr>
        <w:t xml:space="preserve"> en el que el vendedor </w:t>
      </w:r>
      <w:r w:rsidRPr="0013707D">
        <w:rPr>
          <w:rFonts w:ascii="Bookman Old Style" w:hAnsi="Bookman Old Style" w:cs="Arial"/>
          <w:color w:val="000000" w:themeColor="text1"/>
          <w:lang w:val="es-CO"/>
        </w:rPr>
        <w:t>garantiza el servicio de suministro de una cantidad diaria máxima de gas natural sin interrupciones, durante un período determinado, y</w:t>
      </w:r>
      <w:r>
        <w:rPr>
          <w:rFonts w:ascii="Bookman Old Style" w:hAnsi="Bookman Old Style" w:cs="Arial"/>
          <w:color w:val="000000" w:themeColor="text1"/>
          <w:lang w:val="es-CO"/>
        </w:rPr>
        <w:t xml:space="preserve"> el comprador </w:t>
      </w:r>
      <w:r w:rsidRPr="0013707D">
        <w:rPr>
          <w:rFonts w:ascii="Bookman Old Style" w:hAnsi="Bookman Old Style" w:cs="Arial"/>
          <w:color w:val="000000" w:themeColor="text1"/>
          <w:lang w:val="es-CO"/>
        </w:rPr>
        <w:t>se compromete a pagar en la liquidación mensual</w:t>
      </w:r>
      <w:r w:rsidR="00DC4693">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mínimo el 95% de la cantidad contratada correspondiente al mes, independientemente de que sea consumida o no, excepto en los días establecidos para mantenimiento y labores programadas. Esta modalidad de contrato requiere de </w:t>
      </w:r>
      <w:r>
        <w:rPr>
          <w:rFonts w:ascii="Bookman Old Style" w:hAnsi="Bookman Old Style" w:cs="Arial"/>
          <w:color w:val="000000" w:themeColor="text1"/>
          <w:lang w:val="es-CO"/>
        </w:rPr>
        <w:t>R</w:t>
      </w:r>
      <w:r w:rsidRPr="0013707D">
        <w:rPr>
          <w:rFonts w:ascii="Bookman Old Style" w:hAnsi="Bookman Old Style" w:cs="Arial"/>
          <w:color w:val="000000" w:themeColor="text1"/>
          <w:lang w:val="es-CO"/>
        </w:rPr>
        <w:t xml:space="preserve">espaldo </w:t>
      </w:r>
      <w:r>
        <w:rPr>
          <w:rFonts w:ascii="Bookman Old Style" w:hAnsi="Bookman Old Style" w:cs="Arial"/>
          <w:color w:val="000000" w:themeColor="text1"/>
          <w:lang w:val="es-CO"/>
        </w:rPr>
        <w:t>F</w:t>
      </w:r>
      <w:r w:rsidRPr="0013707D">
        <w:rPr>
          <w:rFonts w:ascii="Bookman Old Style" w:hAnsi="Bookman Old Style" w:cs="Arial"/>
          <w:color w:val="000000" w:themeColor="text1"/>
          <w:lang w:val="es-CO"/>
        </w:rPr>
        <w:t>ísico</w:t>
      </w:r>
      <w:r>
        <w:rPr>
          <w:rFonts w:ascii="Bookman Old Style" w:hAnsi="Bookman Old Style" w:cs="Arial"/>
          <w:color w:val="000000" w:themeColor="text1"/>
          <w:lang w:val="es-CO"/>
        </w:rPr>
        <w:t xml:space="preserve"> </w:t>
      </w:r>
      <w:r w:rsidRPr="004C0E3E">
        <w:rPr>
          <w:rFonts w:ascii="Bookman Old Style" w:hAnsi="Bookman Old Style"/>
          <w:b/>
          <w:color w:val="000000" w:themeColor="text1"/>
          <w:lang w:val="es-CO" w:eastAsia="x-none"/>
        </w:rPr>
        <w:t>de acuerdo con las condiciones establecidas en la presente Resolución</w:t>
      </w:r>
      <w:r w:rsidR="00DC4693">
        <w:rPr>
          <w:rFonts w:ascii="Bookman Old Style" w:hAnsi="Bookman Old Style"/>
          <w:b/>
          <w:color w:val="000000" w:themeColor="text1"/>
          <w:lang w:val="es-CO" w:eastAsia="x-none"/>
        </w:rPr>
        <w:t>,</w:t>
      </w:r>
      <w:r w:rsidRPr="004C0E3E">
        <w:rPr>
          <w:b/>
        </w:rPr>
        <w:t xml:space="preserve"> </w:t>
      </w:r>
      <w:r w:rsidRPr="004C0E3E">
        <w:rPr>
          <w:rFonts w:ascii="Bookman Old Style" w:hAnsi="Bookman Old Style"/>
          <w:b/>
          <w:color w:val="000000" w:themeColor="text1"/>
          <w:lang w:val="es-CO" w:eastAsia="x-none"/>
        </w:rPr>
        <w:t xml:space="preserve">y deberá estar suscrito únicamente entre los </w:t>
      </w:r>
      <w:r>
        <w:rPr>
          <w:rFonts w:ascii="Bookman Old Style" w:hAnsi="Bookman Old Style"/>
          <w:b/>
          <w:color w:val="000000" w:themeColor="text1"/>
          <w:lang w:val="es-CO" w:eastAsia="x-none"/>
        </w:rPr>
        <w:t xml:space="preserve">Participantes </w:t>
      </w:r>
      <w:r w:rsidRPr="004C0E3E">
        <w:rPr>
          <w:rFonts w:ascii="Bookman Old Style" w:hAnsi="Bookman Old Style"/>
          <w:b/>
          <w:color w:val="000000" w:themeColor="text1"/>
          <w:lang w:val="es-CO" w:eastAsia="x-none"/>
        </w:rPr>
        <w:t xml:space="preserve">del </w:t>
      </w:r>
      <w:r>
        <w:rPr>
          <w:rFonts w:ascii="Bookman Old Style" w:hAnsi="Bookman Old Style"/>
          <w:b/>
          <w:color w:val="000000" w:themeColor="text1"/>
          <w:lang w:val="es-CO" w:eastAsia="x-none"/>
        </w:rPr>
        <w:t>Mercado Mayorista</w:t>
      </w:r>
      <w:r w:rsidRPr="0013707D">
        <w:rPr>
          <w:rFonts w:ascii="Bookman Old Style" w:hAnsi="Bookman Old Style" w:cs="Arial"/>
          <w:color w:val="000000" w:themeColor="text1"/>
          <w:lang w:val="es-CO"/>
        </w:rPr>
        <w:t>.</w:t>
      </w:r>
    </w:p>
    <w:p w14:paraId="5BEEF5C3" w14:textId="77777777" w:rsidR="0006302B" w:rsidRPr="0013707D" w:rsidRDefault="0006302B" w:rsidP="0006302B">
      <w:pPr>
        <w:ind w:left="0"/>
        <w:jc w:val="both"/>
        <w:rPr>
          <w:rFonts w:ascii="Bookman Old Style" w:hAnsi="Bookman Old Style"/>
          <w:bCs/>
          <w:color w:val="000000" w:themeColor="text1"/>
          <w:lang w:val="es-CO" w:eastAsia="x-none"/>
        </w:rPr>
      </w:pPr>
    </w:p>
    <w:p w14:paraId="79572416" w14:textId="4E6AF3A6" w:rsidR="0006302B"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Contrato firme o que garantiza firmeza, CF:</w:t>
      </w:r>
      <w:r w:rsidRPr="0013707D">
        <w:rPr>
          <w:rFonts w:ascii="Bookman Old Style" w:hAnsi="Bookman Old Style" w:cs="Arial"/>
          <w:color w:val="000000" w:themeColor="text1"/>
          <w:lang w:val="es-CO"/>
        </w:rPr>
        <w:t xml:space="preserve"> contrato escrito en el que un </w:t>
      </w:r>
      <w:r w:rsidRPr="00FC5073">
        <w:rPr>
          <w:rFonts w:ascii="Bookman Old Style" w:hAnsi="Bookman Old Style" w:cs="Arial"/>
          <w:b/>
          <w:bCs/>
          <w:color w:val="000000" w:themeColor="text1"/>
          <w:lang w:val="es-CO"/>
        </w:rPr>
        <w:t>vendedor</w:t>
      </w:r>
      <w:r w:rsidRPr="0013707D">
        <w:rPr>
          <w:rFonts w:ascii="Bookman Old Style" w:hAnsi="Bookman Old Style" w:cs="Arial"/>
          <w:color w:val="000000" w:themeColor="text1"/>
          <w:lang w:val="es-CO"/>
        </w:rPr>
        <w:t xml:space="preserve"> garantiza el servicio de suministro de una cantidad máxima de gas natural, sin interrupciones, durante un período determinado, excepto en los días establecidos para mantenimiento y labores </w:t>
      </w:r>
      <w:r w:rsidRPr="00D8590E">
        <w:rPr>
          <w:rFonts w:ascii="Bookman Old Style" w:hAnsi="Bookman Old Style" w:cs="Arial"/>
          <w:color w:val="000000" w:themeColor="text1"/>
          <w:lang w:val="es-CO"/>
        </w:rPr>
        <w:t>programadas. Esta modalidad de contrato requiere de Respaldo Físico</w:t>
      </w:r>
      <w:r w:rsidR="00190793" w:rsidRPr="00D8590E">
        <w:rPr>
          <w:rFonts w:ascii="Bookman Old Style" w:hAnsi="Bookman Old Style" w:cs="Arial"/>
          <w:color w:val="000000" w:themeColor="text1"/>
          <w:lang w:val="es-CO"/>
        </w:rPr>
        <w:t xml:space="preserve"> en los términos de la presente resolución</w:t>
      </w:r>
      <w:r w:rsidRPr="00D8590E">
        <w:rPr>
          <w:rFonts w:ascii="Bookman Old Style" w:hAnsi="Bookman Old Style" w:cs="Arial"/>
          <w:color w:val="000000" w:themeColor="text1"/>
          <w:lang w:val="es-CO"/>
        </w:rPr>
        <w:t>.</w:t>
      </w:r>
    </w:p>
    <w:p w14:paraId="1F104F90" w14:textId="77777777" w:rsidR="0006302B" w:rsidRDefault="0006302B" w:rsidP="0006302B">
      <w:pPr>
        <w:ind w:left="0"/>
        <w:jc w:val="both"/>
        <w:rPr>
          <w:rFonts w:ascii="Bookman Old Style" w:hAnsi="Bookman Old Style" w:cs="Arial"/>
          <w:color w:val="000000" w:themeColor="text1"/>
          <w:lang w:val="es-CO"/>
        </w:rPr>
      </w:pPr>
    </w:p>
    <w:p w14:paraId="4FC90C9F" w14:textId="0EE15E18" w:rsidR="0006302B" w:rsidRPr="00062B87" w:rsidRDefault="0006302B" w:rsidP="0006302B">
      <w:pPr>
        <w:ind w:left="0"/>
        <w:jc w:val="both"/>
        <w:rPr>
          <w:rFonts w:ascii="Bookman Old Style" w:hAnsi="Bookman Old Style" w:cs="Arial"/>
          <w:b/>
          <w:bCs/>
          <w:color w:val="000000" w:themeColor="text1"/>
          <w:lang w:val="es-CO"/>
        </w:rPr>
      </w:pPr>
      <w:r>
        <w:rPr>
          <w:rFonts w:ascii="Bookman Old Style" w:hAnsi="Bookman Old Style" w:cs="Arial"/>
          <w:b/>
          <w:bCs/>
          <w:color w:val="000000" w:themeColor="text1"/>
          <w:lang w:val="es-CO"/>
        </w:rPr>
        <w:t xml:space="preserve">Demanda Esencial: </w:t>
      </w:r>
      <w:r w:rsidR="00190793">
        <w:rPr>
          <w:rFonts w:ascii="Bookman Old Style" w:hAnsi="Bookman Old Style" w:cs="Arial"/>
          <w:b/>
          <w:bCs/>
          <w:color w:val="000000" w:themeColor="text1"/>
          <w:lang w:val="es-CO"/>
        </w:rPr>
        <w:t xml:space="preserve">de acuerdo con lo dispuesto en el </w:t>
      </w:r>
      <w:r w:rsidR="00CC77F1">
        <w:rPr>
          <w:rFonts w:ascii="Bookman Old Style" w:hAnsi="Bookman Old Style" w:cs="Arial"/>
          <w:b/>
          <w:bCs/>
          <w:color w:val="000000" w:themeColor="text1"/>
          <w:lang w:val="es-CO"/>
        </w:rPr>
        <w:t>a</w:t>
      </w:r>
      <w:r w:rsidR="00190793">
        <w:rPr>
          <w:rFonts w:ascii="Bookman Old Style" w:hAnsi="Bookman Old Style" w:cs="Arial"/>
          <w:b/>
          <w:bCs/>
          <w:color w:val="000000" w:themeColor="text1"/>
          <w:lang w:val="es-CO"/>
        </w:rPr>
        <w:t xml:space="preserve">rtículo 2.2.2.1.4. del </w:t>
      </w:r>
      <w:r w:rsidR="00CC77F1">
        <w:rPr>
          <w:rFonts w:ascii="Bookman Old Style" w:hAnsi="Bookman Old Style" w:cs="Arial"/>
          <w:b/>
          <w:bCs/>
          <w:color w:val="000000" w:themeColor="text1"/>
          <w:lang w:val="es-CO"/>
        </w:rPr>
        <w:t>D</w:t>
      </w:r>
      <w:r w:rsidR="00190793">
        <w:rPr>
          <w:rFonts w:ascii="Bookman Old Style" w:hAnsi="Bookman Old Style" w:cs="Arial"/>
          <w:b/>
          <w:bCs/>
          <w:color w:val="000000" w:themeColor="text1"/>
          <w:lang w:val="es-CO"/>
        </w:rPr>
        <w:t xml:space="preserve">ecreto 1073 de 2015 o aquel que lo modifique, adicione o sustituya </w:t>
      </w:r>
      <w:r>
        <w:rPr>
          <w:rFonts w:ascii="Bookman Old Style" w:hAnsi="Bookman Old Style" w:cs="Arial"/>
          <w:b/>
          <w:bCs/>
          <w:color w:val="000000" w:themeColor="text1"/>
          <w:lang w:val="es-CO"/>
        </w:rPr>
        <w:t>c</w:t>
      </w:r>
      <w:r w:rsidRPr="009C18DF">
        <w:rPr>
          <w:rFonts w:ascii="Bookman Old Style" w:hAnsi="Bookman Old Style" w:cs="Arial"/>
          <w:b/>
          <w:bCs/>
          <w:color w:val="000000" w:themeColor="text1"/>
          <w:lang w:val="es-CO"/>
        </w:rPr>
        <w:t>orresponde a</w:t>
      </w:r>
      <w:r w:rsidR="00107A17">
        <w:rPr>
          <w:rFonts w:ascii="Bookman Old Style" w:hAnsi="Bookman Old Style" w:cs="Arial"/>
          <w:b/>
          <w:bCs/>
          <w:color w:val="000000" w:themeColor="text1"/>
          <w:lang w:val="es-CO"/>
        </w:rPr>
        <w:t>:</w:t>
      </w:r>
      <w:r w:rsidRPr="009C18DF">
        <w:rPr>
          <w:rFonts w:ascii="Bookman Old Style" w:hAnsi="Bookman Old Style" w:cs="Arial"/>
          <w:b/>
          <w:bCs/>
          <w:color w:val="000000" w:themeColor="text1"/>
          <w:lang w:val="es-CO"/>
        </w:rPr>
        <w:t xml:space="preserve"> i) la demanda de gas natural para la operación de las estaciones de compresión del SNT</w:t>
      </w:r>
      <w:r w:rsidR="00107A17">
        <w:rPr>
          <w:rFonts w:ascii="Bookman Old Style" w:hAnsi="Bookman Old Style" w:cs="Arial"/>
          <w:b/>
          <w:bCs/>
          <w:color w:val="000000" w:themeColor="text1"/>
          <w:lang w:val="es-CO"/>
        </w:rPr>
        <w:t>;</w:t>
      </w:r>
      <w:r w:rsidRPr="009C18DF">
        <w:rPr>
          <w:rFonts w:ascii="Bookman Old Style" w:hAnsi="Bookman Old Style" w:cs="Arial"/>
          <w:b/>
          <w:bCs/>
          <w:color w:val="000000" w:themeColor="text1"/>
          <w:lang w:val="es-CO"/>
        </w:rPr>
        <w:t xml:space="preserve"> ii) la demanda de gas natural de usuarios residenciales y pequeños usuarios comerciales inmersos en la red de distribución</w:t>
      </w:r>
      <w:r w:rsidR="00107A17">
        <w:rPr>
          <w:rFonts w:ascii="Bookman Old Style" w:hAnsi="Bookman Old Style" w:cs="Arial"/>
          <w:b/>
          <w:bCs/>
          <w:color w:val="000000" w:themeColor="text1"/>
          <w:lang w:val="es-CO"/>
        </w:rPr>
        <w:t>;</w:t>
      </w:r>
      <w:r w:rsidRPr="009C18DF">
        <w:rPr>
          <w:rFonts w:ascii="Bookman Old Style" w:hAnsi="Bookman Old Style" w:cs="Arial"/>
          <w:b/>
          <w:bCs/>
          <w:color w:val="000000" w:themeColor="text1"/>
          <w:lang w:val="es-CO"/>
        </w:rPr>
        <w:t xml:space="preserve"> iii) la demanda de GNCV</w:t>
      </w:r>
      <w:r w:rsidR="00107A17">
        <w:rPr>
          <w:rFonts w:ascii="Bookman Old Style" w:hAnsi="Bookman Old Style" w:cs="Arial"/>
          <w:b/>
          <w:bCs/>
          <w:color w:val="000000" w:themeColor="text1"/>
          <w:lang w:val="es-CO"/>
        </w:rPr>
        <w:t>;</w:t>
      </w:r>
      <w:r w:rsidRPr="009C18DF">
        <w:rPr>
          <w:rFonts w:ascii="Bookman Old Style" w:hAnsi="Bookman Old Style" w:cs="Arial"/>
          <w:b/>
          <w:bCs/>
          <w:color w:val="000000" w:themeColor="text1"/>
          <w:lang w:val="es-CO"/>
        </w:rPr>
        <w:t xml:space="preserve"> y</w:t>
      </w:r>
      <w:r w:rsidR="00107A17">
        <w:rPr>
          <w:rFonts w:ascii="Bookman Old Style" w:hAnsi="Bookman Old Style" w:cs="Arial"/>
          <w:b/>
          <w:bCs/>
          <w:color w:val="000000" w:themeColor="text1"/>
          <w:lang w:val="es-CO"/>
        </w:rPr>
        <w:t>,</w:t>
      </w:r>
      <w:r w:rsidRPr="009C18DF">
        <w:rPr>
          <w:rFonts w:ascii="Bookman Old Style" w:hAnsi="Bookman Old Style" w:cs="Arial"/>
          <w:b/>
          <w:bCs/>
          <w:color w:val="000000" w:themeColor="text1"/>
          <w:lang w:val="es-CO"/>
        </w:rPr>
        <w:t xml:space="preserve"> iv) la demanda de gas natural de las refinerías, excluyendo aquella con destino a autogeneración de energía eléctrica que pueda ser reemplazada con energía del </w:t>
      </w:r>
      <w:r w:rsidR="00107A17">
        <w:rPr>
          <w:rFonts w:ascii="Bookman Old Style" w:hAnsi="Bookman Old Style" w:cs="Arial"/>
          <w:b/>
          <w:bCs/>
          <w:color w:val="000000" w:themeColor="text1"/>
          <w:lang w:val="es-CO"/>
        </w:rPr>
        <w:t>S</w:t>
      </w:r>
      <w:r w:rsidRPr="009C18DF">
        <w:rPr>
          <w:rFonts w:ascii="Bookman Old Style" w:hAnsi="Bookman Old Style" w:cs="Arial"/>
          <w:b/>
          <w:bCs/>
          <w:color w:val="000000" w:themeColor="text1"/>
          <w:lang w:val="es-CO"/>
        </w:rPr>
        <w:t xml:space="preserve">istema </w:t>
      </w:r>
      <w:r w:rsidR="00107A17">
        <w:rPr>
          <w:rFonts w:ascii="Bookman Old Style" w:hAnsi="Bookman Old Style" w:cs="Arial"/>
          <w:b/>
          <w:bCs/>
          <w:color w:val="000000" w:themeColor="text1"/>
          <w:lang w:val="es-CO"/>
        </w:rPr>
        <w:t>I</w:t>
      </w:r>
      <w:r w:rsidRPr="009C18DF">
        <w:rPr>
          <w:rFonts w:ascii="Bookman Old Style" w:hAnsi="Bookman Old Style" w:cs="Arial"/>
          <w:b/>
          <w:bCs/>
          <w:color w:val="000000" w:themeColor="text1"/>
          <w:lang w:val="es-CO"/>
        </w:rPr>
        <w:t xml:space="preserve">nterconectado </w:t>
      </w:r>
      <w:r w:rsidR="00107A17">
        <w:rPr>
          <w:rFonts w:ascii="Bookman Old Style" w:hAnsi="Bookman Old Style" w:cs="Arial"/>
          <w:b/>
          <w:bCs/>
          <w:color w:val="000000" w:themeColor="text1"/>
          <w:lang w:val="es-CO"/>
        </w:rPr>
        <w:t>N</w:t>
      </w:r>
      <w:r w:rsidRPr="009C18DF">
        <w:rPr>
          <w:rFonts w:ascii="Bookman Old Style" w:hAnsi="Bookman Old Style" w:cs="Arial"/>
          <w:b/>
          <w:bCs/>
          <w:color w:val="000000" w:themeColor="text1"/>
          <w:lang w:val="es-CO"/>
        </w:rPr>
        <w:t>acional</w:t>
      </w:r>
      <w:r w:rsidR="00190793">
        <w:rPr>
          <w:rFonts w:ascii="Bookman Old Style" w:hAnsi="Bookman Old Style" w:cs="Arial"/>
          <w:b/>
          <w:bCs/>
          <w:color w:val="000000" w:themeColor="text1"/>
          <w:lang w:val="es-CO"/>
        </w:rPr>
        <w:t>.</w:t>
      </w:r>
    </w:p>
    <w:p w14:paraId="6EF60A46" w14:textId="77777777" w:rsidR="0006302B" w:rsidRPr="0013707D" w:rsidRDefault="0006302B" w:rsidP="0006302B">
      <w:pPr>
        <w:ind w:left="0"/>
        <w:jc w:val="both"/>
        <w:rPr>
          <w:rFonts w:ascii="Bookman Old Style" w:hAnsi="Bookman Old Style"/>
          <w:bCs/>
          <w:color w:val="000000" w:themeColor="text1"/>
          <w:sz w:val="22"/>
          <w:lang w:val="es-CO" w:eastAsia="x-none"/>
        </w:rPr>
      </w:pPr>
    </w:p>
    <w:p w14:paraId="640704F9" w14:textId="09D565A0"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Día D-1:</w:t>
      </w:r>
      <w:r w:rsidRPr="0013707D">
        <w:rPr>
          <w:rFonts w:ascii="Bookman Old Style" w:hAnsi="Bookman Old Style" w:cs="Arial"/>
          <w:color w:val="000000" w:themeColor="text1"/>
          <w:lang w:val="es-CO"/>
        </w:rPr>
        <w:t xml:space="preserve"> día oficial de la República de Colombia</w:t>
      </w:r>
      <w:r w:rsidR="00107A17">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que va desde las 00:00 hasta las 24:00 horas del día calendario anterior al día de gas.</w:t>
      </w:r>
    </w:p>
    <w:p w14:paraId="7C56C0FC" w14:textId="77777777" w:rsidR="0006302B" w:rsidRPr="0013707D" w:rsidRDefault="0006302B" w:rsidP="0006302B">
      <w:pPr>
        <w:ind w:left="0"/>
        <w:jc w:val="both"/>
        <w:rPr>
          <w:rFonts w:ascii="Bookman Old Style" w:hAnsi="Bookman Old Style" w:cs="Arial"/>
          <w:b/>
          <w:color w:val="000000" w:themeColor="text1"/>
          <w:sz w:val="22"/>
          <w:lang w:val="es-CO"/>
        </w:rPr>
      </w:pPr>
    </w:p>
    <w:p w14:paraId="27367F68" w14:textId="5AA871DB"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Día D-2</w:t>
      </w:r>
      <w:r w:rsidRPr="0013707D">
        <w:rPr>
          <w:rFonts w:ascii="Bookman Old Style" w:hAnsi="Bookman Old Style" w:cs="Arial"/>
          <w:color w:val="000000" w:themeColor="text1"/>
          <w:lang w:val="es-CO"/>
        </w:rPr>
        <w:t>: día oficial de la República de Colombia</w:t>
      </w:r>
      <w:r w:rsidR="00107A17">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que va desde las 00:00 hasta las 24:00 horas del día calendario anterior al día D-1.</w:t>
      </w:r>
    </w:p>
    <w:p w14:paraId="70C275FF" w14:textId="77777777" w:rsidR="0006302B" w:rsidRPr="0013707D" w:rsidRDefault="0006302B" w:rsidP="0006302B">
      <w:pPr>
        <w:ind w:left="0"/>
        <w:jc w:val="both"/>
        <w:rPr>
          <w:rFonts w:ascii="Bookman Old Style" w:hAnsi="Bookman Old Style" w:cs="Arial"/>
          <w:color w:val="000000" w:themeColor="text1"/>
          <w:sz w:val="22"/>
          <w:lang w:val="es-CO"/>
        </w:rPr>
      </w:pPr>
    </w:p>
    <w:p w14:paraId="6F35A0D5" w14:textId="0B24CA62"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Día D+1</w:t>
      </w:r>
      <w:r w:rsidRPr="0013707D">
        <w:rPr>
          <w:rFonts w:ascii="Bookman Old Style" w:hAnsi="Bookman Old Style" w:cs="Arial"/>
          <w:color w:val="000000" w:themeColor="text1"/>
          <w:lang w:val="es-CO"/>
        </w:rPr>
        <w:t>: día oficial de la República de Colombia</w:t>
      </w:r>
      <w:r w:rsidR="00107A17">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que va desde las 00:00 hasta las 24:00 horas del día calendario posterior al día de gas.</w:t>
      </w:r>
    </w:p>
    <w:p w14:paraId="77680C7A" w14:textId="77777777" w:rsidR="0006302B" w:rsidRPr="0013707D" w:rsidRDefault="0006302B" w:rsidP="0006302B">
      <w:pPr>
        <w:ind w:left="0"/>
        <w:jc w:val="both"/>
        <w:rPr>
          <w:rFonts w:ascii="Bookman Old Style" w:hAnsi="Bookman Old Style" w:cs="Arial"/>
          <w:color w:val="000000" w:themeColor="text1"/>
          <w:lang w:val="es-CO"/>
        </w:rPr>
      </w:pPr>
    </w:p>
    <w:p w14:paraId="6DB3A352" w14:textId="1D74D3B1"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Día D+2</w:t>
      </w:r>
      <w:r w:rsidRPr="0013707D">
        <w:rPr>
          <w:rFonts w:ascii="Bookman Old Style" w:hAnsi="Bookman Old Style" w:cs="Arial"/>
          <w:color w:val="000000" w:themeColor="text1"/>
          <w:lang w:val="es-CO"/>
        </w:rPr>
        <w:t>: día oficial de la República de Colombia</w:t>
      </w:r>
      <w:r w:rsidR="00107A17">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que va desde las 00:00 hasta las 24:00 horas del día calendario posterior al día D+1.</w:t>
      </w:r>
    </w:p>
    <w:p w14:paraId="1F8D7C7F" w14:textId="77777777" w:rsidR="0006302B" w:rsidRPr="0013707D" w:rsidRDefault="0006302B" w:rsidP="0006302B">
      <w:pPr>
        <w:ind w:left="0"/>
        <w:jc w:val="both"/>
        <w:rPr>
          <w:rFonts w:ascii="Bookman Old Style" w:hAnsi="Bookman Old Style" w:cs="Arial"/>
          <w:color w:val="000000" w:themeColor="text1"/>
          <w:lang w:val="es-CO"/>
        </w:rPr>
      </w:pPr>
    </w:p>
    <w:p w14:paraId="11EDE9C8" w14:textId="25E9E8B9"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Día de gas:</w:t>
      </w:r>
      <w:r w:rsidRPr="0013707D">
        <w:rPr>
          <w:rFonts w:cs="Arial"/>
          <w:color w:val="000000" w:themeColor="text1"/>
          <w:lang w:val="es-CO"/>
        </w:rPr>
        <w:t xml:space="preserve"> día oficial de la República de Colombia</w:t>
      </w:r>
      <w:r w:rsidR="00107A17">
        <w:rPr>
          <w:rFonts w:cs="Arial"/>
          <w:color w:val="000000" w:themeColor="text1"/>
          <w:lang w:val="es-CO"/>
        </w:rPr>
        <w:t>,</w:t>
      </w:r>
      <w:r w:rsidRPr="0013707D">
        <w:rPr>
          <w:rFonts w:cs="Arial"/>
          <w:color w:val="000000" w:themeColor="text1"/>
          <w:lang w:val="es-CO"/>
        </w:rPr>
        <w:t xml:space="preserve"> que va desde las 00:00 hasta las 24:00 horas, durante el cual se efectúa el suministro y el transporte de gas.</w:t>
      </w:r>
    </w:p>
    <w:p w14:paraId="6F2E68BB" w14:textId="77777777" w:rsidR="0006302B" w:rsidRPr="0013707D" w:rsidRDefault="0006302B" w:rsidP="0006302B">
      <w:pPr>
        <w:pStyle w:val="ARTICULOS"/>
        <w:numPr>
          <w:ilvl w:val="0"/>
          <w:numId w:val="0"/>
        </w:numPr>
        <w:rPr>
          <w:rFonts w:cs="Arial"/>
          <w:color w:val="000000" w:themeColor="text1"/>
          <w:sz w:val="22"/>
          <w:lang w:val="es-CO"/>
        </w:rPr>
      </w:pPr>
    </w:p>
    <w:p w14:paraId="6274CE49" w14:textId="1991B642"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b/>
          <w:color w:val="000000" w:themeColor="text1"/>
          <w:lang w:val="es-CO"/>
        </w:rPr>
        <w:t>Eventos de fuerza mayor, caso fortuito o causa extraña:</w:t>
      </w:r>
      <w:r w:rsidRPr="0013707D">
        <w:rPr>
          <w:rFonts w:ascii="Bookman Old Style" w:hAnsi="Bookman Old Style" w:cs="Arial"/>
          <w:color w:val="000000" w:themeColor="text1"/>
          <w:lang w:val="es-CO"/>
        </w:rPr>
        <w:t xml:space="preserve"> eventos que</w:t>
      </w:r>
      <w:r w:rsidR="00107A17">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de acuerdo con los artículos 64 del Código Civil y 992 del Código de Comercio, o aquellos que los modifiquen o sustituyan, eximen de la responsabilidad por incumplimiento parcial o total de obligaciones contractuales, si el mismo se </w:t>
      </w:r>
      <w:r w:rsidRPr="0013707D">
        <w:rPr>
          <w:rFonts w:ascii="Bookman Old Style" w:hAnsi="Bookman Old Style" w:cs="Arial"/>
          <w:color w:val="000000" w:themeColor="text1"/>
          <w:lang w:val="es-CO"/>
        </w:rPr>
        <w:lastRenderedPageBreak/>
        <w:t xml:space="preserve">deriva de ellos. Dichos eventos deben </w:t>
      </w:r>
      <w:r w:rsidRPr="0013707D">
        <w:rPr>
          <w:rFonts w:ascii="Bookman Old Style" w:hAnsi="Bookman Old Style" w:cs="Arial"/>
          <w:bCs/>
          <w:color w:val="000000" w:themeColor="text1"/>
          <w:lang w:val="es-CO" w:eastAsia="x-none"/>
        </w:rPr>
        <w:t>ser imprevistos, irresistibles y sin culpa de quien invoca la causa eximente de responsabilidad.</w:t>
      </w:r>
    </w:p>
    <w:p w14:paraId="361AA634" w14:textId="77777777" w:rsidR="0006302B" w:rsidRPr="0013707D" w:rsidRDefault="0006302B" w:rsidP="0006302B">
      <w:pPr>
        <w:ind w:left="0"/>
        <w:jc w:val="both"/>
        <w:rPr>
          <w:rFonts w:ascii="Bookman Old Style" w:hAnsi="Bookman Old Style" w:cs="Arial"/>
          <w:color w:val="000000" w:themeColor="text1"/>
          <w:lang w:val="es-CO"/>
        </w:rPr>
      </w:pPr>
    </w:p>
    <w:p w14:paraId="3766F102" w14:textId="0609CC89" w:rsidR="0006302B" w:rsidRPr="0013707D" w:rsidRDefault="0006302B" w:rsidP="0006302B">
      <w:pPr>
        <w:ind w:left="0"/>
        <w:jc w:val="both"/>
        <w:rPr>
          <w:rFonts w:ascii="Bookman Old Style" w:hAnsi="Bookman Old Style" w:cs="Arial"/>
          <w:color w:val="000000" w:themeColor="text1"/>
          <w:lang w:val="es-CO"/>
        </w:rPr>
      </w:pPr>
      <w:r w:rsidRPr="002B1D6F">
        <w:rPr>
          <w:rFonts w:ascii="Bookman Old Style" w:hAnsi="Bookman Old Style" w:cs="Arial"/>
          <w:b/>
          <w:color w:val="000000" w:themeColor="text1"/>
        </w:rPr>
        <w:t>Eventos eximentes de responsabilidad</w:t>
      </w:r>
      <w:r w:rsidRPr="002B1D6F">
        <w:rPr>
          <w:rFonts w:ascii="Bookman Old Style" w:hAnsi="Bookman Old Style" w:cs="Arial"/>
          <w:b/>
          <w:color w:val="000000" w:themeColor="text1"/>
          <w:lang w:val="es-CO"/>
        </w:rPr>
        <w:t xml:space="preserve"> en suministro:</w:t>
      </w:r>
      <w:r w:rsidRPr="002B1D6F">
        <w:rPr>
          <w:rFonts w:ascii="Bookman Old Style" w:hAnsi="Bookman Old Style" w:cs="Arial"/>
          <w:color w:val="000000" w:themeColor="text1"/>
          <w:lang w:val="es-CO"/>
        </w:rPr>
        <w:t xml:space="preserve"> eventos taxativamente establecidos en la presente Resolución, distintos a los eventos de fuerza mayor, caso fortuito o causa extraña, que eximen de responsabilidad a los</w:t>
      </w:r>
      <w:r>
        <w:rPr>
          <w:rFonts w:ascii="Bookman Old Style" w:hAnsi="Bookman Old Style" w:cs="Arial"/>
          <w:color w:val="000000" w:themeColor="text1"/>
          <w:lang w:val="es-CO"/>
        </w:rPr>
        <w:t xml:space="preserve"> Participantes </w:t>
      </w:r>
      <w:r w:rsidRPr="002B1D6F">
        <w:rPr>
          <w:rFonts w:ascii="Bookman Old Style" w:hAnsi="Bookman Old Style" w:cs="Arial"/>
          <w:color w:val="000000" w:themeColor="text1"/>
          <w:lang w:val="es-CO"/>
        </w:rPr>
        <w:t>del mercado por incumplimiento parcial o total de obligaciones contractuales, si éste se deriva de ellos, por estar razonablemente fuera de control de la parte que lo alega</w:t>
      </w:r>
      <w:r w:rsidR="00107A17">
        <w:rPr>
          <w:rFonts w:ascii="Bookman Old Style" w:hAnsi="Bookman Old Style" w:cs="Arial"/>
          <w:color w:val="000000" w:themeColor="text1"/>
          <w:lang w:val="es-CO"/>
        </w:rPr>
        <w:t>,</w:t>
      </w:r>
      <w:r w:rsidRPr="002B1D6F">
        <w:rPr>
          <w:rFonts w:ascii="Bookman Old Style" w:hAnsi="Bookman Old Style"/>
          <w:color w:val="000000" w:themeColor="text1"/>
          <w:lang w:val="es-CO"/>
        </w:rPr>
        <w:t xml:space="preserve"> </w:t>
      </w:r>
      <w:r w:rsidRPr="002B1D6F">
        <w:rPr>
          <w:rFonts w:ascii="Bookman Old Style" w:hAnsi="Bookman Old Style" w:cs="Arial"/>
          <w:color w:val="000000" w:themeColor="text1"/>
          <w:lang w:val="es-CO"/>
        </w:rPr>
        <w:t>pese a la oportuna diligencia y cuidado debidos por dicha parte para prevenir o impedir su acaecimiento o los efectos del mismo. Las interrupciones por mantenimientos o labores programadas se considerarán eventos eximentes de responsabilidad, de acuerdo con lo dispuesto en esta Resolución.</w:t>
      </w:r>
    </w:p>
    <w:p w14:paraId="0338A495" w14:textId="77777777" w:rsidR="0006302B" w:rsidRPr="003D20AA" w:rsidRDefault="0006302B" w:rsidP="0006302B">
      <w:pPr>
        <w:pStyle w:val="ARTICULOS"/>
        <w:numPr>
          <w:ilvl w:val="0"/>
          <w:numId w:val="0"/>
        </w:numPr>
        <w:rPr>
          <w:rFonts w:cs="Arial"/>
          <w:color w:val="000000" w:themeColor="text1"/>
          <w:lang w:val="es-CO"/>
        </w:rPr>
      </w:pPr>
    </w:p>
    <w:p w14:paraId="2F0EAD37" w14:textId="2E000D17"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r w:rsidRPr="003D20AA">
        <w:rPr>
          <w:rFonts w:cs="Arial"/>
          <w:b/>
          <w:iCs/>
          <w:color w:val="000000" w:themeColor="text1"/>
          <w:lang w:val="es-CO"/>
        </w:rPr>
        <w:t>Fuente de Suministro</w:t>
      </w:r>
      <w:r w:rsidR="009079C6" w:rsidRPr="003D20AA">
        <w:rPr>
          <w:rFonts w:cs="Arial"/>
          <w:b/>
          <w:iCs/>
          <w:color w:val="000000" w:themeColor="text1"/>
          <w:lang w:val="es-CO"/>
        </w:rPr>
        <w:t xml:space="preserve"> de gas</w:t>
      </w:r>
      <w:r w:rsidR="00107A17" w:rsidRPr="003D20AA">
        <w:rPr>
          <w:rFonts w:cs="Arial"/>
          <w:b/>
          <w:iCs/>
          <w:color w:val="000000" w:themeColor="text1"/>
          <w:lang w:val="es-CO"/>
        </w:rPr>
        <w:t>: c</w:t>
      </w:r>
      <w:r w:rsidRPr="003D20AA">
        <w:rPr>
          <w:rFonts w:cs="Arial"/>
          <w:b/>
          <w:iCs/>
          <w:color w:val="000000" w:themeColor="text1"/>
          <w:lang w:val="es-CO"/>
        </w:rPr>
        <w:t xml:space="preserve">orresponde a un campo de producción </w:t>
      </w:r>
      <w:r w:rsidR="00183278" w:rsidRPr="003D20AA">
        <w:rPr>
          <w:rFonts w:cs="Arial"/>
          <w:b/>
          <w:iCs/>
          <w:color w:val="000000" w:themeColor="text1"/>
          <w:lang w:val="es-CO"/>
        </w:rPr>
        <w:t xml:space="preserve">ubicado en el territorio colombiano </w:t>
      </w:r>
      <w:r w:rsidRPr="003D20AA">
        <w:rPr>
          <w:rFonts w:cs="Arial"/>
          <w:b/>
          <w:iCs/>
          <w:color w:val="000000" w:themeColor="text1"/>
          <w:lang w:val="es-CO"/>
        </w:rPr>
        <w:t>o a</w:t>
      </w:r>
      <w:r w:rsidR="00183278" w:rsidRPr="003D20AA">
        <w:rPr>
          <w:rFonts w:cs="Arial"/>
          <w:b/>
          <w:iCs/>
          <w:color w:val="000000" w:themeColor="text1"/>
          <w:lang w:val="es-CO"/>
        </w:rPr>
        <w:t xml:space="preserve"> un punto de importación</w:t>
      </w:r>
      <w:r w:rsidR="00AC6A1F" w:rsidRPr="003D20AA">
        <w:rPr>
          <w:rFonts w:cs="Arial"/>
          <w:b/>
          <w:iCs/>
          <w:color w:val="000000" w:themeColor="text1"/>
          <w:lang w:val="es-CO"/>
        </w:rPr>
        <w:t xml:space="preserve">. </w:t>
      </w:r>
      <w:r w:rsidRPr="003D20AA">
        <w:rPr>
          <w:rFonts w:cs="Arial"/>
          <w:b/>
          <w:iCs/>
          <w:color w:val="000000" w:themeColor="text1"/>
          <w:lang w:val="es-CO"/>
        </w:rPr>
        <w:t xml:space="preserve">Una </w:t>
      </w:r>
      <w:r w:rsidR="00317469" w:rsidRPr="003D20AA">
        <w:rPr>
          <w:rFonts w:cs="Arial"/>
          <w:b/>
          <w:iCs/>
          <w:color w:val="000000" w:themeColor="text1"/>
          <w:lang w:val="es-CO"/>
        </w:rPr>
        <w:t>f</w:t>
      </w:r>
      <w:r w:rsidRPr="003D20AA">
        <w:rPr>
          <w:rFonts w:cs="Arial"/>
          <w:b/>
          <w:iCs/>
          <w:color w:val="000000" w:themeColor="text1"/>
          <w:lang w:val="es-CO"/>
        </w:rPr>
        <w:t xml:space="preserve">uente de </w:t>
      </w:r>
      <w:r w:rsidR="00317469" w:rsidRPr="003D20AA">
        <w:rPr>
          <w:rFonts w:cs="Arial"/>
          <w:b/>
          <w:iCs/>
          <w:color w:val="000000" w:themeColor="text1"/>
          <w:lang w:val="es-CO"/>
        </w:rPr>
        <w:t>s</w:t>
      </w:r>
      <w:r w:rsidRPr="003D20AA">
        <w:rPr>
          <w:rFonts w:cs="Arial"/>
          <w:b/>
          <w:iCs/>
          <w:color w:val="000000" w:themeColor="text1"/>
          <w:lang w:val="es-CO"/>
        </w:rPr>
        <w:t xml:space="preserve">uministro puede tener uno o varios </w:t>
      </w:r>
      <w:r w:rsidR="00317469" w:rsidRPr="003D20AA">
        <w:rPr>
          <w:rFonts w:cs="Arial"/>
          <w:b/>
          <w:iCs/>
          <w:color w:val="000000" w:themeColor="text1"/>
          <w:lang w:val="es-CO"/>
        </w:rPr>
        <w:t>p</w:t>
      </w:r>
      <w:r w:rsidRPr="003D20AA">
        <w:rPr>
          <w:rFonts w:cs="Arial"/>
          <w:b/>
          <w:iCs/>
          <w:color w:val="000000" w:themeColor="text1"/>
          <w:lang w:val="es-CO"/>
        </w:rPr>
        <w:t xml:space="preserve">untos de </w:t>
      </w:r>
      <w:r w:rsidR="00317469" w:rsidRPr="003D20AA">
        <w:rPr>
          <w:rFonts w:cs="Arial"/>
          <w:b/>
          <w:iCs/>
          <w:color w:val="000000" w:themeColor="text1"/>
          <w:lang w:val="es-CO"/>
        </w:rPr>
        <w:t>e</w:t>
      </w:r>
      <w:r w:rsidRPr="003D20AA">
        <w:rPr>
          <w:rFonts w:cs="Arial"/>
          <w:b/>
          <w:iCs/>
          <w:color w:val="000000" w:themeColor="text1"/>
          <w:lang w:val="es-CO"/>
        </w:rPr>
        <w:t>ntrega</w:t>
      </w:r>
      <w:r w:rsidR="00107A17" w:rsidRPr="003D20AA">
        <w:rPr>
          <w:rFonts w:cs="Arial"/>
          <w:b/>
          <w:iCs/>
          <w:color w:val="000000" w:themeColor="text1"/>
          <w:lang w:val="es-CO"/>
        </w:rPr>
        <w:t>,</w:t>
      </w:r>
      <w:r w:rsidRPr="003D20AA">
        <w:rPr>
          <w:rFonts w:cs="Arial"/>
          <w:b/>
          <w:iCs/>
          <w:color w:val="000000" w:themeColor="text1"/>
          <w:lang w:val="es-CO"/>
        </w:rPr>
        <w:t xml:space="preserve"> que deberán ser identificados en los contratos de suministro del Mercado Mayorista.</w:t>
      </w:r>
    </w:p>
    <w:p w14:paraId="6117DC97" w14:textId="77777777"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p>
    <w:p w14:paraId="6B7673E1" w14:textId="7AE38D1D"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r w:rsidRPr="003D20AA">
        <w:rPr>
          <w:rFonts w:cs="Arial"/>
          <w:b/>
          <w:iCs/>
          <w:color w:val="000000" w:themeColor="text1"/>
          <w:lang w:val="es-CO"/>
        </w:rPr>
        <w:t xml:space="preserve">Gas </w:t>
      </w:r>
      <w:r w:rsidR="00763BC2" w:rsidRPr="003D20AA">
        <w:rPr>
          <w:rFonts w:cs="Arial"/>
          <w:b/>
          <w:iCs/>
          <w:color w:val="000000" w:themeColor="text1"/>
          <w:lang w:val="es-CO"/>
        </w:rPr>
        <w:t>m</w:t>
      </w:r>
      <w:r w:rsidRPr="003D20AA">
        <w:rPr>
          <w:rFonts w:cs="Arial"/>
          <w:b/>
          <w:iCs/>
          <w:color w:val="000000" w:themeColor="text1"/>
          <w:lang w:val="es-CO"/>
        </w:rPr>
        <w:t>etano en depósitos de carbón</w:t>
      </w:r>
      <w:r w:rsidR="009160C9" w:rsidRPr="003D20AA">
        <w:rPr>
          <w:rFonts w:cs="Arial"/>
          <w:b/>
          <w:iCs/>
          <w:color w:val="000000" w:themeColor="text1"/>
          <w:lang w:val="es-CO"/>
        </w:rPr>
        <w:t xml:space="preserve"> (GMDC)</w:t>
      </w:r>
      <w:r w:rsidRPr="003D20AA">
        <w:rPr>
          <w:rFonts w:cs="Arial"/>
          <w:b/>
          <w:iCs/>
          <w:color w:val="000000" w:themeColor="text1"/>
          <w:lang w:val="es-CO"/>
        </w:rPr>
        <w:t>: es una mezcla de gases con un alto contenido de metano y trazas de etano, propano, butano, dióxido de carbono y nitrógeno</w:t>
      </w:r>
      <w:r w:rsidR="00107A17" w:rsidRPr="003D20AA">
        <w:rPr>
          <w:rFonts w:cs="Arial"/>
          <w:b/>
          <w:iCs/>
          <w:color w:val="000000" w:themeColor="text1"/>
          <w:lang w:val="es-CO"/>
        </w:rPr>
        <w:t>,</w:t>
      </w:r>
      <w:r w:rsidRPr="003D20AA">
        <w:rPr>
          <w:rFonts w:cs="Arial"/>
          <w:b/>
          <w:iCs/>
          <w:color w:val="000000" w:themeColor="text1"/>
          <w:lang w:val="es-CO"/>
        </w:rPr>
        <w:t xml:space="preserve"> que se encuentra absorbido al carbón. Cuando lo requiera, deberá ser acondicionado o tratado para que satisfaga las condiciones de</w:t>
      </w:r>
      <w:r w:rsidR="00190793" w:rsidRPr="003D20AA">
        <w:rPr>
          <w:rFonts w:cs="Arial"/>
          <w:b/>
          <w:iCs/>
          <w:color w:val="000000" w:themeColor="text1"/>
          <w:lang w:val="es-CO"/>
        </w:rPr>
        <w:t xml:space="preserve"> calidad</w:t>
      </w:r>
      <w:r w:rsidRPr="003D20AA">
        <w:rPr>
          <w:rFonts w:cs="Arial"/>
          <w:b/>
          <w:iCs/>
          <w:color w:val="000000" w:themeColor="text1"/>
          <w:lang w:val="es-CO"/>
        </w:rPr>
        <w:t xml:space="preserve"> establecidas por la CREG</w:t>
      </w:r>
      <w:r w:rsidR="00190793" w:rsidRPr="003D20AA">
        <w:rPr>
          <w:rFonts w:cs="Arial"/>
          <w:b/>
          <w:iCs/>
          <w:color w:val="000000" w:themeColor="text1"/>
          <w:lang w:val="es-CO"/>
        </w:rPr>
        <w:t xml:space="preserve"> en la Resolución CREG 071 de 1999, o aquellas que la modifiquen, adicione</w:t>
      </w:r>
      <w:r w:rsidR="0039426E" w:rsidRPr="003D20AA">
        <w:rPr>
          <w:rFonts w:cs="Arial"/>
          <w:b/>
          <w:iCs/>
          <w:color w:val="000000" w:themeColor="text1"/>
          <w:lang w:val="es-CO"/>
        </w:rPr>
        <w:t>n</w:t>
      </w:r>
      <w:r w:rsidR="00190793" w:rsidRPr="003D20AA">
        <w:rPr>
          <w:rFonts w:cs="Arial"/>
          <w:b/>
          <w:iCs/>
          <w:color w:val="000000" w:themeColor="text1"/>
          <w:lang w:val="es-CO"/>
        </w:rPr>
        <w:t xml:space="preserve"> o sustituyan</w:t>
      </w:r>
      <w:r w:rsidRPr="003D20AA">
        <w:rPr>
          <w:rFonts w:cs="Arial"/>
          <w:b/>
          <w:iCs/>
          <w:color w:val="000000" w:themeColor="text1"/>
          <w:lang w:val="es-CO"/>
        </w:rPr>
        <w:t>.</w:t>
      </w:r>
      <w:r w:rsidR="00233FC5" w:rsidRPr="003D20AA">
        <w:rPr>
          <w:rFonts w:cs="Arial"/>
          <w:b/>
          <w:iCs/>
          <w:color w:val="000000" w:themeColor="text1"/>
          <w:lang w:val="es-CO"/>
        </w:rPr>
        <w:t xml:space="preserve"> Para los efectos previstos en esta Resolución</w:t>
      </w:r>
      <w:r w:rsidR="00107A17" w:rsidRPr="003D20AA">
        <w:rPr>
          <w:rFonts w:cs="Arial"/>
          <w:b/>
          <w:iCs/>
          <w:color w:val="000000" w:themeColor="text1"/>
          <w:lang w:val="es-CO"/>
        </w:rPr>
        <w:t>,</w:t>
      </w:r>
      <w:r w:rsidR="00233FC5" w:rsidRPr="003D20AA">
        <w:rPr>
          <w:rFonts w:cs="Arial"/>
          <w:b/>
          <w:iCs/>
          <w:color w:val="000000" w:themeColor="text1"/>
          <w:lang w:val="es-CO"/>
        </w:rPr>
        <w:t xml:space="preserve"> </w:t>
      </w:r>
      <w:r w:rsidR="00107A17" w:rsidRPr="003D20AA">
        <w:rPr>
          <w:rFonts w:cs="Arial"/>
          <w:b/>
          <w:iCs/>
          <w:color w:val="000000" w:themeColor="text1"/>
          <w:lang w:val="es-CO"/>
        </w:rPr>
        <w:t>a</w:t>
      </w:r>
      <w:r w:rsidR="00233FC5" w:rsidRPr="003D20AA">
        <w:rPr>
          <w:rFonts w:cs="Arial"/>
          <w:b/>
          <w:iCs/>
          <w:color w:val="000000" w:themeColor="text1"/>
          <w:lang w:val="es-CO"/>
        </w:rPr>
        <w:t xml:space="preserve">l GMDC </w:t>
      </w:r>
      <w:r w:rsidR="006D6E63" w:rsidRPr="003D20AA">
        <w:rPr>
          <w:rFonts w:cs="Arial"/>
          <w:b/>
          <w:iCs/>
          <w:color w:val="000000" w:themeColor="text1"/>
          <w:lang w:val="es-CO"/>
        </w:rPr>
        <w:t xml:space="preserve">le aplicarán las mismas reglas que </w:t>
      </w:r>
      <w:r w:rsidR="00192157">
        <w:rPr>
          <w:rFonts w:cs="Arial"/>
          <w:b/>
          <w:iCs/>
          <w:color w:val="000000" w:themeColor="text1"/>
          <w:lang w:val="es-CO"/>
        </w:rPr>
        <w:t>se aplica</w:t>
      </w:r>
      <w:r w:rsidR="00E23D78">
        <w:rPr>
          <w:rFonts w:cs="Arial"/>
          <w:b/>
          <w:iCs/>
          <w:color w:val="000000" w:themeColor="text1"/>
          <w:lang w:val="es-CO"/>
        </w:rPr>
        <w:t>n</w:t>
      </w:r>
      <w:r w:rsidR="00192157">
        <w:rPr>
          <w:rFonts w:cs="Arial"/>
          <w:b/>
          <w:iCs/>
          <w:color w:val="000000" w:themeColor="text1"/>
          <w:lang w:val="es-CO"/>
        </w:rPr>
        <w:t xml:space="preserve"> para la comercialización de</w:t>
      </w:r>
      <w:r w:rsidR="006D6E63" w:rsidRPr="003D20AA">
        <w:rPr>
          <w:rFonts w:cs="Arial"/>
          <w:b/>
          <w:iCs/>
          <w:color w:val="000000" w:themeColor="text1"/>
          <w:lang w:val="es-CO"/>
        </w:rPr>
        <w:t xml:space="preserve">l </w:t>
      </w:r>
      <w:r w:rsidR="00233FC5" w:rsidRPr="003D20AA">
        <w:rPr>
          <w:rFonts w:cs="Arial"/>
          <w:b/>
          <w:iCs/>
          <w:color w:val="000000" w:themeColor="text1"/>
          <w:lang w:val="es-CO"/>
        </w:rPr>
        <w:t>Gas Natural.</w:t>
      </w:r>
    </w:p>
    <w:p w14:paraId="3A487593" w14:textId="77777777" w:rsidR="0006302B" w:rsidRPr="003D20AA" w:rsidRDefault="0006302B" w:rsidP="0006302B">
      <w:pPr>
        <w:pStyle w:val="ARTICULOS"/>
        <w:numPr>
          <w:ilvl w:val="0"/>
          <w:numId w:val="0"/>
        </w:numPr>
        <w:tabs>
          <w:tab w:val="clear" w:pos="1559"/>
          <w:tab w:val="left" w:pos="1560"/>
        </w:tabs>
        <w:ind w:left="709"/>
        <w:rPr>
          <w:rFonts w:cs="Arial"/>
          <w:b/>
          <w:iCs/>
          <w:color w:val="000000" w:themeColor="text1"/>
          <w:lang w:val="es-CO"/>
        </w:rPr>
      </w:pPr>
    </w:p>
    <w:p w14:paraId="08D3658B" w14:textId="72780ECF"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r w:rsidRPr="003D20AA">
        <w:rPr>
          <w:rFonts w:cs="Arial"/>
          <w:b/>
          <w:iCs/>
          <w:color w:val="000000" w:themeColor="text1"/>
          <w:lang w:val="es-CO"/>
        </w:rPr>
        <w:t xml:space="preserve">Gas Natural (GN): </w:t>
      </w:r>
      <w:r w:rsidR="00317469" w:rsidRPr="003D20AA">
        <w:rPr>
          <w:rFonts w:cs="Arial"/>
          <w:b/>
          <w:iCs/>
          <w:color w:val="000000" w:themeColor="text1"/>
          <w:lang w:val="es-CO"/>
        </w:rPr>
        <w:t>e</w:t>
      </w:r>
      <w:r w:rsidRPr="003D20AA">
        <w:rPr>
          <w:rFonts w:cs="Arial"/>
          <w:b/>
          <w:iCs/>
          <w:color w:val="000000" w:themeColor="text1"/>
          <w:lang w:val="es-CO"/>
        </w:rPr>
        <w:t xml:space="preserve">s una mezcla de hidrocarburos livianos, principalmente constituida por metano, que se encuentra en los yacimientos en forma libre o en forma asociada al petróleo. El </w:t>
      </w:r>
      <w:r w:rsidR="00317469" w:rsidRPr="003D20AA">
        <w:rPr>
          <w:rFonts w:cs="Arial"/>
          <w:b/>
          <w:iCs/>
          <w:color w:val="000000" w:themeColor="text1"/>
          <w:lang w:val="es-CO"/>
        </w:rPr>
        <w:t>g</w:t>
      </w:r>
      <w:r w:rsidRPr="003D20AA">
        <w:rPr>
          <w:rFonts w:cs="Arial"/>
          <w:b/>
          <w:iCs/>
          <w:color w:val="000000" w:themeColor="text1"/>
          <w:lang w:val="es-CO"/>
        </w:rPr>
        <w:t xml:space="preserve">as </w:t>
      </w:r>
      <w:r w:rsidR="00317469" w:rsidRPr="003D20AA">
        <w:rPr>
          <w:rFonts w:cs="Arial"/>
          <w:b/>
          <w:iCs/>
          <w:color w:val="000000" w:themeColor="text1"/>
          <w:lang w:val="es-CO"/>
        </w:rPr>
        <w:t>n</w:t>
      </w:r>
      <w:r w:rsidRPr="003D20AA">
        <w:rPr>
          <w:rFonts w:cs="Arial"/>
          <w:b/>
          <w:iCs/>
          <w:color w:val="000000" w:themeColor="text1"/>
          <w:lang w:val="es-CO"/>
        </w:rPr>
        <w:t xml:space="preserve">atural, cuando lo requiera, debe ser acondicionado o tratado para que satisfaga las condiciones de calidad de gas establecidas por la CREG en la Resolución 071 de 1999 o aquellas que la adicionen, modifiquen o sustituyan. </w:t>
      </w:r>
    </w:p>
    <w:p w14:paraId="30EB3082" w14:textId="77777777" w:rsidR="0006302B" w:rsidRPr="003D20AA" w:rsidRDefault="0006302B" w:rsidP="0006302B">
      <w:pPr>
        <w:pStyle w:val="ARTICULOS"/>
        <w:numPr>
          <w:ilvl w:val="0"/>
          <w:numId w:val="0"/>
        </w:numPr>
        <w:tabs>
          <w:tab w:val="clear" w:pos="1559"/>
          <w:tab w:val="left" w:pos="1560"/>
        </w:tabs>
        <w:ind w:left="709"/>
        <w:rPr>
          <w:rFonts w:cs="Arial"/>
          <w:b/>
          <w:iCs/>
          <w:color w:val="000000" w:themeColor="text1"/>
          <w:lang w:val="es-CO"/>
        </w:rPr>
      </w:pPr>
    </w:p>
    <w:p w14:paraId="49B0A8BE" w14:textId="3AF83534"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r w:rsidRPr="003D20AA">
        <w:rPr>
          <w:rFonts w:cs="Arial"/>
          <w:b/>
          <w:iCs/>
          <w:color w:val="000000" w:themeColor="text1"/>
          <w:lang w:val="es-CO"/>
        </w:rPr>
        <w:t xml:space="preserve">Gas Natural Comprimido (GNC): es </w:t>
      </w:r>
      <w:r w:rsidR="00317469" w:rsidRPr="003D20AA">
        <w:rPr>
          <w:rFonts w:cs="Arial"/>
          <w:b/>
          <w:iCs/>
          <w:color w:val="000000" w:themeColor="text1"/>
          <w:lang w:val="es-CO"/>
        </w:rPr>
        <w:t>g</w:t>
      </w:r>
      <w:r w:rsidRPr="003D20AA">
        <w:rPr>
          <w:rFonts w:cs="Arial"/>
          <w:b/>
          <w:iCs/>
          <w:color w:val="000000" w:themeColor="text1"/>
          <w:lang w:val="es-CO"/>
        </w:rPr>
        <w:t xml:space="preserve">as </w:t>
      </w:r>
      <w:r w:rsidR="00317469" w:rsidRPr="003D20AA">
        <w:rPr>
          <w:rFonts w:cs="Arial"/>
          <w:b/>
          <w:iCs/>
          <w:color w:val="000000" w:themeColor="text1"/>
          <w:lang w:val="es-CO"/>
        </w:rPr>
        <w:t>n</w:t>
      </w:r>
      <w:r w:rsidRPr="003D20AA">
        <w:rPr>
          <w:rFonts w:cs="Arial"/>
          <w:b/>
          <w:iCs/>
          <w:color w:val="000000" w:themeColor="text1"/>
          <w:lang w:val="es-CO"/>
        </w:rPr>
        <w:t>atural cuya presión se aumenta a través de un proceso de compresión</w:t>
      </w:r>
      <w:r w:rsidR="00CA7797" w:rsidRPr="003D20AA">
        <w:rPr>
          <w:rFonts w:cs="Arial"/>
          <w:b/>
          <w:iCs/>
          <w:color w:val="000000" w:themeColor="text1"/>
          <w:lang w:val="es-CO"/>
        </w:rPr>
        <w:t xml:space="preserve"> para realizar su transporte </w:t>
      </w:r>
      <w:r w:rsidR="00317469" w:rsidRPr="003D20AA">
        <w:rPr>
          <w:rFonts w:cs="Arial"/>
          <w:b/>
          <w:iCs/>
          <w:color w:val="000000" w:themeColor="text1"/>
          <w:lang w:val="es-CO"/>
        </w:rPr>
        <w:t>siendo</w:t>
      </w:r>
      <w:r w:rsidRPr="003D20AA">
        <w:rPr>
          <w:rFonts w:cs="Arial"/>
          <w:b/>
          <w:iCs/>
          <w:color w:val="000000" w:themeColor="text1"/>
          <w:lang w:val="es-CO"/>
        </w:rPr>
        <w:t xml:space="preserve"> almacena</w:t>
      </w:r>
      <w:r w:rsidR="00317469" w:rsidRPr="003D20AA">
        <w:rPr>
          <w:rFonts w:cs="Arial"/>
          <w:b/>
          <w:iCs/>
          <w:color w:val="000000" w:themeColor="text1"/>
          <w:lang w:val="es-CO"/>
        </w:rPr>
        <w:t>do</w:t>
      </w:r>
      <w:r w:rsidRPr="003D20AA">
        <w:rPr>
          <w:rFonts w:cs="Arial"/>
          <w:b/>
          <w:iCs/>
          <w:color w:val="000000" w:themeColor="text1"/>
          <w:lang w:val="es-CO"/>
        </w:rPr>
        <w:t xml:space="preserve"> en recipientes de alta resistencia.</w:t>
      </w:r>
    </w:p>
    <w:p w14:paraId="19465FBC" w14:textId="77777777" w:rsidR="0006302B" w:rsidRPr="003D20AA" w:rsidRDefault="0006302B" w:rsidP="0006302B">
      <w:pPr>
        <w:pStyle w:val="ARTICULOS"/>
        <w:numPr>
          <w:ilvl w:val="0"/>
          <w:numId w:val="0"/>
        </w:numPr>
        <w:tabs>
          <w:tab w:val="clear" w:pos="1559"/>
          <w:tab w:val="left" w:pos="1560"/>
        </w:tabs>
        <w:ind w:left="709"/>
        <w:rPr>
          <w:rFonts w:cs="Arial"/>
          <w:b/>
          <w:iCs/>
          <w:color w:val="000000" w:themeColor="text1"/>
          <w:lang w:val="es-CO"/>
        </w:rPr>
      </w:pPr>
    </w:p>
    <w:p w14:paraId="3BD3798D" w14:textId="19A9C11B" w:rsidR="0006302B" w:rsidRPr="003F389D" w:rsidRDefault="0006302B" w:rsidP="0006302B">
      <w:pPr>
        <w:pStyle w:val="ARTICULOS"/>
        <w:numPr>
          <w:ilvl w:val="0"/>
          <w:numId w:val="0"/>
        </w:numPr>
        <w:tabs>
          <w:tab w:val="clear" w:pos="1559"/>
          <w:tab w:val="left" w:pos="1560"/>
        </w:tabs>
        <w:rPr>
          <w:rFonts w:cs="Arial"/>
          <w:b/>
          <w:iCs/>
          <w:color w:val="000000" w:themeColor="text1"/>
          <w:lang w:val="es-CO"/>
        </w:rPr>
      </w:pPr>
      <w:r w:rsidRPr="003F389D">
        <w:rPr>
          <w:rFonts w:cs="Arial"/>
          <w:b/>
          <w:iCs/>
          <w:color w:val="000000" w:themeColor="text1"/>
          <w:lang w:val="es-CO"/>
        </w:rPr>
        <w:t xml:space="preserve">Gas Natural Licuado (GNL): </w:t>
      </w:r>
      <w:r>
        <w:rPr>
          <w:rFonts w:cs="Arial"/>
          <w:b/>
          <w:iCs/>
          <w:color w:val="000000" w:themeColor="text1"/>
          <w:lang w:val="es-CO"/>
        </w:rPr>
        <w:t xml:space="preserve">es </w:t>
      </w:r>
      <w:r w:rsidR="00317469">
        <w:rPr>
          <w:rFonts w:cs="Arial"/>
          <w:b/>
          <w:iCs/>
          <w:color w:val="000000" w:themeColor="text1"/>
          <w:lang w:val="es-CO"/>
        </w:rPr>
        <w:t>g</w:t>
      </w:r>
      <w:r w:rsidRPr="003F389D">
        <w:rPr>
          <w:rFonts w:cs="Arial"/>
          <w:b/>
          <w:iCs/>
          <w:color w:val="000000" w:themeColor="text1"/>
          <w:lang w:val="es-CO"/>
        </w:rPr>
        <w:t xml:space="preserve">as </w:t>
      </w:r>
      <w:r w:rsidR="00317469">
        <w:rPr>
          <w:rFonts w:cs="Arial"/>
          <w:b/>
          <w:iCs/>
          <w:color w:val="000000" w:themeColor="text1"/>
          <w:lang w:val="es-CO"/>
        </w:rPr>
        <w:t>n</w:t>
      </w:r>
      <w:r w:rsidRPr="003F389D">
        <w:rPr>
          <w:rFonts w:cs="Arial"/>
          <w:b/>
          <w:iCs/>
          <w:color w:val="000000" w:themeColor="text1"/>
          <w:lang w:val="es-CO"/>
        </w:rPr>
        <w:t>atural cuya temperatura y volumen se reducen a través de un proceso de licuefacción, para su transporte y/o almacenamiento.</w:t>
      </w:r>
    </w:p>
    <w:p w14:paraId="3AEAF049" w14:textId="77777777" w:rsidR="0006302B" w:rsidRDefault="0006302B" w:rsidP="0006302B">
      <w:pPr>
        <w:pStyle w:val="ARTICULOS"/>
        <w:numPr>
          <w:ilvl w:val="0"/>
          <w:numId w:val="0"/>
        </w:numPr>
        <w:tabs>
          <w:tab w:val="clear" w:pos="1559"/>
          <w:tab w:val="left" w:pos="1560"/>
        </w:tabs>
        <w:rPr>
          <w:rFonts w:cs="Arial"/>
          <w:b/>
          <w:iCs/>
          <w:color w:val="000000" w:themeColor="text1"/>
          <w:highlight w:val="cyan"/>
          <w:lang w:val="es-CO"/>
        </w:rPr>
      </w:pPr>
    </w:p>
    <w:p w14:paraId="62110718" w14:textId="69A7FC03" w:rsidR="0006302B" w:rsidRPr="00BB0741" w:rsidRDefault="00AC6A1F" w:rsidP="0006302B">
      <w:pPr>
        <w:pStyle w:val="ARTICULOS"/>
        <w:numPr>
          <w:ilvl w:val="0"/>
          <w:numId w:val="0"/>
        </w:numPr>
        <w:rPr>
          <w:rFonts w:cs="Arial"/>
          <w:b/>
          <w:color w:val="000000" w:themeColor="text1"/>
          <w:lang w:val="es-CO"/>
        </w:rPr>
      </w:pPr>
      <w:r w:rsidRPr="002D5416">
        <w:rPr>
          <w:rFonts w:cs="Arial"/>
          <w:b/>
          <w:bCs w:val="0"/>
          <w:u w:color="FF0000"/>
          <w:lang w:val="es-CO"/>
        </w:rPr>
        <w:t xml:space="preserve">Gestor </w:t>
      </w:r>
      <w:r w:rsidR="0006302B" w:rsidRPr="00102C02">
        <w:rPr>
          <w:rFonts w:cs="Arial"/>
          <w:b/>
          <w:color w:val="000000" w:themeColor="text1"/>
          <w:lang w:val="es-CO"/>
        </w:rPr>
        <w:t>del</w:t>
      </w:r>
      <w:r w:rsidR="0006302B">
        <w:rPr>
          <w:rFonts w:cs="Arial"/>
          <w:b/>
          <w:color w:val="000000" w:themeColor="text1"/>
          <w:lang w:val="es-CO"/>
        </w:rPr>
        <w:t xml:space="preserve"> Mercado</w:t>
      </w:r>
      <w:r w:rsidR="0006302B" w:rsidRPr="0013707D">
        <w:rPr>
          <w:rFonts w:cs="Arial"/>
          <w:b/>
          <w:color w:val="000000" w:themeColor="text1"/>
          <w:lang w:val="es-CO"/>
        </w:rPr>
        <w:t>:</w:t>
      </w:r>
      <w:r w:rsidR="0006302B" w:rsidRPr="0013707D">
        <w:rPr>
          <w:rFonts w:cs="Arial"/>
          <w:color w:val="000000" w:themeColor="text1"/>
          <w:lang w:val="es-CO"/>
        </w:rPr>
        <w:t xml:space="preserve"> responsable de la prestación de los servicios de gestión del </w:t>
      </w:r>
      <w:r w:rsidR="0006302B" w:rsidRPr="00BB0741">
        <w:rPr>
          <w:rFonts w:cs="Arial"/>
          <w:color w:val="000000" w:themeColor="text1"/>
          <w:lang w:val="es-CO"/>
        </w:rPr>
        <w:t xml:space="preserve">mercado primario y del mercado secundario, en los términos establecidos en la regulación de la CREG. </w:t>
      </w:r>
    </w:p>
    <w:p w14:paraId="424A171C" w14:textId="77777777" w:rsidR="0006302B" w:rsidRPr="009B702E" w:rsidRDefault="0006302B" w:rsidP="0006302B">
      <w:pPr>
        <w:pStyle w:val="ARTICULOS"/>
        <w:numPr>
          <w:ilvl w:val="0"/>
          <w:numId w:val="0"/>
        </w:numPr>
        <w:tabs>
          <w:tab w:val="clear" w:pos="1559"/>
          <w:tab w:val="left" w:pos="1560"/>
        </w:tabs>
        <w:ind w:left="709"/>
        <w:rPr>
          <w:rFonts w:cs="Arial"/>
          <w:b/>
          <w:iCs/>
          <w:color w:val="000000" w:themeColor="text1"/>
          <w:highlight w:val="cyan"/>
          <w:lang w:val="es-CO"/>
        </w:rPr>
      </w:pPr>
    </w:p>
    <w:p w14:paraId="2F655C86" w14:textId="77777777" w:rsidR="0006302B" w:rsidRPr="0013707D" w:rsidRDefault="0006302B" w:rsidP="0006302B">
      <w:pPr>
        <w:pStyle w:val="ARTICULOS"/>
        <w:numPr>
          <w:ilvl w:val="0"/>
          <w:numId w:val="0"/>
        </w:numPr>
        <w:rPr>
          <w:rFonts w:cs="Arial"/>
          <w:color w:val="000000" w:themeColor="text1"/>
          <w:sz w:val="20"/>
          <w:lang w:val="es-CO"/>
        </w:rPr>
      </w:pPr>
      <w:r w:rsidRPr="00BB0741">
        <w:rPr>
          <w:b/>
          <w:lang w:val="es-CO"/>
        </w:rPr>
        <w:t>Indicador de formación de precios:</w:t>
      </w:r>
      <w:r w:rsidRPr="00BB0741">
        <w:rPr>
          <w:lang w:val="es-CO"/>
        </w:rPr>
        <w:t xml:space="preserve"> valor indicativo determinado a partir de información de precios de un conjunto de </w:t>
      </w:r>
      <w:r w:rsidRPr="00714ACF">
        <w:rPr>
          <w:b/>
          <w:bCs w:val="0"/>
          <w:lang w:val="es-CO"/>
        </w:rPr>
        <w:t>Puntos de Entrega</w:t>
      </w:r>
      <w:r>
        <w:rPr>
          <w:lang w:val="es-CO"/>
        </w:rPr>
        <w:t xml:space="preserve"> y Puntos</w:t>
      </w:r>
      <w:r w:rsidRPr="00BB0741">
        <w:rPr>
          <w:lang w:val="es-CO"/>
        </w:rPr>
        <w:t xml:space="preserve"> </w:t>
      </w:r>
      <w:r>
        <w:rPr>
          <w:lang w:val="es-CO"/>
        </w:rPr>
        <w:t>E</w:t>
      </w:r>
      <w:r w:rsidRPr="00BB0741">
        <w:rPr>
          <w:lang w:val="es-CO"/>
        </w:rPr>
        <w:t xml:space="preserve">stándar de </w:t>
      </w:r>
      <w:r>
        <w:rPr>
          <w:lang w:val="es-CO"/>
        </w:rPr>
        <w:t>E</w:t>
      </w:r>
      <w:r w:rsidRPr="00BB0741">
        <w:rPr>
          <w:lang w:val="es-CO"/>
        </w:rPr>
        <w:t>ntrega.</w:t>
      </w:r>
      <w:r w:rsidRPr="0013707D">
        <w:rPr>
          <w:lang w:val="es-CO"/>
        </w:rPr>
        <w:t xml:space="preserve"> </w:t>
      </w:r>
    </w:p>
    <w:p w14:paraId="5E9B41DE" w14:textId="77777777" w:rsidR="0006302B" w:rsidRDefault="0006302B" w:rsidP="0006302B">
      <w:pPr>
        <w:pStyle w:val="ARTICULOS"/>
        <w:numPr>
          <w:ilvl w:val="0"/>
          <w:numId w:val="0"/>
        </w:numPr>
        <w:tabs>
          <w:tab w:val="clear" w:pos="1559"/>
          <w:tab w:val="left" w:pos="1560"/>
        </w:tabs>
        <w:rPr>
          <w:rFonts w:cs="Arial"/>
          <w:b/>
          <w:iCs/>
          <w:color w:val="000000" w:themeColor="text1"/>
          <w:highlight w:val="green"/>
          <w:lang w:val="es-CO"/>
        </w:rPr>
      </w:pPr>
    </w:p>
    <w:p w14:paraId="053ABC8A" w14:textId="7FEFB9F5" w:rsidR="0006302B" w:rsidRPr="00DE6F8D" w:rsidRDefault="0006302B" w:rsidP="0006302B">
      <w:pPr>
        <w:pStyle w:val="ARTICULOS"/>
        <w:numPr>
          <w:ilvl w:val="0"/>
          <w:numId w:val="0"/>
        </w:numPr>
        <w:tabs>
          <w:tab w:val="clear" w:pos="1559"/>
          <w:tab w:val="left" w:pos="1560"/>
        </w:tabs>
        <w:rPr>
          <w:rFonts w:cs="Arial"/>
          <w:b/>
          <w:iCs/>
          <w:color w:val="000000" w:themeColor="text1"/>
          <w:lang w:val="es-CO"/>
        </w:rPr>
      </w:pPr>
      <w:r w:rsidRPr="00DE6F8D">
        <w:rPr>
          <w:rFonts w:cs="Arial"/>
          <w:b/>
          <w:iCs/>
          <w:color w:val="000000" w:themeColor="text1"/>
          <w:lang w:val="es-CO"/>
        </w:rPr>
        <w:t xml:space="preserve">Infraestructura de Importación: </w:t>
      </w:r>
      <w:r w:rsidR="00317469">
        <w:rPr>
          <w:rFonts w:cs="Arial"/>
          <w:b/>
          <w:iCs/>
          <w:color w:val="000000" w:themeColor="text1"/>
          <w:lang w:val="es-CO"/>
        </w:rPr>
        <w:t>conjunto de instalaciones</w:t>
      </w:r>
      <w:r w:rsidR="00317469" w:rsidRPr="00DE6F8D">
        <w:rPr>
          <w:rFonts w:cs="Arial"/>
          <w:b/>
          <w:iCs/>
          <w:color w:val="000000" w:themeColor="text1"/>
          <w:lang w:val="es-CO"/>
        </w:rPr>
        <w:t xml:space="preserve"> </w:t>
      </w:r>
      <w:r w:rsidRPr="00DE6F8D">
        <w:rPr>
          <w:rFonts w:cs="Arial"/>
          <w:b/>
          <w:iCs/>
          <w:color w:val="000000" w:themeColor="text1"/>
          <w:lang w:val="es-CO"/>
        </w:rPr>
        <w:t xml:space="preserve">donde se lleva a cabo </w:t>
      </w:r>
      <w:r>
        <w:rPr>
          <w:rFonts w:cs="Arial"/>
          <w:b/>
          <w:iCs/>
          <w:color w:val="000000" w:themeColor="text1"/>
          <w:lang w:val="es-CO"/>
        </w:rPr>
        <w:t xml:space="preserve">el ingreso al territorio nacional de </w:t>
      </w:r>
      <w:r w:rsidRPr="00DE6F8D">
        <w:rPr>
          <w:rFonts w:cs="Arial"/>
          <w:b/>
          <w:iCs/>
          <w:color w:val="000000" w:themeColor="text1"/>
          <w:lang w:val="es-CO"/>
        </w:rPr>
        <w:t xml:space="preserve">gas natural </w:t>
      </w:r>
      <w:r w:rsidRPr="006C081E">
        <w:rPr>
          <w:rFonts w:cs="Arial"/>
          <w:b/>
          <w:iCs/>
          <w:color w:val="000000" w:themeColor="text1"/>
          <w:lang w:val="es-CO"/>
        </w:rPr>
        <w:t>obtenido en el exterior</w:t>
      </w:r>
      <w:r w:rsidR="00AC6A1F">
        <w:rPr>
          <w:rFonts w:cs="Arial"/>
          <w:b/>
          <w:iCs/>
          <w:color w:val="000000" w:themeColor="text1"/>
          <w:lang w:val="es-CO"/>
        </w:rPr>
        <w:t>.</w:t>
      </w:r>
      <w:r w:rsidRPr="006C081E">
        <w:rPr>
          <w:rFonts w:cs="Arial"/>
          <w:b/>
          <w:iCs/>
          <w:color w:val="000000" w:themeColor="text1"/>
          <w:lang w:val="es-CO"/>
        </w:rPr>
        <w:t xml:space="preserve"> </w:t>
      </w:r>
      <w:r w:rsidRPr="006C081E">
        <w:rPr>
          <w:rFonts w:cs="Arial"/>
          <w:b/>
          <w:iCs/>
          <w:color w:val="000000" w:themeColor="text1"/>
          <w:lang w:val="es-CO"/>
        </w:rPr>
        <w:lastRenderedPageBreak/>
        <w:t xml:space="preserve">En dicha infraestructura debe estar ubicado y plenamente identificado el punto </w:t>
      </w:r>
      <w:r w:rsidR="00CA24F4">
        <w:rPr>
          <w:rFonts w:cs="Arial"/>
          <w:b/>
          <w:iCs/>
          <w:color w:val="000000" w:themeColor="text1"/>
          <w:lang w:val="es-CO"/>
        </w:rPr>
        <w:t xml:space="preserve">de </w:t>
      </w:r>
      <w:r w:rsidRPr="006C081E">
        <w:rPr>
          <w:rFonts w:cs="Arial"/>
          <w:b/>
          <w:iCs/>
          <w:color w:val="000000" w:themeColor="text1"/>
          <w:lang w:val="es-CO"/>
        </w:rPr>
        <w:t xml:space="preserve">importación. </w:t>
      </w:r>
    </w:p>
    <w:p w14:paraId="395FBA46" w14:textId="77777777" w:rsidR="0006302B" w:rsidRPr="00DE6F8D" w:rsidRDefault="0006302B" w:rsidP="0006302B">
      <w:pPr>
        <w:pStyle w:val="ARTICULOS"/>
        <w:numPr>
          <w:ilvl w:val="0"/>
          <w:numId w:val="0"/>
        </w:numPr>
        <w:tabs>
          <w:tab w:val="clear" w:pos="1559"/>
          <w:tab w:val="left" w:pos="1560"/>
        </w:tabs>
        <w:rPr>
          <w:rFonts w:cs="Arial"/>
          <w:b/>
          <w:iCs/>
          <w:color w:val="000000" w:themeColor="text1"/>
          <w:lang w:val="es-CO"/>
        </w:rPr>
      </w:pPr>
    </w:p>
    <w:p w14:paraId="2879D57D" w14:textId="278C2195" w:rsidR="0006302B" w:rsidRPr="003D20AA" w:rsidRDefault="0006302B" w:rsidP="0006302B">
      <w:pPr>
        <w:pStyle w:val="ARTICULOS"/>
        <w:numPr>
          <w:ilvl w:val="0"/>
          <w:numId w:val="0"/>
        </w:numPr>
        <w:tabs>
          <w:tab w:val="clear" w:pos="1559"/>
          <w:tab w:val="left" w:pos="1560"/>
        </w:tabs>
        <w:rPr>
          <w:rFonts w:cs="Arial"/>
          <w:b/>
          <w:iCs/>
          <w:color w:val="000000" w:themeColor="text1"/>
          <w:lang w:val="es-CO"/>
        </w:rPr>
      </w:pPr>
      <w:r w:rsidRPr="00DE6F8D">
        <w:rPr>
          <w:rFonts w:cs="Arial"/>
          <w:b/>
          <w:iCs/>
          <w:color w:val="000000" w:themeColor="text1"/>
          <w:lang w:val="es-CO"/>
        </w:rPr>
        <w:t xml:space="preserve">Infraestructura de Regasificación: </w:t>
      </w:r>
      <w:r w:rsidR="00317469">
        <w:rPr>
          <w:rFonts w:cs="Arial"/>
          <w:b/>
          <w:iCs/>
          <w:color w:val="000000" w:themeColor="text1"/>
          <w:lang w:val="es-CO"/>
        </w:rPr>
        <w:t>co</w:t>
      </w:r>
      <w:r w:rsidRPr="00DE6F8D">
        <w:rPr>
          <w:rFonts w:cs="Arial"/>
          <w:b/>
          <w:iCs/>
          <w:color w:val="000000" w:themeColor="text1"/>
          <w:lang w:val="es-CO"/>
        </w:rPr>
        <w:t>njunto de instalaciones que permiten transformar el gas natural de estado líquido a estado gaseoso</w:t>
      </w:r>
      <w:r w:rsidR="00107A17">
        <w:rPr>
          <w:rFonts w:cs="Arial"/>
          <w:b/>
          <w:iCs/>
          <w:color w:val="000000" w:themeColor="text1"/>
          <w:lang w:val="es-CO"/>
        </w:rPr>
        <w:t>,</w:t>
      </w:r>
      <w:r w:rsidRPr="00DE6F8D">
        <w:rPr>
          <w:rFonts w:cs="Arial"/>
          <w:b/>
          <w:iCs/>
          <w:color w:val="000000" w:themeColor="text1"/>
          <w:lang w:val="es-CO"/>
        </w:rPr>
        <w:t xml:space="preserve"> que incluyen, entre otras, las </w:t>
      </w:r>
      <w:r w:rsidRPr="003D20AA">
        <w:rPr>
          <w:rFonts w:cs="Arial"/>
          <w:b/>
          <w:iCs/>
          <w:color w:val="000000" w:themeColor="text1"/>
          <w:lang w:val="es-CO"/>
        </w:rPr>
        <w:t>requeridas para descargar, transportar, almacenar, procesar y</w:t>
      </w:r>
      <w:r w:rsidR="00AC4625" w:rsidRPr="003D20AA">
        <w:rPr>
          <w:rFonts w:cs="Arial"/>
          <w:b/>
          <w:iCs/>
          <w:color w:val="000000" w:themeColor="text1"/>
          <w:lang w:val="es-CO"/>
        </w:rPr>
        <w:t>/o</w:t>
      </w:r>
      <w:r w:rsidRPr="003D20AA">
        <w:rPr>
          <w:rFonts w:cs="Arial"/>
          <w:b/>
          <w:iCs/>
          <w:color w:val="000000" w:themeColor="text1"/>
          <w:lang w:val="es-CO"/>
        </w:rPr>
        <w:t xml:space="preserve"> tratar el gas natural </w:t>
      </w:r>
      <w:r w:rsidR="00CA7797" w:rsidRPr="003D20AA">
        <w:rPr>
          <w:rFonts w:cs="Arial"/>
          <w:b/>
          <w:iCs/>
          <w:color w:val="000000" w:themeColor="text1"/>
          <w:lang w:val="es-CO"/>
        </w:rPr>
        <w:t>líquido</w:t>
      </w:r>
      <w:r w:rsidR="00AC4625" w:rsidRPr="003D20AA">
        <w:rPr>
          <w:rFonts w:cs="Arial"/>
          <w:b/>
          <w:iCs/>
          <w:color w:val="000000" w:themeColor="text1"/>
          <w:lang w:val="es-CO"/>
        </w:rPr>
        <w:t>, bien sea importado o de fuente de suministro nacional</w:t>
      </w:r>
      <w:r w:rsidRPr="003D20AA">
        <w:rPr>
          <w:rFonts w:cs="Arial"/>
          <w:b/>
          <w:iCs/>
          <w:color w:val="000000" w:themeColor="text1"/>
          <w:lang w:val="es-CO"/>
        </w:rPr>
        <w:t>.</w:t>
      </w:r>
    </w:p>
    <w:p w14:paraId="64FFEFE1" w14:textId="77777777" w:rsidR="0006302B" w:rsidRPr="003D20AA" w:rsidRDefault="0006302B" w:rsidP="0006302B">
      <w:pPr>
        <w:pStyle w:val="ARTICULOS"/>
        <w:numPr>
          <w:ilvl w:val="0"/>
          <w:numId w:val="0"/>
        </w:numPr>
        <w:rPr>
          <w:rFonts w:cs="Arial"/>
          <w:color w:val="000000" w:themeColor="text1"/>
          <w:sz w:val="20"/>
          <w:lang w:val="es-CO"/>
        </w:rPr>
      </w:pPr>
    </w:p>
    <w:p w14:paraId="49A271EA" w14:textId="4F01C9AA" w:rsidR="0006302B" w:rsidRPr="003D20AA" w:rsidRDefault="0006302B" w:rsidP="0006302B">
      <w:pPr>
        <w:pStyle w:val="ARTICULOS"/>
        <w:numPr>
          <w:ilvl w:val="0"/>
          <w:numId w:val="0"/>
        </w:numPr>
        <w:rPr>
          <w:color w:val="000000" w:themeColor="text1"/>
          <w:lang w:val="es-CO"/>
        </w:rPr>
      </w:pPr>
      <w:r w:rsidRPr="003D20AA">
        <w:rPr>
          <w:rFonts w:cs="Arial"/>
          <w:b/>
          <w:color w:val="000000" w:themeColor="text1"/>
          <w:lang w:val="es-CO"/>
        </w:rPr>
        <w:t>Mercado Mayorista de gas natural:</w:t>
      </w:r>
      <w:r w:rsidRPr="003D20AA">
        <w:rPr>
          <w:rFonts w:cs="Arial"/>
          <w:color w:val="000000" w:themeColor="text1"/>
          <w:lang w:val="es-CO"/>
        </w:rPr>
        <w:t xml:space="preserve"> conjunto </w:t>
      </w:r>
      <w:r w:rsidRPr="003D20AA">
        <w:rPr>
          <w:color w:val="000000" w:themeColor="text1"/>
          <w:lang w:val="es-CO"/>
        </w:rPr>
        <w:t xml:space="preserve">de transacciones de compraventa de gas natural y/o de capacidad de transporte en el mercado primario y en el mercado secundario. Estas transacciones se harán con sujeción al </w:t>
      </w:r>
      <w:r w:rsidR="00107A17" w:rsidRPr="003D20AA">
        <w:rPr>
          <w:color w:val="000000" w:themeColor="text1"/>
          <w:lang w:val="es-CO"/>
        </w:rPr>
        <w:t>R</w:t>
      </w:r>
      <w:r w:rsidRPr="003D20AA">
        <w:rPr>
          <w:color w:val="000000" w:themeColor="text1"/>
          <w:lang w:val="es-CO"/>
        </w:rPr>
        <w:t xml:space="preserve">eglamento de </w:t>
      </w:r>
      <w:r w:rsidR="00107A17" w:rsidRPr="003D20AA">
        <w:rPr>
          <w:color w:val="000000" w:themeColor="text1"/>
          <w:lang w:val="es-CO"/>
        </w:rPr>
        <w:t>O</w:t>
      </w:r>
      <w:r w:rsidRPr="003D20AA">
        <w:rPr>
          <w:color w:val="000000" w:themeColor="text1"/>
          <w:lang w:val="es-CO"/>
        </w:rPr>
        <w:t xml:space="preserve">peración de gas natural </w:t>
      </w:r>
      <w:r w:rsidRPr="003D20AA">
        <w:rPr>
          <w:rFonts w:cs="Arial"/>
          <w:b/>
          <w:bCs w:val="0"/>
          <w:color w:val="000000" w:themeColor="text1"/>
          <w:lang w:val="es-CO"/>
        </w:rPr>
        <w:t>y los compradores lo adquieren para la atención del servicio público de gas combustible</w:t>
      </w:r>
      <w:r w:rsidRPr="003D20AA">
        <w:rPr>
          <w:color w:val="000000" w:themeColor="text1"/>
          <w:lang w:val="es-CO"/>
        </w:rPr>
        <w:t>.</w:t>
      </w:r>
    </w:p>
    <w:p w14:paraId="77F8FC6A" w14:textId="77777777" w:rsidR="0006302B" w:rsidRPr="003D20AA" w:rsidRDefault="0006302B" w:rsidP="0006302B">
      <w:pPr>
        <w:pStyle w:val="ARTICULOS"/>
        <w:numPr>
          <w:ilvl w:val="0"/>
          <w:numId w:val="0"/>
        </w:numPr>
        <w:rPr>
          <w:rFonts w:cs="Arial"/>
          <w:color w:val="000000" w:themeColor="text1"/>
          <w:lang w:val="es-CO"/>
        </w:rPr>
      </w:pPr>
    </w:p>
    <w:p w14:paraId="7CC8CA7C" w14:textId="530E14B3" w:rsidR="006C2956" w:rsidRPr="003D20AA" w:rsidRDefault="006C2956" w:rsidP="0006302B">
      <w:pPr>
        <w:pStyle w:val="ARTICULOS"/>
        <w:numPr>
          <w:ilvl w:val="0"/>
          <w:numId w:val="0"/>
        </w:numPr>
        <w:rPr>
          <w:rFonts w:cs="Arial"/>
          <w:b/>
          <w:color w:val="000000" w:themeColor="text1"/>
          <w:lang w:val="es-CO"/>
        </w:rPr>
      </w:pPr>
      <w:r w:rsidRPr="003D20AA">
        <w:rPr>
          <w:rFonts w:cs="Arial"/>
          <w:b/>
          <w:color w:val="000000" w:themeColor="text1"/>
          <w:lang w:val="es-CO"/>
        </w:rPr>
        <w:t xml:space="preserve">Mercado </w:t>
      </w:r>
      <w:r w:rsidR="00EC6657" w:rsidRPr="003D20AA">
        <w:rPr>
          <w:rFonts w:cs="Arial"/>
          <w:b/>
          <w:color w:val="000000" w:themeColor="text1"/>
          <w:lang w:val="es-CO"/>
        </w:rPr>
        <w:t>M</w:t>
      </w:r>
      <w:r w:rsidRPr="003D20AA">
        <w:rPr>
          <w:rFonts w:cs="Arial"/>
          <w:b/>
          <w:color w:val="000000" w:themeColor="text1"/>
          <w:lang w:val="es-CO"/>
        </w:rPr>
        <w:t xml:space="preserve">inorista de gas natural: conjunto de transacciones de intermediación comercial de la compra, transporte y distribución de gas natural </w:t>
      </w:r>
      <w:r w:rsidR="003A5191" w:rsidRPr="003D20AA">
        <w:rPr>
          <w:rFonts w:cs="Arial"/>
          <w:b/>
          <w:color w:val="000000" w:themeColor="text1"/>
          <w:lang w:val="es-CO"/>
        </w:rPr>
        <w:t xml:space="preserve">por redes de tubería o por otros medios, </w:t>
      </w:r>
      <w:r w:rsidRPr="003D20AA">
        <w:rPr>
          <w:rFonts w:cs="Arial"/>
          <w:b/>
          <w:color w:val="000000" w:themeColor="text1"/>
          <w:lang w:val="es-CO"/>
        </w:rPr>
        <w:t>y su venta a usuarios finales</w:t>
      </w:r>
      <w:r w:rsidR="003A5191" w:rsidRPr="003D20AA">
        <w:rPr>
          <w:rFonts w:cs="Arial"/>
          <w:b/>
          <w:color w:val="000000" w:themeColor="text1"/>
          <w:lang w:val="es-CO"/>
        </w:rPr>
        <w:t xml:space="preserve"> que están o no conectados a alguna red de distribución de gas</w:t>
      </w:r>
      <w:r w:rsidRPr="003D20AA">
        <w:rPr>
          <w:rFonts w:cs="Arial"/>
          <w:b/>
          <w:color w:val="000000" w:themeColor="text1"/>
          <w:lang w:val="es-CO"/>
        </w:rPr>
        <w:t>.</w:t>
      </w:r>
    </w:p>
    <w:p w14:paraId="1156B0EF" w14:textId="77777777" w:rsidR="006C2956" w:rsidRPr="003D20AA" w:rsidRDefault="006C2956" w:rsidP="0006302B">
      <w:pPr>
        <w:pStyle w:val="ARTICULOS"/>
        <w:numPr>
          <w:ilvl w:val="0"/>
          <w:numId w:val="0"/>
        </w:numPr>
        <w:rPr>
          <w:rFonts w:cs="Arial"/>
          <w:b/>
          <w:color w:val="000000" w:themeColor="text1"/>
          <w:lang w:val="es-CO"/>
        </w:rPr>
      </w:pPr>
    </w:p>
    <w:p w14:paraId="25F8699E" w14:textId="12A253A8" w:rsidR="0006302B" w:rsidRPr="003D20AA" w:rsidRDefault="0006302B" w:rsidP="0006302B">
      <w:pPr>
        <w:pStyle w:val="ARTICULOS"/>
        <w:numPr>
          <w:ilvl w:val="0"/>
          <w:numId w:val="0"/>
        </w:numPr>
        <w:rPr>
          <w:rFonts w:cs="Arial"/>
          <w:color w:val="000000" w:themeColor="text1"/>
          <w:lang w:val="es-CO"/>
        </w:rPr>
      </w:pPr>
      <w:r w:rsidRPr="003D20AA">
        <w:rPr>
          <w:rFonts w:cs="Arial"/>
          <w:b/>
          <w:color w:val="000000" w:themeColor="text1"/>
          <w:lang w:val="es-CO"/>
        </w:rPr>
        <w:t xml:space="preserve">Mercado primario de </w:t>
      </w:r>
      <w:r w:rsidR="00763BC2" w:rsidRPr="003D20AA">
        <w:rPr>
          <w:rFonts w:cs="Arial"/>
          <w:b/>
          <w:color w:val="000000" w:themeColor="text1"/>
          <w:lang w:val="es-CO"/>
        </w:rPr>
        <w:t>s</w:t>
      </w:r>
      <w:r w:rsidRPr="003D20AA">
        <w:rPr>
          <w:rFonts w:cs="Arial"/>
          <w:b/>
          <w:color w:val="000000" w:themeColor="text1"/>
          <w:lang w:val="es-CO"/>
        </w:rPr>
        <w:t>uministro:</w:t>
      </w:r>
      <w:r w:rsidRPr="003D20AA">
        <w:rPr>
          <w:rFonts w:cs="Arial"/>
          <w:color w:val="000000" w:themeColor="text1"/>
          <w:lang w:val="es-CO"/>
        </w:rPr>
        <w:t xml:space="preserve"> es el mercado donde los Productores-comercializadores de gas natural y los comercializadores de gas importado </w:t>
      </w:r>
      <w:r w:rsidRPr="003D20AA">
        <w:rPr>
          <w:rFonts w:cs="Arial"/>
          <w:b/>
          <w:bCs w:val="0"/>
          <w:color w:val="000000" w:themeColor="text1"/>
          <w:lang w:val="es-CO"/>
        </w:rPr>
        <w:t>ofrece</w:t>
      </w:r>
      <w:r w:rsidR="00CA24F4" w:rsidRPr="003D20AA">
        <w:rPr>
          <w:rFonts w:cs="Arial"/>
          <w:b/>
          <w:bCs w:val="0"/>
          <w:color w:val="000000" w:themeColor="text1"/>
          <w:lang w:val="es-CO"/>
        </w:rPr>
        <w:t>n</w:t>
      </w:r>
      <w:r w:rsidRPr="003D20AA">
        <w:rPr>
          <w:rFonts w:cs="Arial"/>
          <w:b/>
          <w:bCs w:val="0"/>
          <w:color w:val="000000" w:themeColor="text1"/>
          <w:lang w:val="es-CO"/>
        </w:rPr>
        <w:t xml:space="preserve"> </w:t>
      </w:r>
      <w:r w:rsidR="007B4E4A" w:rsidRPr="003D20AA">
        <w:rPr>
          <w:rFonts w:cs="Arial"/>
          <w:b/>
          <w:bCs w:val="0"/>
          <w:color w:val="000000" w:themeColor="text1"/>
          <w:lang w:val="es-CO"/>
        </w:rPr>
        <w:t xml:space="preserve">en venta </w:t>
      </w:r>
      <w:r w:rsidRPr="003D20AA">
        <w:rPr>
          <w:rFonts w:cs="Arial"/>
          <w:b/>
          <w:bCs w:val="0"/>
          <w:color w:val="000000" w:themeColor="text1"/>
          <w:lang w:val="es-CO"/>
        </w:rPr>
        <w:t>el gas natural con destino al servicio público de gas combustible.</w:t>
      </w:r>
    </w:p>
    <w:p w14:paraId="45F896A8" w14:textId="77777777" w:rsidR="0006302B" w:rsidRPr="003D20AA" w:rsidRDefault="0006302B" w:rsidP="0006302B">
      <w:pPr>
        <w:pStyle w:val="ARTICULOS"/>
        <w:numPr>
          <w:ilvl w:val="0"/>
          <w:numId w:val="0"/>
        </w:numPr>
        <w:rPr>
          <w:rFonts w:cs="Arial"/>
          <w:color w:val="000000" w:themeColor="text1"/>
          <w:lang w:val="es-CO"/>
        </w:rPr>
      </w:pPr>
    </w:p>
    <w:p w14:paraId="6CB89713" w14:textId="4B4E955B" w:rsidR="0006302B" w:rsidRPr="003D20AA" w:rsidRDefault="0006302B" w:rsidP="0006302B">
      <w:pPr>
        <w:pStyle w:val="ARTICULOS"/>
        <w:numPr>
          <w:ilvl w:val="0"/>
          <w:numId w:val="0"/>
        </w:numPr>
        <w:rPr>
          <w:rFonts w:cs="Arial"/>
          <w:color w:val="000000" w:themeColor="text1"/>
          <w:lang w:val="es-CO"/>
        </w:rPr>
      </w:pPr>
      <w:r w:rsidRPr="003D20AA">
        <w:rPr>
          <w:rFonts w:cs="Arial"/>
          <w:b/>
          <w:color w:val="000000" w:themeColor="text1"/>
          <w:lang w:val="es-CO"/>
        </w:rPr>
        <w:t>Mercado secundario</w:t>
      </w:r>
      <w:r w:rsidR="00763BC2" w:rsidRPr="003D20AA">
        <w:rPr>
          <w:rFonts w:cs="Arial"/>
          <w:b/>
          <w:color w:val="000000" w:themeColor="text1"/>
          <w:lang w:val="es-CO"/>
        </w:rPr>
        <w:t xml:space="preserve"> de suministro</w:t>
      </w:r>
      <w:r w:rsidRPr="003D20AA">
        <w:rPr>
          <w:rFonts w:cs="Arial"/>
          <w:b/>
          <w:color w:val="000000" w:themeColor="text1"/>
          <w:lang w:val="es-CO"/>
        </w:rPr>
        <w:t>:</w:t>
      </w:r>
      <w:r w:rsidRPr="003D20AA">
        <w:rPr>
          <w:rFonts w:cs="Arial"/>
          <w:color w:val="000000" w:themeColor="text1"/>
          <w:lang w:val="es-CO"/>
        </w:rPr>
        <w:t xml:space="preserve"> mercado donde los </w:t>
      </w:r>
      <w:r w:rsidRPr="003D20AA">
        <w:rPr>
          <w:rFonts w:cs="Arial"/>
          <w:b/>
          <w:bCs w:val="0"/>
          <w:color w:val="000000" w:themeColor="text1"/>
          <w:lang w:val="es-CO"/>
        </w:rPr>
        <w:t>Comercializadores</w:t>
      </w:r>
      <w:r w:rsidR="001620D3" w:rsidRPr="003D20AA">
        <w:rPr>
          <w:rFonts w:cs="Arial"/>
          <w:b/>
          <w:bCs w:val="0"/>
          <w:color w:val="000000" w:themeColor="text1"/>
          <w:lang w:val="es-CO"/>
        </w:rPr>
        <w:t xml:space="preserve"> y los usuarios no regulados, </w:t>
      </w:r>
      <w:r w:rsidR="007B4E4A" w:rsidRPr="003D20AA">
        <w:rPr>
          <w:rFonts w:cs="Arial"/>
          <w:b/>
          <w:bCs w:val="0"/>
          <w:color w:val="000000" w:themeColor="text1"/>
          <w:lang w:val="es-CO"/>
        </w:rPr>
        <w:t>que han adquirido</w:t>
      </w:r>
      <w:r w:rsidR="007B4E4A" w:rsidRPr="003D20AA">
        <w:rPr>
          <w:rFonts w:cs="Arial"/>
          <w:color w:val="000000" w:themeColor="text1"/>
          <w:lang w:val="es-CO"/>
        </w:rPr>
        <w:t xml:space="preserve"> </w:t>
      </w:r>
      <w:r w:rsidRPr="003D20AA">
        <w:rPr>
          <w:rFonts w:cs="Arial"/>
          <w:color w:val="000000" w:themeColor="text1"/>
          <w:lang w:val="es-CO"/>
        </w:rPr>
        <w:t xml:space="preserve">derechos de suministro de </w:t>
      </w:r>
      <w:r w:rsidR="006553F5" w:rsidRPr="003D20AA">
        <w:rPr>
          <w:rFonts w:cs="Arial"/>
          <w:b/>
          <w:bCs w:val="0"/>
          <w:color w:val="000000" w:themeColor="text1"/>
          <w:lang w:val="es-CO"/>
        </w:rPr>
        <w:t xml:space="preserve">volúmenes de </w:t>
      </w:r>
      <w:r w:rsidRPr="003D20AA">
        <w:rPr>
          <w:rFonts w:cs="Arial"/>
          <w:color w:val="000000" w:themeColor="text1"/>
          <w:lang w:val="es-CO"/>
        </w:rPr>
        <w:t>gas</w:t>
      </w:r>
      <w:r w:rsidR="001620D3" w:rsidRPr="003D20AA">
        <w:rPr>
          <w:rFonts w:cs="Arial"/>
          <w:color w:val="000000" w:themeColor="text1"/>
          <w:lang w:val="es-CO"/>
        </w:rPr>
        <w:t>,</w:t>
      </w:r>
      <w:r w:rsidR="008113E4">
        <w:rPr>
          <w:rFonts w:cs="Arial"/>
          <w:color w:val="000000" w:themeColor="text1"/>
          <w:lang w:val="es-CO"/>
        </w:rPr>
        <w:t xml:space="preserve"> </w:t>
      </w:r>
      <w:r w:rsidR="008113E4" w:rsidRPr="00295053">
        <w:rPr>
          <w:rFonts w:cs="Arial"/>
          <w:b/>
          <w:bCs w:val="0"/>
          <w:color w:val="000000" w:themeColor="text1"/>
          <w:lang w:val="es-CO"/>
        </w:rPr>
        <w:t>bien sea en el Mercado Primario o en el Mercado Secundario</w:t>
      </w:r>
      <w:r w:rsidR="008113E4">
        <w:rPr>
          <w:rFonts w:cs="Arial"/>
          <w:color w:val="000000" w:themeColor="text1"/>
          <w:lang w:val="es-CO"/>
        </w:rPr>
        <w:t>,</w:t>
      </w:r>
      <w:r w:rsidRPr="003D20AA">
        <w:rPr>
          <w:rFonts w:cs="Arial"/>
          <w:color w:val="000000" w:themeColor="text1"/>
          <w:lang w:val="es-CO"/>
        </w:rPr>
        <w:t xml:space="preserve"> </w:t>
      </w:r>
      <w:r w:rsidR="006553F5" w:rsidRPr="003D20AA">
        <w:rPr>
          <w:rFonts w:cs="Arial"/>
          <w:b/>
          <w:bCs w:val="0"/>
          <w:color w:val="000000" w:themeColor="text1"/>
          <w:lang w:val="es-CO"/>
        </w:rPr>
        <w:t xml:space="preserve">pueden </w:t>
      </w:r>
      <w:r w:rsidR="006553F5" w:rsidRPr="003D20AA">
        <w:rPr>
          <w:rFonts w:cs="Arial"/>
          <w:color w:val="000000" w:themeColor="text1"/>
          <w:lang w:val="es-CO"/>
        </w:rPr>
        <w:t xml:space="preserve">ofrecer </w:t>
      </w:r>
      <w:r w:rsidR="007B4E4A" w:rsidRPr="003D20AA">
        <w:rPr>
          <w:rFonts w:cs="Arial"/>
          <w:b/>
          <w:bCs w:val="0"/>
          <w:color w:val="000000" w:themeColor="text1"/>
          <w:lang w:val="es-CO"/>
        </w:rPr>
        <w:t>en venta tales</w:t>
      </w:r>
      <w:r w:rsidR="007B4E4A" w:rsidRPr="003D20AA">
        <w:rPr>
          <w:rFonts w:cs="Arial"/>
          <w:color w:val="000000" w:themeColor="text1"/>
          <w:lang w:val="es-CO"/>
        </w:rPr>
        <w:t xml:space="preserve"> </w:t>
      </w:r>
      <w:r w:rsidR="006553F5" w:rsidRPr="003D20AA">
        <w:rPr>
          <w:rFonts w:cs="Arial"/>
          <w:color w:val="000000" w:themeColor="text1"/>
          <w:lang w:val="es-CO"/>
        </w:rPr>
        <w:t>volúmenes</w:t>
      </w:r>
      <w:r w:rsidRPr="003D20AA">
        <w:rPr>
          <w:rFonts w:cs="Arial"/>
          <w:color w:val="000000" w:themeColor="text1"/>
          <w:lang w:val="es-CO"/>
        </w:rPr>
        <w:t>.</w:t>
      </w:r>
    </w:p>
    <w:p w14:paraId="0088B143" w14:textId="77777777" w:rsidR="0006302B" w:rsidRPr="003D20AA" w:rsidRDefault="0006302B" w:rsidP="0006302B">
      <w:pPr>
        <w:pStyle w:val="ARTICULOS"/>
        <w:numPr>
          <w:ilvl w:val="0"/>
          <w:numId w:val="0"/>
        </w:numPr>
        <w:rPr>
          <w:rFonts w:cs="Arial"/>
          <w:color w:val="000000" w:themeColor="text1"/>
          <w:lang w:val="es-CO"/>
        </w:rPr>
      </w:pPr>
    </w:p>
    <w:p w14:paraId="17050679" w14:textId="06A99843" w:rsidR="0006302B" w:rsidRPr="003D20AA" w:rsidRDefault="0006302B" w:rsidP="0006302B">
      <w:pPr>
        <w:shd w:val="clear" w:color="auto" w:fill="FFFFFF"/>
        <w:ind w:left="0"/>
        <w:jc w:val="both"/>
        <w:rPr>
          <w:rFonts w:ascii="Arial" w:hAnsi="Arial" w:cs="Arial"/>
          <w:color w:val="666666"/>
          <w:sz w:val="20"/>
          <w:szCs w:val="20"/>
          <w:lang w:val="es-CO" w:eastAsia="es-CO"/>
        </w:rPr>
      </w:pPr>
      <w:r w:rsidRPr="003D20AA">
        <w:rPr>
          <w:rFonts w:ascii="Bookman Old Style" w:hAnsi="Bookman Old Style" w:cs="Arial"/>
          <w:b/>
          <w:color w:val="000000" w:themeColor="text1"/>
          <w:lang w:val="es-CO" w:eastAsia="x-none"/>
        </w:rPr>
        <w:t>Oferta de cantidades importadas disponibles para la venta en firme, oferta de CIDVF:</w:t>
      </w:r>
      <w:r w:rsidRPr="003D20AA">
        <w:rPr>
          <w:rFonts w:ascii="Bookman Old Style" w:hAnsi="Bookman Old Style" w:cs="Arial"/>
          <w:bCs/>
          <w:color w:val="000000" w:themeColor="text1"/>
          <w:lang w:val="es-CO" w:eastAsia="x-none"/>
        </w:rPr>
        <w:t xml:space="preserve"> cantidad diaria promedio mes de gas natural, expresada en </w:t>
      </w:r>
      <w:r w:rsidR="00713FA9" w:rsidRPr="003D20AA">
        <w:rPr>
          <w:rFonts w:ascii="Bookman Old Style" w:hAnsi="Bookman Old Style" w:cs="Arial"/>
          <w:b/>
          <w:color w:val="000000" w:themeColor="text1"/>
          <w:lang w:val="es-CO" w:eastAsia="x-none"/>
        </w:rPr>
        <w:t>MBTUD</w:t>
      </w:r>
      <w:r w:rsidR="0056759A" w:rsidRPr="003D20AA">
        <w:rPr>
          <w:rFonts w:ascii="Bookman Old Style" w:hAnsi="Bookman Old Style" w:cs="Arial"/>
          <w:bCs/>
          <w:color w:val="000000" w:themeColor="text1"/>
          <w:lang w:val="es-CO" w:eastAsia="x-none"/>
        </w:rPr>
        <w:t>,</w:t>
      </w:r>
      <w:r w:rsidRPr="003D20AA">
        <w:rPr>
          <w:rFonts w:ascii="Bookman Old Style" w:hAnsi="Bookman Old Style" w:cs="Arial"/>
          <w:b/>
          <w:color w:val="000000" w:themeColor="text1"/>
          <w:lang w:val="es-CO" w:eastAsia="x-none"/>
        </w:rPr>
        <w:t xml:space="preserve"> </w:t>
      </w:r>
      <w:r w:rsidR="00DA57D0" w:rsidRPr="003D20AA">
        <w:rPr>
          <w:rFonts w:ascii="Bookman Old Style" w:hAnsi="Bookman Old Style" w:cs="Arial"/>
          <w:b/>
          <w:color w:val="000000" w:themeColor="text1"/>
          <w:lang w:val="es-CO" w:eastAsia="x-none"/>
        </w:rPr>
        <w:t xml:space="preserve">de </w:t>
      </w:r>
      <w:r w:rsidRPr="003D20AA">
        <w:rPr>
          <w:rFonts w:ascii="Bookman Old Style" w:hAnsi="Bookman Old Style" w:cs="Arial"/>
          <w:b/>
          <w:color w:val="000000" w:themeColor="text1"/>
          <w:lang w:val="es-CO" w:eastAsia="x-none"/>
        </w:rPr>
        <w:t xml:space="preserve">las Fuentes de Suministro </w:t>
      </w:r>
      <w:r w:rsidRPr="003D20AA">
        <w:rPr>
          <w:rFonts w:ascii="Bookman Old Style" w:hAnsi="Bookman Old Style" w:cs="Arial"/>
          <w:bCs/>
          <w:color w:val="000000" w:themeColor="text1"/>
          <w:lang w:val="es-CO" w:eastAsia="x-none"/>
        </w:rPr>
        <w:t>que un Comercializador de gas importado está</w:t>
      </w:r>
      <w:r w:rsidRPr="00BB0741">
        <w:rPr>
          <w:rFonts w:ascii="Bookman Old Style" w:hAnsi="Bookman Old Style" w:cs="Arial"/>
          <w:bCs/>
          <w:color w:val="000000" w:themeColor="text1"/>
          <w:lang w:val="es-CO" w:eastAsia="x-none"/>
        </w:rPr>
        <w:t xml:space="preserve"> dispuesto a ofrecer bajo las modalidades </w:t>
      </w:r>
      <w:r>
        <w:rPr>
          <w:rFonts w:ascii="Bookman Old Style" w:hAnsi="Bookman Old Style" w:cs="Arial"/>
          <w:b/>
          <w:color w:val="000000" w:themeColor="text1"/>
          <w:lang w:val="es-CO" w:eastAsia="x-none"/>
        </w:rPr>
        <w:t xml:space="preserve">contractuales </w:t>
      </w:r>
      <w:r w:rsidRPr="00BB0741">
        <w:rPr>
          <w:rFonts w:ascii="Bookman Old Style" w:hAnsi="Bookman Old Style" w:cs="Arial"/>
          <w:bCs/>
          <w:color w:val="000000" w:themeColor="text1"/>
          <w:lang w:val="es-CO" w:eastAsia="x-none"/>
        </w:rPr>
        <w:t xml:space="preserve">que </w:t>
      </w:r>
      <w:r w:rsidR="00030C5B">
        <w:rPr>
          <w:rFonts w:ascii="Bookman Old Style" w:hAnsi="Bookman Old Style" w:cs="Arial"/>
          <w:bCs/>
          <w:color w:val="000000" w:themeColor="text1"/>
          <w:lang w:val="es-CO" w:eastAsia="x-none"/>
        </w:rPr>
        <w:t xml:space="preserve"> garantizan firmeza</w:t>
      </w:r>
      <w:r w:rsidRPr="00BB0741">
        <w:rPr>
          <w:rFonts w:ascii="Bookman Old Style" w:hAnsi="Bookman Old Style" w:cs="Arial"/>
          <w:bCs/>
          <w:color w:val="000000" w:themeColor="text1"/>
          <w:lang w:val="es-CO" w:eastAsia="x-none"/>
        </w:rPr>
        <w:t xml:space="preserve"> según lo dispuesto en la presente resolución. </w:t>
      </w:r>
      <w:r>
        <w:rPr>
          <w:rFonts w:ascii="Bookman Old Style" w:hAnsi="Bookman Old Style" w:cs="Arial"/>
          <w:b/>
          <w:color w:val="000000" w:themeColor="text1"/>
          <w:lang w:val="es-CO" w:eastAsia="x-none"/>
        </w:rPr>
        <w:t xml:space="preserve">Esta oferta </w:t>
      </w:r>
      <w:r>
        <w:rPr>
          <w:rFonts w:ascii="Bookman Old Style" w:hAnsi="Bookman Old Style" w:cs="Arial"/>
          <w:bCs/>
          <w:color w:val="000000" w:themeColor="text1"/>
          <w:lang w:val="es-CO" w:eastAsia="x-none"/>
        </w:rPr>
        <w:t>d</w:t>
      </w:r>
      <w:r w:rsidRPr="00364EFD">
        <w:rPr>
          <w:rFonts w:ascii="Bookman Old Style" w:hAnsi="Bookman Old Style" w:cs="Arial"/>
          <w:bCs/>
          <w:color w:val="000000" w:themeColor="text1"/>
          <w:lang w:val="es-CO" w:eastAsia="x-none"/>
        </w:rPr>
        <w:t>eberá</w:t>
      </w:r>
      <w:r w:rsidRPr="00BB0741">
        <w:rPr>
          <w:rFonts w:ascii="Bookman Old Style" w:hAnsi="Bookman Old Style" w:cs="Arial"/>
          <w:bCs/>
          <w:color w:val="000000" w:themeColor="text1"/>
          <w:lang w:val="es-CO" w:eastAsia="x-none"/>
        </w:rPr>
        <w:t xml:space="preserve"> ser igual o inferior a la cantidad importada disponible para la venta, CIDV, declarada según lo señalado en el </w:t>
      </w:r>
      <w:r w:rsidRPr="003D20AA">
        <w:rPr>
          <w:rFonts w:ascii="Bookman Old Style" w:hAnsi="Bookman Old Style" w:cs="Arial"/>
          <w:bCs/>
          <w:color w:val="000000" w:themeColor="text1"/>
          <w:lang w:val="es-CO" w:eastAsia="x-none"/>
        </w:rPr>
        <w:t xml:space="preserve">Decreto 2100 de 2011 o aquel que lo modifique o sustituya. </w:t>
      </w:r>
      <w:r w:rsidRPr="003D20AA">
        <w:rPr>
          <w:rFonts w:ascii="Bookman Old Style" w:hAnsi="Bookman Old Style" w:cs="Arial"/>
          <w:b/>
          <w:color w:val="000000" w:themeColor="text1"/>
          <w:lang w:val="es-CO"/>
        </w:rPr>
        <w:t>La oferta de CIDVF requiere contar con Respaldo Físico</w:t>
      </w:r>
      <w:r w:rsidR="006C413C" w:rsidRPr="003D20AA">
        <w:rPr>
          <w:rFonts w:ascii="Bookman Old Style" w:hAnsi="Bookman Old Style" w:cs="Arial"/>
          <w:b/>
          <w:color w:val="000000" w:themeColor="text1"/>
          <w:lang w:val="es-CO"/>
        </w:rPr>
        <w:t xml:space="preserve"> de gas obtenido en el exterior</w:t>
      </w:r>
      <w:r w:rsidRPr="003D20AA">
        <w:rPr>
          <w:rFonts w:ascii="Bookman Old Style" w:hAnsi="Bookman Old Style" w:cs="Arial"/>
          <w:b/>
          <w:color w:val="000000" w:themeColor="text1"/>
          <w:lang w:val="es-CO"/>
        </w:rPr>
        <w:t xml:space="preserve">. </w:t>
      </w:r>
    </w:p>
    <w:p w14:paraId="36D60D1A" w14:textId="77777777" w:rsidR="0006302B" w:rsidRPr="003D20AA" w:rsidRDefault="0006302B" w:rsidP="0006302B">
      <w:pPr>
        <w:ind w:left="0"/>
        <w:jc w:val="both"/>
        <w:rPr>
          <w:rFonts w:ascii="Bookman Old Style" w:hAnsi="Bookman Old Style" w:cs="Arial"/>
          <w:b/>
          <w:bCs/>
          <w:color w:val="000000" w:themeColor="text1"/>
          <w:lang w:val="es-CO"/>
        </w:rPr>
      </w:pPr>
    </w:p>
    <w:p w14:paraId="4CC165D0" w14:textId="18F975EF" w:rsidR="0006302B" w:rsidRPr="003D20AA" w:rsidRDefault="0006302B" w:rsidP="0006302B">
      <w:pPr>
        <w:shd w:val="clear" w:color="auto" w:fill="FFFFFF"/>
        <w:ind w:left="0"/>
        <w:jc w:val="both"/>
        <w:rPr>
          <w:rFonts w:ascii="Arial" w:hAnsi="Arial" w:cs="Arial"/>
          <w:color w:val="666666"/>
          <w:sz w:val="20"/>
          <w:szCs w:val="20"/>
          <w:lang w:val="es-CO" w:eastAsia="es-CO"/>
        </w:rPr>
      </w:pPr>
      <w:r w:rsidRPr="003D20AA">
        <w:rPr>
          <w:rFonts w:ascii="Bookman Old Style" w:hAnsi="Bookman Old Style" w:cs="Arial"/>
          <w:b/>
          <w:bCs/>
          <w:color w:val="000000" w:themeColor="text1"/>
          <w:lang w:val="es-CO"/>
        </w:rPr>
        <w:t>Oferta de producción total disponible para la venta en firme, oferta de PTDVF:</w:t>
      </w:r>
      <w:r w:rsidRPr="003D20AA">
        <w:rPr>
          <w:rFonts w:ascii="Bookman Old Style" w:hAnsi="Bookman Old Style" w:cs="Arial"/>
          <w:bCs/>
          <w:color w:val="000000" w:themeColor="text1"/>
          <w:lang w:val="es-CO"/>
        </w:rPr>
        <w:t xml:space="preserve"> cantidad diaria promedio mes de gas natural, expresada en </w:t>
      </w:r>
      <w:r w:rsidR="00713FA9" w:rsidRPr="003D20AA">
        <w:rPr>
          <w:rFonts w:ascii="Bookman Old Style" w:hAnsi="Bookman Old Style" w:cs="Arial"/>
          <w:b/>
          <w:color w:val="000000" w:themeColor="text1"/>
          <w:lang w:val="es-CO"/>
        </w:rPr>
        <w:t>MBTUD</w:t>
      </w:r>
      <w:r w:rsidRPr="003D20AA">
        <w:rPr>
          <w:rFonts w:ascii="Bookman Old Style" w:hAnsi="Bookman Old Style" w:cs="Arial"/>
          <w:b/>
          <w:color w:val="000000" w:themeColor="text1"/>
          <w:lang w:val="es-CO"/>
        </w:rPr>
        <w:t xml:space="preserve">, por </w:t>
      </w:r>
      <w:r w:rsidR="00EA17AF" w:rsidRPr="003D20AA">
        <w:rPr>
          <w:rFonts w:ascii="Bookman Old Style" w:hAnsi="Bookman Old Style" w:cs="Arial"/>
          <w:b/>
          <w:color w:val="000000" w:themeColor="text1"/>
          <w:lang w:val="es-CO"/>
        </w:rPr>
        <w:t>Punto de Entrega</w:t>
      </w:r>
      <w:r w:rsidRPr="003D20AA">
        <w:rPr>
          <w:rFonts w:ascii="Bookman Old Style" w:hAnsi="Bookman Old Style" w:cs="Arial"/>
          <w:b/>
          <w:color w:val="000000" w:themeColor="text1"/>
          <w:lang w:val="es-CO" w:eastAsia="x-none"/>
        </w:rPr>
        <w:t xml:space="preserve"> de </w:t>
      </w:r>
      <w:r w:rsidR="00EA17AF" w:rsidRPr="003D20AA">
        <w:rPr>
          <w:rFonts w:ascii="Bookman Old Style" w:hAnsi="Bookman Old Style" w:cs="Arial"/>
          <w:b/>
          <w:color w:val="000000" w:themeColor="text1"/>
          <w:lang w:val="es-CO" w:eastAsia="x-none"/>
        </w:rPr>
        <w:t xml:space="preserve">sus </w:t>
      </w:r>
      <w:r w:rsidRPr="003D20AA">
        <w:rPr>
          <w:rFonts w:ascii="Bookman Old Style" w:hAnsi="Bookman Old Style" w:cs="Arial"/>
          <w:b/>
          <w:color w:val="000000" w:themeColor="text1"/>
          <w:lang w:val="es-CO" w:eastAsia="x-none"/>
        </w:rPr>
        <w:t>Fuentes de Suministro</w:t>
      </w:r>
      <w:r w:rsidRPr="003D20AA">
        <w:rPr>
          <w:rFonts w:ascii="Bookman Old Style" w:hAnsi="Bookman Old Style" w:cs="Arial"/>
          <w:bCs/>
          <w:color w:val="000000" w:themeColor="text1"/>
          <w:lang w:val="es-CO"/>
        </w:rPr>
        <w:t xml:space="preserve">, que un Productor-comercializador está dispuesto a ofrecer bajo las modalidades contractuales que </w:t>
      </w:r>
      <w:r w:rsidR="00030C5B">
        <w:rPr>
          <w:rFonts w:ascii="Bookman Old Style" w:hAnsi="Bookman Old Style" w:cs="Arial"/>
          <w:bCs/>
          <w:color w:val="000000" w:themeColor="text1"/>
          <w:lang w:val="es-CO"/>
        </w:rPr>
        <w:t xml:space="preserve"> garantizan firmeza</w:t>
      </w:r>
      <w:r w:rsidRPr="003D20AA">
        <w:rPr>
          <w:rFonts w:ascii="Bookman Old Style" w:hAnsi="Bookman Old Style" w:cs="Arial"/>
          <w:bCs/>
          <w:color w:val="000000" w:themeColor="text1"/>
          <w:lang w:val="es-CO"/>
        </w:rPr>
        <w:t xml:space="preserve"> según lo dispuesto en la presente resolución. </w:t>
      </w:r>
      <w:r w:rsidRPr="003D20AA">
        <w:rPr>
          <w:rFonts w:ascii="Bookman Old Style" w:hAnsi="Bookman Old Style" w:cs="Arial"/>
          <w:b/>
          <w:color w:val="000000" w:themeColor="text1"/>
          <w:lang w:val="es-CO" w:eastAsia="x-none"/>
        </w:rPr>
        <w:t>Esta Oferta deberá</w:t>
      </w:r>
      <w:r w:rsidRPr="003D20AA">
        <w:rPr>
          <w:rFonts w:ascii="Bookman Old Style" w:hAnsi="Bookman Old Style" w:cs="Arial"/>
          <w:bCs/>
          <w:color w:val="000000" w:themeColor="text1"/>
          <w:lang w:val="es-CO" w:eastAsia="x-none"/>
        </w:rPr>
        <w:t xml:space="preserve"> </w:t>
      </w:r>
      <w:r w:rsidRPr="003D20AA">
        <w:rPr>
          <w:rFonts w:ascii="Bookman Old Style" w:hAnsi="Bookman Old Style" w:cs="Arial"/>
          <w:bCs/>
          <w:color w:val="000000" w:themeColor="text1"/>
          <w:lang w:val="es-CO"/>
        </w:rPr>
        <w:t xml:space="preserve">ser igual o inferior a la producción total disponible para la venta, PTDV, declarada según lo señalado en el Decreto 2100 de 2011 o aquel que lo </w:t>
      </w:r>
      <w:r w:rsidRPr="003D20AA">
        <w:rPr>
          <w:rFonts w:ascii="Bookman Old Style" w:hAnsi="Bookman Old Style" w:cs="Arial"/>
          <w:color w:val="000000" w:themeColor="text1"/>
          <w:lang w:val="es-CO"/>
        </w:rPr>
        <w:t>modifique o sustituya</w:t>
      </w:r>
      <w:r w:rsidR="003A6AB2">
        <w:rPr>
          <w:rFonts w:ascii="Bookman Old Style" w:hAnsi="Bookman Old Style" w:cs="Arial"/>
          <w:color w:val="000000" w:themeColor="text1"/>
          <w:lang w:val="es-CO"/>
        </w:rPr>
        <w:t xml:space="preserve">, </w:t>
      </w:r>
      <w:r w:rsidR="003A6AB2" w:rsidRPr="003A6AB2">
        <w:rPr>
          <w:rFonts w:ascii="Bookman Old Style" w:hAnsi="Bookman Old Style" w:cs="Arial"/>
          <w:b/>
          <w:bCs/>
          <w:color w:val="000000" w:themeColor="text1"/>
          <w:lang w:val="es-CO"/>
        </w:rPr>
        <w:t xml:space="preserve">que le corresponda al </w:t>
      </w:r>
      <w:r w:rsidR="003A6AB2">
        <w:rPr>
          <w:rFonts w:ascii="Bookman Old Style" w:hAnsi="Bookman Old Style" w:cs="Arial"/>
          <w:b/>
          <w:bCs/>
          <w:color w:val="000000" w:themeColor="text1"/>
          <w:lang w:val="es-CO"/>
        </w:rPr>
        <w:t xml:space="preserve">mismo </w:t>
      </w:r>
      <w:r w:rsidR="003A6AB2" w:rsidRPr="003A6AB2">
        <w:rPr>
          <w:rFonts w:ascii="Bookman Old Style" w:hAnsi="Bookman Old Style" w:cs="Arial"/>
          <w:b/>
          <w:bCs/>
          <w:color w:val="000000" w:themeColor="text1"/>
          <w:lang w:val="es-CO"/>
        </w:rPr>
        <w:t>P</w:t>
      </w:r>
      <w:r w:rsidR="003A6AB2">
        <w:rPr>
          <w:rFonts w:ascii="Bookman Old Style" w:hAnsi="Bookman Old Style" w:cs="Arial"/>
          <w:b/>
          <w:bCs/>
          <w:color w:val="000000" w:themeColor="text1"/>
          <w:lang w:val="es-CO"/>
        </w:rPr>
        <w:t>r</w:t>
      </w:r>
      <w:r w:rsidR="003A6AB2" w:rsidRPr="003A6AB2">
        <w:rPr>
          <w:rFonts w:ascii="Bookman Old Style" w:hAnsi="Bookman Old Style" w:cs="Arial"/>
          <w:b/>
          <w:bCs/>
          <w:color w:val="000000" w:themeColor="text1"/>
          <w:lang w:val="es-CO"/>
        </w:rPr>
        <w:t>od</w:t>
      </w:r>
      <w:r w:rsidR="003A6AB2">
        <w:rPr>
          <w:rFonts w:ascii="Bookman Old Style" w:hAnsi="Bookman Old Style" w:cs="Arial"/>
          <w:b/>
          <w:bCs/>
          <w:color w:val="000000" w:themeColor="text1"/>
          <w:lang w:val="es-CO"/>
        </w:rPr>
        <w:t>uct</w:t>
      </w:r>
      <w:r w:rsidR="003A6AB2" w:rsidRPr="003A6AB2">
        <w:rPr>
          <w:rFonts w:ascii="Bookman Old Style" w:hAnsi="Bookman Old Style" w:cs="Arial"/>
          <w:b/>
          <w:bCs/>
          <w:color w:val="000000" w:themeColor="text1"/>
          <w:lang w:val="es-CO"/>
        </w:rPr>
        <w:t>or-Co</w:t>
      </w:r>
      <w:r w:rsidR="003A6AB2">
        <w:rPr>
          <w:rFonts w:ascii="Bookman Old Style" w:hAnsi="Bookman Old Style" w:cs="Arial"/>
          <w:b/>
          <w:bCs/>
          <w:color w:val="000000" w:themeColor="text1"/>
          <w:lang w:val="es-CO"/>
        </w:rPr>
        <w:t>m</w:t>
      </w:r>
      <w:r w:rsidR="003A6AB2" w:rsidRPr="003A6AB2">
        <w:rPr>
          <w:rFonts w:ascii="Bookman Old Style" w:hAnsi="Bookman Old Style" w:cs="Arial"/>
          <w:b/>
          <w:bCs/>
          <w:color w:val="000000" w:themeColor="text1"/>
          <w:lang w:val="es-CO"/>
        </w:rPr>
        <w:t>erc</w:t>
      </w:r>
      <w:r w:rsidR="003A6AB2">
        <w:rPr>
          <w:rFonts w:ascii="Bookman Old Style" w:hAnsi="Bookman Old Style" w:cs="Arial"/>
          <w:b/>
          <w:bCs/>
          <w:color w:val="000000" w:themeColor="text1"/>
          <w:lang w:val="es-CO"/>
        </w:rPr>
        <w:t>iali</w:t>
      </w:r>
      <w:r w:rsidR="003A6AB2" w:rsidRPr="003A6AB2">
        <w:rPr>
          <w:rFonts w:ascii="Bookman Old Style" w:hAnsi="Bookman Old Style" w:cs="Arial"/>
          <w:b/>
          <w:bCs/>
          <w:color w:val="000000" w:themeColor="text1"/>
          <w:lang w:val="es-CO"/>
        </w:rPr>
        <w:t>zador</w:t>
      </w:r>
      <w:r w:rsidRPr="003D20AA">
        <w:rPr>
          <w:rFonts w:ascii="Bookman Old Style" w:hAnsi="Bookman Old Style" w:cs="Arial"/>
          <w:bCs/>
          <w:color w:val="000000" w:themeColor="text1"/>
          <w:lang w:val="es-CO"/>
        </w:rPr>
        <w:t xml:space="preserve">. </w:t>
      </w:r>
      <w:r w:rsidRPr="003D20AA">
        <w:rPr>
          <w:rFonts w:ascii="Bookman Old Style" w:hAnsi="Bookman Old Style" w:cs="Arial"/>
          <w:b/>
          <w:color w:val="000000" w:themeColor="text1"/>
          <w:lang w:val="es-CO"/>
        </w:rPr>
        <w:t>La oferta de PTDVF requiere contar con Respaldo Físico</w:t>
      </w:r>
      <w:r w:rsidR="00AC6A1F" w:rsidRPr="003D20AA">
        <w:rPr>
          <w:rFonts w:ascii="Bookman Old Style" w:hAnsi="Bookman Old Style" w:cs="Arial"/>
          <w:b/>
          <w:color w:val="000000" w:themeColor="text1"/>
          <w:lang w:val="es-CO"/>
        </w:rPr>
        <w:t>.</w:t>
      </w:r>
    </w:p>
    <w:p w14:paraId="326BCA1C" w14:textId="77777777" w:rsidR="0006302B" w:rsidRPr="003D20AA" w:rsidRDefault="0006302B" w:rsidP="0006302B">
      <w:pPr>
        <w:ind w:left="0"/>
        <w:jc w:val="both"/>
        <w:rPr>
          <w:rFonts w:ascii="Bookman Old Style" w:hAnsi="Bookman Old Style" w:cs="Arial"/>
          <w:bCs/>
          <w:color w:val="000000" w:themeColor="text1"/>
          <w:lang w:val="es-CO"/>
        </w:rPr>
      </w:pPr>
    </w:p>
    <w:p w14:paraId="6C355D13" w14:textId="4B3D697C" w:rsidR="0006302B" w:rsidRPr="003D20AA" w:rsidRDefault="0006302B" w:rsidP="0006302B">
      <w:pPr>
        <w:pStyle w:val="ARTICULOS"/>
        <w:numPr>
          <w:ilvl w:val="0"/>
          <w:numId w:val="0"/>
        </w:numPr>
        <w:rPr>
          <w:rFonts w:cs="Arial"/>
          <w:b/>
          <w:bCs w:val="0"/>
          <w:color w:val="000000" w:themeColor="text1"/>
          <w:lang w:val="es-CO"/>
        </w:rPr>
      </w:pPr>
      <w:r w:rsidRPr="003D20AA">
        <w:rPr>
          <w:rFonts w:cs="Arial"/>
          <w:b/>
          <w:color w:val="000000" w:themeColor="text1"/>
          <w:lang w:val="es-CO"/>
        </w:rPr>
        <w:t>Participantes del Mercado Mayorista:</w:t>
      </w:r>
      <w:r w:rsidRPr="003D20AA">
        <w:rPr>
          <w:rFonts w:cs="Arial"/>
          <w:color w:val="000000" w:themeColor="text1"/>
          <w:lang w:val="es-CO"/>
        </w:rPr>
        <w:t xml:space="preserve"> personas jurídicas entre las cuales se dan las relaciones operativas y/o comerciales de compra, venta, cesión, </w:t>
      </w:r>
      <w:r w:rsidRPr="003D20AA">
        <w:rPr>
          <w:rFonts w:cs="Arial"/>
          <w:color w:val="000000" w:themeColor="text1"/>
          <w:lang w:val="es-CO"/>
        </w:rPr>
        <w:lastRenderedPageBreak/>
        <w:t>suministro y/o transporte de gas natural, comenzando desde la producción</w:t>
      </w:r>
      <w:r w:rsidR="0056759A" w:rsidRPr="003D20AA">
        <w:rPr>
          <w:rFonts w:cs="Arial"/>
          <w:color w:val="000000" w:themeColor="text1"/>
          <w:lang w:val="es-CO"/>
        </w:rPr>
        <w:t>,</w:t>
      </w:r>
      <w:r w:rsidRPr="003D20AA">
        <w:rPr>
          <w:rFonts w:cs="Arial"/>
          <w:color w:val="000000" w:themeColor="text1"/>
          <w:lang w:val="es-CO"/>
        </w:rPr>
        <w:t xml:space="preserve"> y pasando por los sistemas de transporte</w:t>
      </w:r>
      <w:r w:rsidR="0056759A" w:rsidRPr="003D20AA">
        <w:rPr>
          <w:rFonts w:cs="Arial"/>
          <w:color w:val="000000" w:themeColor="text1"/>
          <w:lang w:val="es-CO"/>
        </w:rPr>
        <w:t>,</w:t>
      </w:r>
      <w:r w:rsidRPr="003D20AA">
        <w:rPr>
          <w:rFonts w:cs="Arial"/>
          <w:color w:val="000000" w:themeColor="text1"/>
          <w:lang w:val="es-CO"/>
        </w:rPr>
        <w:t xml:space="preserve"> hasta alcanzar el punto de salida de un usuario. Son Participantes los Productores-comercializadores, los Comercializadores de gas importado, los transportadores,</w:t>
      </w:r>
      <w:r w:rsidR="003B1C1C" w:rsidRPr="003D20AA">
        <w:rPr>
          <w:rFonts w:cs="Arial"/>
          <w:color w:val="000000" w:themeColor="text1"/>
          <w:lang w:val="es-CO"/>
        </w:rPr>
        <w:t xml:space="preserve"> </w:t>
      </w:r>
      <w:r w:rsidRPr="003D20AA">
        <w:rPr>
          <w:rFonts w:cs="Arial"/>
          <w:color w:val="000000" w:themeColor="text1"/>
          <w:lang w:val="es-CO"/>
        </w:rPr>
        <w:t>los distribuidores, los Comercializadores, los Almacenadores y los usuarios no regulados.</w:t>
      </w:r>
    </w:p>
    <w:p w14:paraId="564097FD" w14:textId="726EBE37" w:rsidR="0006302B" w:rsidRPr="003D20AA" w:rsidRDefault="0006302B" w:rsidP="0006302B">
      <w:pPr>
        <w:ind w:left="0"/>
        <w:jc w:val="both"/>
        <w:rPr>
          <w:rFonts w:ascii="Bookman Old Style" w:hAnsi="Bookman Old Style" w:cs="Arial"/>
          <w:bCs/>
          <w:strike/>
          <w:color w:val="000000" w:themeColor="text1"/>
          <w:lang w:val="es-CO"/>
        </w:rPr>
      </w:pPr>
    </w:p>
    <w:p w14:paraId="2743ECE2" w14:textId="33461853" w:rsidR="00640A5A" w:rsidRDefault="00640A5A" w:rsidP="00640A5A">
      <w:pPr>
        <w:ind w:left="0"/>
        <w:jc w:val="both"/>
        <w:rPr>
          <w:rFonts w:ascii="Bookman Old Style" w:hAnsi="Bookman Old Style"/>
          <w:b/>
          <w:bCs/>
          <w:lang w:val="es-CO" w:eastAsia="x-none"/>
        </w:rPr>
      </w:pPr>
      <w:r>
        <w:rPr>
          <w:rFonts w:ascii="Bookman Old Style" w:hAnsi="Bookman Old Style"/>
          <w:b/>
          <w:bCs/>
          <w:lang w:val="es-CO" w:eastAsia="x-none"/>
        </w:rPr>
        <w:t xml:space="preserve">Potencial de Producción de gas natural de un campo determinado, PP: </w:t>
      </w:r>
      <w:r>
        <w:rPr>
          <w:rFonts w:ascii="Bookman Old Style" w:hAnsi="Bookman Old Style" w:cs="Arial"/>
          <w:b/>
          <w:bCs/>
          <w:color w:val="000000" w:themeColor="text1"/>
          <w:lang w:val="es-CO"/>
        </w:rPr>
        <w:t>de acuerdo con lo dispuesto en el artículo 2.2.2.1.3. del Decreto 1073 de 2015 o aquel que lo modifique, adicione o sustituya c</w:t>
      </w:r>
      <w:r w:rsidRPr="009C18DF">
        <w:rPr>
          <w:rFonts w:ascii="Bookman Old Style" w:hAnsi="Bookman Old Style" w:cs="Arial"/>
          <w:b/>
          <w:bCs/>
          <w:color w:val="000000" w:themeColor="text1"/>
          <w:lang w:val="es-CO"/>
        </w:rPr>
        <w:t>orresponde a</w:t>
      </w:r>
      <w:r>
        <w:rPr>
          <w:rFonts w:ascii="Bookman Old Style" w:hAnsi="Bookman Old Style" w:cs="Arial"/>
          <w:b/>
          <w:bCs/>
          <w:color w:val="000000" w:themeColor="text1"/>
          <w:lang w:val="es-CO"/>
        </w:rPr>
        <w:t>l p</w:t>
      </w:r>
      <w:r w:rsidRPr="00640A5A">
        <w:rPr>
          <w:rFonts w:ascii="Bookman Old Style" w:hAnsi="Bookman Old Style" w:cs="Arial"/>
          <w:b/>
          <w:bCs/>
          <w:color w:val="000000" w:themeColor="text1"/>
          <w:lang w:val="es-CO"/>
        </w:rPr>
        <w:t>ronóstico de las cantidades de gas natural, medidas en GBTUD, que</w:t>
      </w:r>
      <w:r>
        <w:rPr>
          <w:rFonts w:ascii="Bookman Old Style" w:hAnsi="Bookman Old Style" w:cs="Arial"/>
          <w:b/>
          <w:bCs/>
          <w:color w:val="000000" w:themeColor="text1"/>
          <w:lang w:val="es-CO"/>
        </w:rPr>
        <w:t xml:space="preserve"> </w:t>
      </w:r>
      <w:r w:rsidRPr="00640A5A">
        <w:rPr>
          <w:rFonts w:ascii="Bookman Old Style" w:hAnsi="Bookman Old Style" w:cs="Arial"/>
          <w:b/>
          <w:bCs/>
          <w:color w:val="000000" w:themeColor="text1"/>
          <w:lang w:val="es-CO"/>
        </w:rPr>
        <w:t>pueden ser producidas diariamente en promedio mes, en cada campo o puestas en un punto de entrada al SNT para atender los requerimientos</w:t>
      </w:r>
      <w:r>
        <w:rPr>
          <w:rFonts w:ascii="Bookman Old Style" w:hAnsi="Bookman Old Style" w:cs="Arial"/>
          <w:b/>
          <w:bCs/>
          <w:color w:val="000000" w:themeColor="text1"/>
          <w:lang w:val="es-CO"/>
        </w:rPr>
        <w:t xml:space="preserve"> </w:t>
      </w:r>
      <w:r w:rsidRPr="00640A5A">
        <w:rPr>
          <w:rFonts w:ascii="Bookman Old Style" w:hAnsi="Bookman Old Style" w:cs="Arial"/>
          <w:b/>
          <w:bCs/>
          <w:color w:val="000000" w:themeColor="text1"/>
          <w:lang w:val="es-CO"/>
        </w:rPr>
        <w:t>de la demanda, descontando las cantidades de gas natural requeridas para la operación. Este pronóstico considera el desarrollo de las Reservas</w:t>
      </w:r>
      <w:r>
        <w:rPr>
          <w:rFonts w:ascii="Bookman Old Style" w:hAnsi="Bookman Old Style" w:cs="Arial"/>
          <w:b/>
          <w:bCs/>
          <w:color w:val="000000" w:themeColor="text1"/>
          <w:lang w:val="es-CO"/>
        </w:rPr>
        <w:t xml:space="preserve"> </w:t>
      </w:r>
      <w:r w:rsidRPr="00640A5A">
        <w:rPr>
          <w:rFonts w:ascii="Bookman Old Style" w:hAnsi="Bookman Old Style" w:cs="Arial"/>
          <w:b/>
          <w:bCs/>
          <w:color w:val="000000" w:themeColor="text1"/>
          <w:lang w:val="es-CO"/>
        </w:rPr>
        <w:t>de Gas Natural, la información técnica de los yacimientos del campo o campos de producción a la tasa máxima eficiente de recobro y está</w:t>
      </w:r>
      <w:r>
        <w:rPr>
          <w:rFonts w:ascii="Bookman Old Style" w:hAnsi="Bookman Old Style" w:cs="Arial"/>
          <w:b/>
          <w:bCs/>
          <w:color w:val="000000" w:themeColor="text1"/>
          <w:lang w:val="es-CO"/>
        </w:rPr>
        <w:t xml:space="preserve"> </w:t>
      </w:r>
      <w:r w:rsidRPr="00640A5A">
        <w:rPr>
          <w:rFonts w:ascii="Bookman Old Style" w:hAnsi="Bookman Old Style" w:cs="Arial"/>
          <w:b/>
          <w:bCs/>
          <w:color w:val="000000" w:themeColor="text1"/>
          <w:lang w:val="es-CO"/>
        </w:rPr>
        <w:t>basado en la capacidad nominal de las instalaciones de producción existentes y proyectadas. El PP de un campo corresponde a la suma de la PC,</w:t>
      </w:r>
      <w:r>
        <w:rPr>
          <w:rFonts w:ascii="Bookman Old Style" w:hAnsi="Bookman Old Style" w:cs="Arial"/>
          <w:b/>
          <w:bCs/>
          <w:color w:val="000000" w:themeColor="text1"/>
          <w:lang w:val="es-CO"/>
        </w:rPr>
        <w:t xml:space="preserve"> </w:t>
      </w:r>
      <w:r w:rsidRPr="00640A5A">
        <w:rPr>
          <w:rFonts w:ascii="Bookman Old Style" w:hAnsi="Bookman Old Style" w:cs="Arial"/>
          <w:b/>
          <w:bCs/>
          <w:color w:val="000000" w:themeColor="text1"/>
          <w:lang w:val="es-CO"/>
        </w:rPr>
        <w:t>la PTDV y el Gas Natural de Propiedad del Estado.</w:t>
      </w:r>
    </w:p>
    <w:p w14:paraId="1F2BD769" w14:textId="77777777" w:rsidR="00640A5A" w:rsidRDefault="00640A5A" w:rsidP="00125016">
      <w:pPr>
        <w:ind w:left="0"/>
        <w:jc w:val="both"/>
        <w:rPr>
          <w:rFonts w:ascii="Bookman Old Style" w:hAnsi="Bookman Old Style"/>
          <w:b/>
          <w:bCs/>
          <w:lang w:val="es-CO" w:eastAsia="x-none"/>
        </w:rPr>
      </w:pPr>
    </w:p>
    <w:p w14:paraId="5FD7D3CF" w14:textId="3EBE2204" w:rsidR="00125016" w:rsidRPr="003D20AA" w:rsidRDefault="00125016" w:rsidP="00125016">
      <w:pPr>
        <w:ind w:left="0"/>
        <w:jc w:val="both"/>
        <w:rPr>
          <w:rFonts w:ascii="Bookman Old Style" w:hAnsi="Bookman Old Style"/>
          <w:b/>
          <w:bCs/>
          <w:lang w:val="es-CO" w:eastAsia="x-none"/>
        </w:rPr>
      </w:pPr>
      <w:r w:rsidRPr="003D20AA">
        <w:rPr>
          <w:rFonts w:ascii="Bookman Old Style" w:hAnsi="Bookman Old Style"/>
          <w:b/>
          <w:bCs/>
          <w:lang w:val="es-CO" w:eastAsia="x-none"/>
        </w:rPr>
        <w:t xml:space="preserve">Precio de reserva: precio mínimo al cual se ofrece para la venta </w:t>
      </w:r>
      <w:r w:rsidR="00B04003" w:rsidRPr="003D20AA">
        <w:rPr>
          <w:rFonts w:ascii="Bookman Old Style" w:hAnsi="Bookman Old Style"/>
          <w:b/>
          <w:bCs/>
          <w:lang w:val="es-CO" w:eastAsia="x-none"/>
        </w:rPr>
        <w:t>gas natural</w:t>
      </w:r>
      <w:r w:rsidRPr="003D20AA">
        <w:rPr>
          <w:rFonts w:ascii="Bookman Old Style" w:hAnsi="Bookman Old Style"/>
          <w:b/>
          <w:bCs/>
          <w:lang w:val="es-CO" w:eastAsia="x-none"/>
        </w:rPr>
        <w:t xml:space="preserve"> en </w:t>
      </w:r>
      <w:r w:rsidR="00063069" w:rsidRPr="003D20AA">
        <w:rPr>
          <w:rFonts w:ascii="Bookman Old Style" w:hAnsi="Bookman Old Style"/>
          <w:b/>
          <w:bCs/>
          <w:lang w:val="es-CO" w:eastAsia="x-none"/>
        </w:rPr>
        <w:t>un</w:t>
      </w:r>
      <w:r w:rsidRPr="003D20AA">
        <w:rPr>
          <w:rFonts w:ascii="Bookman Old Style" w:hAnsi="Bookman Old Style"/>
          <w:b/>
          <w:bCs/>
          <w:lang w:val="es-CO" w:eastAsia="x-none"/>
        </w:rPr>
        <w:t>a subasta</w:t>
      </w:r>
      <w:r w:rsidR="005C0F94" w:rsidRPr="003D20AA">
        <w:rPr>
          <w:rFonts w:ascii="Bookman Old Style" w:hAnsi="Bookman Old Style"/>
          <w:b/>
          <w:bCs/>
          <w:lang w:val="es-CO" w:eastAsia="x-none"/>
        </w:rPr>
        <w:t xml:space="preserve"> o en un mecanismo de concurrencia de interesados en comprar</w:t>
      </w:r>
      <w:r w:rsidR="002C1E1D" w:rsidRPr="003D20AA">
        <w:rPr>
          <w:rFonts w:ascii="Bookman Old Style" w:hAnsi="Bookman Old Style"/>
          <w:b/>
          <w:bCs/>
          <w:lang w:val="es-CO" w:eastAsia="x-none"/>
        </w:rPr>
        <w:t xml:space="preserve"> gas</w:t>
      </w:r>
      <w:r w:rsidRPr="003D20AA">
        <w:rPr>
          <w:rFonts w:ascii="Bookman Old Style" w:hAnsi="Bookman Old Style"/>
          <w:b/>
          <w:bCs/>
          <w:lang w:val="es-CO" w:eastAsia="x-none"/>
        </w:rPr>
        <w:t xml:space="preserve">. </w:t>
      </w:r>
    </w:p>
    <w:p w14:paraId="6B8EC992" w14:textId="77777777" w:rsidR="00125016" w:rsidRPr="003D20AA" w:rsidRDefault="00125016" w:rsidP="0006302B">
      <w:pPr>
        <w:ind w:left="0"/>
        <w:jc w:val="both"/>
        <w:rPr>
          <w:rFonts w:ascii="Bookman Old Style" w:hAnsi="Bookman Old Style" w:cs="Arial"/>
          <w:bCs/>
          <w:strike/>
          <w:color w:val="000000" w:themeColor="text1"/>
          <w:lang w:val="es-CO"/>
        </w:rPr>
      </w:pPr>
    </w:p>
    <w:p w14:paraId="0713A8F1" w14:textId="77777777" w:rsidR="0006302B" w:rsidRPr="00E86A01" w:rsidRDefault="0006302B" w:rsidP="0006302B">
      <w:pPr>
        <w:pStyle w:val="ARTICULOS"/>
        <w:numPr>
          <w:ilvl w:val="0"/>
          <w:numId w:val="0"/>
        </w:numPr>
        <w:rPr>
          <w:rFonts w:cs="Arial"/>
          <w:color w:val="000000" w:themeColor="text1"/>
          <w:lang w:val="es-CO"/>
        </w:rPr>
      </w:pPr>
      <w:r w:rsidRPr="00E86A01">
        <w:rPr>
          <w:rFonts w:cs="Arial"/>
          <w:b/>
          <w:color w:val="000000" w:themeColor="text1"/>
          <w:lang w:val="es-CO"/>
        </w:rPr>
        <w:t>Proceso úselo o véndalo de corto plazo de suministro:</w:t>
      </w:r>
      <w:r w:rsidRPr="00E86A01">
        <w:rPr>
          <w:rFonts w:cs="Arial"/>
          <w:color w:val="000000" w:themeColor="text1"/>
          <w:lang w:val="es-CO"/>
        </w:rPr>
        <w:t xml:space="preserve"> mecanismo por medio del cual se pone a disposición de los </w:t>
      </w:r>
      <w:r>
        <w:rPr>
          <w:rFonts w:cs="Arial"/>
          <w:b/>
          <w:bCs w:val="0"/>
          <w:color w:val="000000" w:themeColor="text1"/>
          <w:lang w:val="es-CO"/>
        </w:rPr>
        <w:t xml:space="preserve">Participantes del Mercado Mayorista </w:t>
      </w:r>
      <w:r w:rsidRPr="00E86A01">
        <w:rPr>
          <w:rFonts w:cs="Arial"/>
          <w:color w:val="000000" w:themeColor="text1"/>
          <w:lang w:val="es-CO"/>
        </w:rPr>
        <w:t>el gas natural que haya sido contratado en el mercado primario y no haya sido nominado para el siguiente día de gas.</w:t>
      </w:r>
    </w:p>
    <w:p w14:paraId="1844EBD6" w14:textId="77777777" w:rsidR="0006302B" w:rsidRDefault="0006302B" w:rsidP="0006302B">
      <w:pPr>
        <w:pStyle w:val="ARTICULOS"/>
        <w:numPr>
          <w:ilvl w:val="0"/>
          <w:numId w:val="0"/>
        </w:numPr>
        <w:rPr>
          <w:rFonts w:cs="Arial"/>
          <w:color w:val="000000" w:themeColor="text1"/>
          <w:lang w:val="es-CO"/>
        </w:rPr>
      </w:pPr>
    </w:p>
    <w:p w14:paraId="271832C2" w14:textId="758EAB14" w:rsidR="0006302B"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Productor-comercializador:</w:t>
      </w:r>
      <w:r w:rsidRPr="0013707D">
        <w:rPr>
          <w:rFonts w:cs="Arial"/>
          <w:color w:val="000000" w:themeColor="text1"/>
          <w:lang w:val="es-CO"/>
        </w:rPr>
        <w:t xml:space="preserve"> es el productor de gas natural que vende gas en el mercado primario, </w:t>
      </w:r>
      <w:r>
        <w:rPr>
          <w:rFonts w:cs="Arial"/>
          <w:color w:val="000000" w:themeColor="text1"/>
          <w:lang w:val="es-CO"/>
        </w:rPr>
        <w:t>e</w:t>
      </w:r>
      <w:r w:rsidRPr="0013707D">
        <w:rPr>
          <w:rFonts w:cs="Arial"/>
          <w:color w:val="000000" w:themeColor="text1"/>
          <w:lang w:val="es-CO"/>
        </w:rPr>
        <w:t>n un</w:t>
      </w:r>
      <w:r w:rsidR="00DA57D0">
        <w:rPr>
          <w:rFonts w:cs="Arial"/>
          <w:color w:val="000000" w:themeColor="text1"/>
          <w:lang w:val="es-CO"/>
        </w:rPr>
        <w:t xml:space="preserve"> Punto de Entrega</w:t>
      </w:r>
      <w:r w:rsidRPr="004C553D">
        <w:rPr>
          <w:rFonts w:cs="Arial"/>
          <w:b/>
          <w:bCs w:val="0"/>
          <w:color w:val="000000" w:themeColor="text1"/>
          <w:lang w:val="es-CO"/>
        </w:rPr>
        <w:t xml:space="preserve"> que puede ser o no</w:t>
      </w:r>
      <w:r w:rsidRPr="0013707D">
        <w:rPr>
          <w:rFonts w:cs="Arial"/>
          <w:color w:val="000000" w:themeColor="text1"/>
          <w:lang w:val="es-CO"/>
        </w:rPr>
        <w:t xml:space="preserve"> un punto </w:t>
      </w:r>
      <w:r>
        <w:rPr>
          <w:rFonts w:cs="Arial"/>
          <w:color w:val="000000" w:themeColor="text1"/>
          <w:lang w:val="es-CO"/>
        </w:rPr>
        <w:t xml:space="preserve">de entrada al </w:t>
      </w:r>
      <w:r w:rsidRPr="0013707D">
        <w:rPr>
          <w:rFonts w:cs="Arial"/>
          <w:color w:val="000000" w:themeColor="text1"/>
          <w:lang w:val="es-CO"/>
        </w:rPr>
        <w:t>SNT</w:t>
      </w:r>
      <w:r w:rsidR="002B1CBA" w:rsidRPr="00295053">
        <w:rPr>
          <w:rFonts w:cs="Arial"/>
          <w:b/>
          <w:bCs w:val="0"/>
          <w:color w:val="000000" w:themeColor="text1"/>
          <w:lang w:val="es-CO"/>
        </w:rPr>
        <w:t xml:space="preserve">, dependiendo de si la fuente de suministro está </w:t>
      </w:r>
      <w:r w:rsidR="002B1CBA">
        <w:rPr>
          <w:rFonts w:cs="Arial"/>
          <w:b/>
          <w:bCs w:val="0"/>
          <w:color w:val="000000" w:themeColor="text1"/>
          <w:lang w:val="es-CO"/>
        </w:rPr>
        <w:t xml:space="preserve">conectada </w:t>
      </w:r>
      <w:r w:rsidR="002B1CBA" w:rsidRPr="00295053">
        <w:rPr>
          <w:rFonts w:cs="Arial"/>
          <w:b/>
          <w:bCs w:val="0"/>
          <w:color w:val="000000" w:themeColor="text1"/>
          <w:lang w:val="es-CO"/>
        </w:rPr>
        <w:t>o no al SNT</w:t>
      </w:r>
      <w:r w:rsidRPr="0013707D">
        <w:rPr>
          <w:rFonts w:cs="Arial"/>
          <w:color w:val="000000" w:themeColor="text1"/>
          <w:lang w:val="es-CO"/>
        </w:rPr>
        <w:t xml:space="preserve">. </w:t>
      </w:r>
      <w:r w:rsidRPr="006461EF">
        <w:rPr>
          <w:rFonts w:cs="Arial"/>
          <w:b/>
          <w:bCs w:val="0"/>
          <w:color w:val="000000" w:themeColor="text1"/>
          <w:lang w:val="es-CO"/>
        </w:rPr>
        <w:t>Además, puede ser comprador de gas natural en el Mercado Secundario</w:t>
      </w:r>
      <w:r w:rsidRPr="006461EF">
        <w:rPr>
          <w:rFonts w:cs="Arial"/>
          <w:color w:val="000000" w:themeColor="text1"/>
          <w:lang w:val="es-CO"/>
        </w:rPr>
        <w:t>.</w:t>
      </w:r>
      <w:r w:rsidRPr="0013707D">
        <w:rPr>
          <w:rFonts w:cs="Arial"/>
          <w:color w:val="000000" w:themeColor="text1"/>
          <w:lang w:val="es-CO"/>
        </w:rPr>
        <w:t xml:space="preserve"> El </w:t>
      </w:r>
      <w:r>
        <w:rPr>
          <w:rFonts w:cs="Arial"/>
          <w:color w:val="000000" w:themeColor="text1"/>
          <w:lang w:val="es-CO"/>
        </w:rPr>
        <w:t>P</w:t>
      </w:r>
      <w:r w:rsidRPr="0013707D">
        <w:rPr>
          <w:rFonts w:cs="Arial"/>
          <w:color w:val="000000" w:themeColor="text1"/>
          <w:lang w:val="es-CO"/>
        </w:rPr>
        <w:t xml:space="preserve">roductor-comercializador no podrá realizar </w:t>
      </w:r>
      <w:r w:rsidRPr="0013707D">
        <w:rPr>
          <w:color w:val="000000" w:themeColor="text1"/>
          <w:lang w:val="es-CO"/>
        </w:rPr>
        <w:t>transacciones de intermediación comercial de la compra de gas natural y su venta a usuarios finales</w:t>
      </w:r>
      <w:r w:rsidRPr="0013707D">
        <w:rPr>
          <w:rFonts w:cs="Arial"/>
          <w:color w:val="000000" w:themeColor="text1"/>
          <w:lang w:val="es-CO"/>
        </w:rPr>
        <w:t xml:space="preserve">. </w:t>
      </w:r>
      <w:r w:rsidRPr="0013707D">
        <w:rPr>
          <w:rFonts w:cs="Arial"/>
          <w:bCs w:val="0"/>
          <w:color w:val="000000" w:themeColor="text1"/>
          <w:lang w:val="es-CO"/>
        </w:rPr>
        <w:t xml:space="preserve">En adición a lo dispuesto en la </w:t>
      </w:r>
      <w:r w:rsidRPr="0013707D">
        <w:rPr>
          <w:rFonts w:cs="Arial"/>
          <w:color w:val="000000" w:themeColor="text1"/>
          <w:lang w:val="es-CO"/>
        </w:rPr>
        <w:t xml:space="preserve">Resolución CREG 057 de 1996, el </w:t>
      </w:r>
      <w:r>
        <w:rPr>
          <w:rFonts w:cs="Arial"/>
          <w:color w:val="000000" w:themeColor="text1"/>
          <w:lang w:val="es-CO"/>
        </w:rPr>
        <w:t>P</w:t>
      </w:r>
      <w:r w:rsidRPr="0013707D">
        <w:rPr>
          <w:rFonts w:cs="Arial"/>
          <w:color w:val="000000" w:themeColor="text1"/>
          <w:lang w:val="es-CO"/>
        </w:rPr>
        <w:t>roductor-comercializador no podrá tener interés económico en comercializadores, entendido el interés económico como los porcentajes de participación en el capital de una empresa que se establecen en el literal d) del artículo 6 de la Resolución CREG 057 de 1996.</w:t>
      </w:r>
    </w:p>
    <w:p w14:paraId="20588E8C" w14:textId="77777777" w:rsidR="007C6D30" w:rsidRDefault="007C6D30" w:rsidP="0006302B">
      <w:pPr>
        <w:pStyle w:val="ARTICULOS"/>
        <w:numPr>
          <w:ilvl w:val="0"/>
          <w:numId w:val="0"/>
        </w:numPr>
        <w:rPr>
          <w:rFonts w:cs="Arial"/>
          <w:color w:val="000000" w:themeColor="text1"/>
          <w:lang w:val="es-CO"/>
        </w:rPr>
      </w:pPr>
    </w:p>
    <w:p w14:paraId="76064D94" w14:textId="5FC92681" w:rsidR="003B4EBB" w:rsidRPr="003D20AA" w:rsidRDefault="00F702FE" w:rsidP="003B4EBB">
      <w:pPr>
        <w:pStyle w:val="ARTICULOS"/>
        <w:numPr>
          <w:ilvl w:val="0"/>
          <w:numId w:val="0"/>
        </w:numPr>
        <w:tabs>
          <w:tab w:val="clear" w:pos="1559"/>
          <w:tab w:val="left" w:pos="1560"/>
        </w:tabs>
        <w:rPr>
          <w:rFonts w:cs="Arial"/>
          <w:b/>
          <w:color w:val="000000" w:themeColor="text1"/>
          <w:lang w:val="es-CO"/>
        </w:rPr>
      </w:pPr>
      <w:r>
        <w:rPr>
          <w:rFonts w:cs="Arial"/>
          <w:b/>
          <w:color w:val="000000" w:themeColor="text1"/>
          <w:lang w:val="es-ES"/>
        </w:rPr>
        <w:t>Punto de Entrega</w:t>
      </w:r>
      <w:r w:rsidR="003B4EBB">
        <w:rPr>
          <w:rFonts w:cs="Arial"/>
          <w:b/>
          <w:color w:val="000000" w:themeColor="text1"/>
          <w:lang w:val="es-ES"/>
        </w:rPr>
        <w:t>:</w:t>
      </w:r>
      <w:r w:rsidR="003B4EBB" w:rsidRPr="0007486F">
        <w:rPr>
          <w:rFonts w:cs="Arial"/>
          <w:b/>
          <w:color w:val="000000" w:themeColor="text1"/>
          <w:lang w:val="es-ES"/>
        </w:rPr>
        <w:t xml:space="preserve"> lugar </w:t>
      </w:r>
      <w:r w:rsidR="003B4EBB">
        <w:rPr>
          <w:rFonts w:cs="Arial"/>
          <w:b/>
          <w:color w:val="000000" w:themeColor="text1"/>
          <w:lang w:val="es-ES"/>
        </w:rPr>
        <w:t xml:space="preserve">físico identificado y </w:t>
      </w:r>
      <w:r w:rsidR="003B4EBB" w:rsidRPr="003D20AA">
        <w:rPr>
          <w:rFonts w:cs="Arial"/>
          <w:b/>
          <w:color w:val="000000" w:themeColor="text1"/>
          <w:lang w:val="es-ES"/>
        </w:rPr>
        <w:t>caracterizado</w:t>
      </w:r>
      <w:r w:rsidR="0082601D" w:rsidRPr="003D20AA">
        <w:rPr>
          <w:rFonts w:cs="Arial"/>
          <w:b/>
          <w:color w:val="000000" w:themeColor="text1"/>
          <w:lang w:val="es-ES"/>
        </w:rPr>
        <w:t>,</w:t>
      </w:r>
      <w:r w:rsidR="003B4EBB" w:rsidRPr="003D20AA">
        <w:rPr>
          <w:rFonts w:cs="Arial"/>
          <w:b/>
          <w:color w:val="000000" w:themeColor="text1"/>
          <w:lang w:val="es-ES"/>
        </w:rPr>
        <w:t xml:space="preserve"> pactado en los contratos de suministro del mercado mayorista donde se mide</w:t>
      </w:r>
      <w:r w:rsidR="002E2FF7">
        <w:rPr>
          <w:rFonts w:cs="Arial"/>
          <w:b/>
          <w:color w:val="000000" w:themeColor="text1"/>
          <w:lang w:val="es-ES"/>
        </w:rPr>
        <w:t xml:space="preserve"> y</w:t>
      </w:r>
      <w:r w:rsidR="00AA3B8C" w:rsidRPr="003D20AA">
        <w:rPr>
          <w:rFonts w:cs="Arial"/>
          <w:b/>
          <w:color w:val="000000" w:themeColor="text1"/>
          <w:lang w:val="es-ES"/>
        </w:rPr>
        <w:t xml:space="preserve"> se entrega </w:t>
      </w:r>
      <w:r w:rsidR="003B4EBB" w:rsidRPr="003D20AA">
        <w:rPr>
          <w:rFonts w:cs="Arial"/>
          <w:b/>
          <w:color w:val="000000" w:themeColor="text1"/>
          <w:lang w:val="es-ES"/>
        </w:rPr>
        <w:t>el gas natural. Todos los Puntos de entrega deben estar asociados a una o varias Fuentes de Suministro</w:t>
      </w:r>
      <w:r w:rsidR="0082601D" w:rsidRPr="003D20AA">
        <w:rPr>
          <w:rFonts w:cs="Arial"/>
          <w:b/>
          <w:color w:val="000000" w:themeColor="text1"/>
          <w:lang w:val="es-ES"/>
        </w:rPr>
        <w:t>,</w:t>
      </w:r>
      <w:r w:rsidR="003B4EBB" w:rsidRPr="003D20AA">
        <w:rPr>
          <w:rFonts w:cs="Arial"/>
          <w:b/>
          <w:color w:val="000000" w:themeColor="text1"/>
          <w:lang w:val="es-ES"/>
        </w:rPr>
        <w:t xml:space="preserve"> y así debe estar determinado en los contratos </w:t>
      </w:r>
      <w:r w:rsidR="00384E7B" w:rsidRPr="003D20AA">
        <w:rPr>
          <w:rFonts w:cs="Arial"/>
          <w:b/>
          <w:color w:val="000000" w:themeColor="text1"/>
          <w:lang w:val="es-ES"/>
        </w:rPr>
        <w:t xml:space="preserve">de suministro </w:t>
      </w:r>
      <w:r w:rsidR="003B4EBB" w:rsidRPr="003D20AA">
        <w:rPr>
          <w:rFonts w:cs="Arial"/>
          <w:b/>
          <w:color w:val="000000" w:themeColor="text1"/>
          <w:lang w:val="es-ES"/>
        </w:rPr>
        <w:t xml:space="preserve">del mercado mayorista. Un </w:t>
      </w:r>
      <w:r w:rsidR="00DB6B1C" w:rsidRPr="003D20AA">
        <w:rPr>
          <w:rFonts w:cs="Arial"/>
          <w:b/>
          <w:color w:val="000000" w:themeColor="text1"/>
          <w:lang w:val="es-ES"/>
        </w:rPr>
        <w:t>Punto de Entrega</w:t>
      </w:r>
      <w:r w:rsidR="003B4EBB" w:rsidRPr="003D20AA">
        <w:rPr>
          <w:rFonts w:cs="Arial"/>
          <w:b/>
          <w:color w:val="000000" w:themeColor="text1"/>
          <w:lang w:val="es-ES"/>
        </w:rPr>
        <w:t xml:space="preserve"> </w:t>
      </w:r>
      <w:r w:rsidR="00AA3B8C" w:rsidRPr="003D20AA">
        <w:rPr>
          <w:rFonts w:cs="Arial"/>
          <w:b/>
          <w:color w:val="000000" w:themeColor="text1"/>
          <w:lang w:val="es-ES"/>
        </w:rPr>
        <w:t>p</w:t>
      </w:r>
      <w:r w:rsidR="003B4EBB" w:rsidRPr="003D20AA">
        <w:rPr>
          <w:rFonts w:cs="Arial"/>
          <w:b/>
          <w:color w:val="000000" w:themeColor="text1"/>
          <w:lang w:val="es-ES"/>
        </w:rPr>
        <w:t xml:space="preserve">uede ser o no un Punto de Importación, así como también un </w:t>
      </w:r>
      <w:r w:rsidR="00DB6B1C" w:rsidRPr="003D20AA">
        <w:rPr>
          <w:rFonts w:cs="Arial"/>
          <w:b/>
          <w:color w:val="000000" w:themeColor="text1"/>
          <w:lang w:val="es-ES"/>
        </w:rPr>
        <w:t>Punto de Entrega</w:t>
      </w:r>
      <w:r w:rsidR="003B4EBB" w:rsidRPr="003D20AA">
        <w:rPr>
          <w:rFonts w:cs="Arial"/>
          <w:b/>
          <w:color w:val="000000" w:themeColor="text1"/>
          <w:lang w:val="es-ES"/>
        </w:rPr>
        <w:t xml:space="preserve"> puede ser o no un Punto de entrada al Sistema Nacional de transporte.</w:t>
      </w:r>
      <w:r w:rsidR="004A3245" w:rsidRPr="003D20AA">
        <w:rPr>
          <w:rFonts w:cs="Arial"/>
          <w:b/>
          <w:color w:val="000000" w:themeColor="text1"/>
          <w:lang w:val="es-ES"/>
        </w:rPr>
        <w:t xml:space="preserve"> </w:t>
      </w:r>
      <w:r w:rsidR="00944FF1" w:rsidRPr="003D20AA">
        <w:rPr>
          <w:rFonts w:cs="Arial"/>
          <w:b/>
          <w:color w:val="000000" w:themeColor="text1"/>
          <w:lang w:val="es-ES"/>
        </w:rPr>
        <w:t xml:space="preserve">Todos los Puntos de entrega deben ser registrados </w:t>
      </w:r>
      <w:r w:rsidR="00944FF1" w:rsidRPr="003D20AA">
        <w:rPr>
          <w:rFonts w:cs="Arial"/>
          <w:b/>
          <w:iCs/>
          <w:color w:val="000000" w:themeColor="text1"/>
          <w:lang w:val="es-CO"/>
        </w:rPr>
        <w:t>e informados al</w:t>
      </w:r>
      <w:r w:rsidR="00944FF1" w:rsidRPr="002E2FF7">
        <w:rPr>
          <w:rFonts w:cs="Arial"/>
          <w:b/>
          <w:iCs/>
          <w:color w:val="000000" w:themeColor="text1"/>
          <w:lang w:val="es-CO"/>
        </w:rPr>
        <w:t xml:space="preserve"> </w:t>
      </w:r>
      <w:r w:rsidR="0022131A" w:rsidRPr="00295053">
        <w:rPr>
          <w:rFonts w:cs="Arial"/>
          <w:b/>
          <w:bCs w:val="0"/>
          <w:iCs/>
          <w:lang w:val="es-CO"/>
        </w:rPr>
        <w:t>Gestor</w:t>
      </w:r>
      <w:r w:rsidR="00944FF1" w:rsidRPr="003D20AA">
        <w:rPr>
          <w:rFonts w:cs="Arial"/>
          <w:b/>
          <w:iCs/>
          <w:color w:val="000000" w:themeColor="text1"/>
          <w:lang w:val="es-CO"/>
        </w:rPr>
        <w:t xml:space="preserve"> del Mercado, en los formatos </w:t>
      </w:r>
      <w:r w:rsidR="0082601D" w:rsidRPr="003D20AA">
        <w:rPr>
          <w:rFonts w:cs="Arial"/>
          <w:b/>
          <w:iCs/>
          <w:color w:val="000000" w:themeColor="text1"/>
          <w:lang w:val="es-CO"/>
        </w:rPr>
        <w:t xml:space="preserve">que </w:t>
      </w:r>
      <w:r w:rsidR="00AA3B8C" w:rsidRPr="003D20AA">
        <w:rPr>
          <w:rFonts w:cs="Arial"/>
          <w:b/>
          <w:iCs/>
          <w:color w:val="000000" w:themeColor="text1"/>
          <w:lang w:val="es-CO"/>
        </w:rPr>
        <w:t>e</w:t>
      </w:r>
      <w:r w:rsidR="0082601D" w:rsidRPr="003D20AA">
        <w:rPr>
          <w:rFonts w:cs="Arial"/>
          <w:b/>
          <w:iCs/>
          <w:color w:val="000000" w:themeColor="text1"/>
          <w:lang w:val="es-CO"/>
        </w:rPr>
        <w:t xml:space="preserve">ste último </w:t>
      </w:r>
      <w:r w:rsidR="00944FF1" w:rsidRPr="003D20AA">
        <w:rPr>
          <w:rFonts w:cs="Arial"/>
          <w:b/>
          <w:iCs/>
          <w:color w:val="000000" w:themeColor="text1"/>
          <w:lang w:val="es-CO"/>
        </w:rPr>
        <w:t>defina para este efecto</w:t>
      </w:r>
      <w:r w:rsidR="0082601D" w:rsidRPr="003D20AA">
        <w:rPr>
          <w:rFonts w:cs="Arial"/>
          <w:b/>
          <w:iCs/>
          <w:color w:val="000000" w:themeColor="text1"/>
          <w:lang w:val="es-CO"/>
        </w:rPr>
        <w:t>.</w:t>
      </w:r>
    </w:p>
    <w:p w14:paraId="665FF0ED" w14:textId="77777777" w:rsidR="0006302B" w:rsidRPr="003D20AA" w:rsidRDefault="0006302B" w:rsidP="0006302B">
      <w:pPr>
        <w:pStyle w:val="ARTICULOS"/>
        <w:numPr>
          <w:ilvl w:val="0"/>
          <w:numId w:val="0"/>
        </w:numPr>
        <w:rPr>
          <w:rFonts w:cs="Arial"/>
          <w:color w:val="000000" w:themeColor="text1"/>
          <w:lang w:val="es-CO"/>
        </w:rPr>
      </w:pPr>
    </w:p>
    <w:p w14:paraId="09AA93A3" w14:textId="0B793378" w:rsidR="0006302B" w:rsidRPr="003D20AA" w:rsidRDefault="0006302B" w:rsidP="0006302B">
      <w:pPr>
        <w:pStyle w:val="ARTICULOS"/>
        <w:numPr>
          <w:ilvl w:val="0"/>
          <w:numId w:val="0"/>
        </w:numPr>
        <w:tabs>
          <w:tab w:val="clear" w:pos="1559"/>
          <w:tab w:val="left" w:pos="1560"/>
        </w:tabs>
        <w:rPr>
          <w:rFonts w:cs="Arial"/>
          <w:b/>
          <w:lang w:val="es-CO"/>
        </w:rPr>
      </w:pPr>
      <w:r w:rsidRPr="003D20AA">
        <w:rPr>
          <w:rFonts w:cs="Arial"/>
          <w:b/>
          <w:color w:val="000000" w:themeColor="text1"/>
          <w:lang w:val="es-CO"/>
        </w:rPr>
        <w:t xml:space="preserve">Punto de Importación: lugar </w:t>
      </w:r>
      <w:r w:rsidR="00B306BC" w:rsidRPr="003D20AA">
        <w:rPr>
          <w:rFonts w:cs="Arial"/>
          <w:b/>
          <w:color w:val="000000" w:themeColor="text1"/>
          <w:lang w:val="es-CO"/>
        </w:rPr>
        <w:t xml:space="preserve">físico </w:t>
      </w:r>
      <w:r w:rsidRPr="003D20AA">
        <w:rPr>
          <w:rFonts w:cs="Arial"/>
          <w:b/>
          <w:color w:val="000000" w:themeColor="text1"/>
          <w:lang w:val="es-CO"/>
        </w:rPr>
        <w:t>plenamente identificado y caracterizado</w:t>
      </w:r>
      <w:r w:rsidR="0082601D" w:rsidRPr="003D20AA">
        <w:rPr>
          <w:rFonts w:cs="Arial"/>
          <w:b/>
          <w:color w:val="000000" w:themeColor="text1"/>
          <w:lang w:val="es-CO"/>
        </w:rPr>
        <w:t>,</w:t>
      </w:r>
      <w:r w:rsidRPr="003D20AA">
        <w:rPr>
          <w:rFonts w:cs="Arial"/>
          <w:b/>
          <w:color w:val="000000" w:themeColor="text1"/>
          <w:lang w:val="es-CO"/>
        </w:rPr>
        <w:t xml:space="preserve"> </w:t>
      </w:r>
      <w:r w:rsidRPr="003D20AA">
        <w:rPr>
          <w:rFonts w:cs="Arial"/>
          <w:b/>
          <w:color w:val="000000" w:themeColor="text1"/>
          <w:lang w:val="es-CO"/>
        </w:rPr>
        <w:lastRenderedPageBreak/>
        <w:t>ubicado en la Infraestructura de Importación</w:t>
      </w:r>
      <w:r w:rsidR="0082601D" w:rsidRPr="003D20AA">
        <w:rPr>
          <w:rFonts w:cs="Arial"/>
          <w:b/>
          <w:color w:val="000000" w:themeColor="text1"/>
          <w:lang w:val="es-CO"/>
        </w:rPr>
        <w:t>,</w:t>
      </w:r>
      <w:r w:rsidRPr="003D20AA">
        <w:rPr>
          <w:rFonts w:cs="Arial"/>
          <w:b/>
          <w:color w:val="000000" w:themeColor="text1"/>
          <w:lang w:val="es-CO"/>
        </w:rPr>
        <w:t xml:space="preserve"> habilitado para llevar a cabo </w:t>
      </w:r>
      <w:r w:rsidR="00183278" w:rsidRPr="003D20AA">
        <w:rPr>
          <w:rFonts w:cs="Arial"/>
          <w:b/>
          <w:color w:val="000000" w:themeColor="text1"/>
          <w:lang w:val="es-CO"/>
        </w:rPr>
        <w:t xml:space="preserve">el ingreso </w:t>
      </w:r>
      <w:r w:rsidRPr="003D20AA">
        <w:rPr>
          <w:rFonts w:cs="Arial"/>
          <w:b/>
          <w:color w:val="000000" w:themeColor="text1"/>
          <w:lang w:val="es-CO"/>
        </w:rPr>
        <w:t>a territorio nacional de gas natural obtenido en el exterior</w:t>
      </w:r>
      <w:r w:rsidRPr="003D20AA">
        <w:rPr>
          <w:rFonts w:cs="Arial"/>
          <w:b/>
          <w:lang w:val="es-CO"/>
        </w:rPr>
        <w:t>. Puede ser o no un</w:t>
      </w:r>
      <w:r w:rsidR="00DA57D0" w:rsidRPr="003D20AA">
        <w:rPr>
          <w:rFonts w:cs="Arial"/>
          <w:b/>
          <w:lang w:val="es-CO"/>
        </w:rPr>
        <w:t xml:space="preserve"> Punto de Entrega</w:t>
      </w:r>
      <w:r w:rsidRPr="003D20AA">
        <w:rPr>
          <w:rFonts w:cs="Arial"/>
          <w:b/>
          <w:lang w:val="es-CO"/>
        </w:rPr>
        <w:t>.</w:t>
      </w:r>
    </w:p>
    <w:p w14:paraId="6FEE7807" w14:textId="77777777" w:rsidR="0006302B" w:rsidRPr="003D20AA" w:rsidRDefault="0006302B" w:rsidP="0006302B">
      <w:pPr>
        <w:pStyle w:val="ARTICULOS"/>
        <w:numPr>
          <w:ilvl w:val="0"/>
          <w:numId w:val="0"/>
        </w:numPr>
        <w:tabs>
          <w:tab w:val="clear" w:pos="1559"/>
          <w:tab w:val="left" w:pos="1560"/>
        </w:tabs>
        <w:rPr>
          <w:rFonts w:cs="Arial"/>
          <w:b/>
          <w:lang w:val="es-CO"/>
        </w:rPr>
      </w:pPr>
    </w:p>
    <w:p w14:paraId="51708F8D" w14:textId="39FBEFB4" w:rsidR="0006302B" w:rsidRPr="003D20AA" w:rsidRDefault="0006302B" w:rsidP="0006302B">
      <w:pPr>
        <w:pStyle w:val="ARTICULOS"/>
        <w:numPr>
          <w:ilvl w:val="0"/>
          <w:numId w:val="0"/>
        </w:numPr>
        <w:rPr>
          <w:rFonts w:cs="Arial"/>
          <w:b/>
          <w:color w:val="000000" w:themeColor="text1"/>
          <w:lang w:val="es-CO"/>
        </w:rPr>
      </w:pPr>
      <w:r w:rsidRPr="003D20AA">
        <w:rPr>
          <w:rFonts w:cs="Arial"/>
          <w:b/>
          <w:color w:val="000000" w:themeColor="text1"/>
          <w:lang w:val="es-CO"/>
        </w:rPr>
        <w:t xml:space="preserve">Punto de Referencia: lugar </w:t>
      </w:r>
      <w:r w:rsidR="00D73783">
        <w:rPr>
          <w:rFonts w:cs="Arial"/>
          <w:b/>
          <w:color w:val="000000" w:themeColor="text1"/>
          <w:lang w:val="es-CO"/>
        </w:rPr>
        <w:t>virtual</w:t>
      </w:r>
      <w:r w:rsidRPr="003D20AA">
        <w:rPr>
          <w:rFonts w:cs="Arial"/>
          <w:b/>
          <w:color w:val="000000" w:themeColor="text1"/>
          <w:lang w:val="es-CO"/>
        </w:rPr>
        <w:t xml:space="preserve"> determinado por el </w:t>
      </w:r>
      <w:r w:rsidR="0022131A" w:rsidRPr="003D20AA">
        <w:rPr>
          <w:rFonts w:cs="Arial"/>
          <w:b/>
          <w:bCs w:val="0"/>
          <w:lang w:val="es-CO"/>
        </w:rPr>
        <w:t>Gestor</w:t>
      </w:r>
      <w:r w:rsidRPr="003D20AA">
        <w:rPr>
          <w:rFonts w:cs="Arial"/>
          <w:b/>
          <w:color w:val="000000" w:themeColor="text1"/>
          <w:lang w:val="es-CO"/>
        </w:rPr>
        <w:t xml:space="preserve"> del </w:t>
      </w:r>
      <w:r w:rsidR="00AC6A1F" w:rsidRPr="003D20AA">
        <w:rPr>
          <w:rFonts w:cs="Arial"/>
          <w:b/>
          <w:color w:val="000000" w:themeColor="text1"/>
          <w:lang w:val="es-CO"/>
        </w:rPr>
        <w:t>M</w:t>
      </w:r>
      <w:r w:rsidRPr="003D20AA">
        <w:rPr>
          <w:rFonts w:cs="Arial"/>
          <w:b/>
          <w:color w:val="000000" w:themeColor="text1"/>
          <w:lang w:val="es-CO"/>
        </w:rPr>
        <w:t>ercado</w:t>
      </w:r>
      <w:r w:rsidR="0082601D" w:rsidRPr="003D20AA">
        <w:rPr>
          <w:rFonts w:cs="Arial"/>
          <w:b/>
          <w:color w:val="000000" w:themeColor="text1"/>
          <w:lang w:val="es-CO"/>
        </w:rPr>
        <w:t>,</w:t>
      </w:r>
      <w:r w:rsidRPr="003D20AA">
        <w:rPr>
          <w:rFonts w:cs="Arial"/>
          <w:b/>
          <w:color w:val="000000" w:themeColor="text1"/>
          <w:lang w:val="es-CO"/>
        </w:rPr>
        <w:t xml:space="preserve"> con el fin exclusivo de realizar balances comerciales de </w:t>
      </w:r>
      <w:r w:rsidR="00D13D42" w:rsidRPr="003D20AA">
        <w:rPr>
          <w:rFonts w:cs="Arial"/>
          <w:b/>
          <w:color w:val="000000" w:themeColor="text1"/>
          <w:lang w:val="es-CO"/>
        </w:rPr>
        <w:t xml:space="preserve">los </w:t>
      </w:r>
      <w:r w:rsidRPr="003D20AA">
        <w:rPr>
          <w:rFonts w:cs="Arial"/>
          <w:b/>
          <w:color w:val="000000" w:themeColor="text1"/>
          <w:lang w:val="es-CO"/>
        </w:rPr>
        <w:t xml:space="preserve">que trata el </w:t>
      </w:r>
      <w:r w:rsidR="00822DC6">
        <w:rPr>
          <w:rFonts w:cs="Arial"/>
          <w:b/>
          <w:color w:val="000000" w:themeColor="text1"/>
          <w:lang w:val="es-CO"/>
        </w:rPr>
        <w:t>a</w:t>
      </w:r>
      <w:r w:rsidRPr="003D20AA">
        <w:rPr>
          <w:rFonts w:cs="Arial"/>
          <w:b/>
          <w:color w:val="000000" w:themeColor="text1"/>
          <w:lang w:val="es-CO"/>
        </w:rPr>
        <w:t xml:space="preserve">rtículo 21 </w:t>
      </w:r>
      <w:r w:rsidR="00D13D42" w:rsidRPr="003D20AA">
        <w:rPr>
          <w:rFonts w:cs="Arial"/>
          <w:b/>
          <w:color w:val="000000" w:themeColor="text1"/>
          <w:lang w:val="es-CO"/>
        </w:rPr>
        <w:t xml:space="preserve">y el </w:t>
      </w:r>
      <w:r w:rsidR="00822DC6">
        <w:rPr>
          <w:rFonts w:cs="Arial"/>
          <w:b/>
          <w:color w:val="000000" w:themeColor="text1"/>
          <w:lang w:val="es-CO"/>
        </w:rPr>
        <w:t>a</w:t>
      </w:r>
      <w:r w:rsidR="00D13D42" w:rsidRPr="003D20AA">
        <w:rPr>
          <w:rFonts w:cs="Arial"/>
          <w:b/>
          <w:color w:val="000000" w:themeColor="text1"/>
          <w:lang w:val="es-CO"/>
        </w:rPr>
        <w:t xml:space="preserve">rtículo 22 </w:t>
      </w:r>
      <w:r w:rsidRPr="003D20AA">
        <w:rPr>
          <w:rFonts w:cs="Arial"/>
          <w:b/>
          <w:color w:val="000000" w:themeColor="text1"/>
          <w:lang w:val="es-CO"/>
        </w:rPr>
        <w:t>de la presente resolución.</w:t>
      </w:r>
    </w:p>
    <w:p w14:paraId="663FE2F8" w14:textId="77777777" w:rsidR="0006302B" w:rsidRPr="003D20AA" w:rsidRDefault="0006302B" w:rsidP="0006302B">
      <w:pPr>
        <w:pStyle w:val="ARTICULOS"/>
        <w:numPr>
          <w:ilvl w:val="0"/>
          <w:numId w:val="0"/>
        </w:numPr>
        <w:rPr>
          <w:rFonts w:cs="Arial"/>
          <w:b/>
          <w:color w:val="000000" w:themeColor="text1"/>
          <w:lang w:val="es-CO"/>
        </w:rPr>
      </w:pPr>
    </w:p>
    <w:p w14:paraId="3BF340A0" w14:textId="756AE756" w:rsidR="0006302B" w:rsidRPr="003D20AA" w:rsidRDefault="0006302B" w:rsidP="0006302B">
      <w:pPr>
        <w:pStyle w:val="ARTICULOS"/>
        <w:numPr>
          <w:ilvl w:val="0"/>
          <w:numId w:val="0"/>
        </w:numPr>
        <w:rPr>
          <w:rFonts w:cs="Arial"/>
          <w:b/>
          <w:color w:val="000000" w:themeColor="text1"/>
          <w:lang w:val="es-ES"/>
        </w:rPr>
      </w:pPr>
      <w:r w:rsidRPr="003D20AA">
        <w:rPr>
          <w:rFonts w:cs="Arial"/>
          <w:b/>
          <w:color w:val="000000" w:themeColor="text1"/>
          <w:lang w:val="es-CO"/>
        </w:rPr>
        <w:t>Puntos Estándar de Entrega:</w:t>
      </w:r>
      <w:r w:rsidRPr="003D20AA">
        <w:rPr>
          <w:rFonts w:cs="Arial"/>
          <w:color w:val="000000" w:themeColor="text1"/>
          <w:lang w:val="es-CO"/>
        </w:rPr>
        <w:t xml:space="preserve"> </w:t>
      </w:r>
      <w:r w:rsidRPr="003D20AA">
        <w:rPr>
          <w:rFonts w:cs="Arial"/>
          <w:b/>
          <w:color w:val="000000" w:themeColor="text1"/>
          <w:lang w:val="es-ES"/>
        </w:rPr>
        <w:t>lugar</w:t>
      </w:r>
      <w:r w:rsidR="003B4EBB" w:rsidRPr="003D20AA">
        <w:rPr>
          <w:rFonts w:cs="Arial"/>
          <w:b/>
          <w:color w:val="000000" w:themeColor="text1"/>
          <w:lang w:val="es-ES"/>
        </w:rPr>
        <w:t xml:space="preserve"> físico</w:t>
      </w:r>
      <w:r w:rsidRPr="003D20AA">
        <w:rPr>
          <w:rFonts w:cs="Arial"/>
          <w:b/>
          <w:color w:val="000000" w:themeColor="text1"/>
          <w:lang w:val="es-ES"/>
        </w:rPr>
        <w:t xml:space="preserve"> plenamente identificado y caracterizado, determinado por la Comisión, que deberán pactar los comercializadores del mercado secundario en los contratos de </w:t>
      </w:r>
      <w:r w:rsidR="00384E7B" w:rsidRPr="003D20AA">
        <w:rPr>
          <w:rFonts w:cs="Arial"/>
          <w:b/>
          <w:color w:val="000000" w:themeColor="text1"/>
          <w:lang w:val="es-ES"/>
        </w:rPr>
        <w:t xml:space="preserve">derechos de </w:t>
      </w:r>
      <w:r w:rsidRPr="003D20AA">
        <w:rPr>
          <w:rFonts w:cs="Arial"/>
          <w:b/>
          <w:color w:val="000000" w:themeColor="text1"/>
          <w:lang w:val="es-ES"/>
        </w:rPr>
        <w:t>suministro</w:t>
      </w:r>
      <w:r w:rsidR="0082601D" w:rsidRPr="003D20AA">
        <w:rPr>
          <w:rFonts w:cs="Arial"/>
          <w:b/>
          <w:color w:val="000000" w:themeColor="text1"/>
          <w:lang w:val="es-ES"/>
        </w:rPr>
        <w:t>,</w:t>
      </w:r>
      <w:r w:rsidRPr="003D20AA">
        <w:rPr>
          <w:rFonts w:cs="Arial"/>
          <w:b/>
          <w:color w:val="000000" w:themeColor="text1"/>
          <w:lang w:val="es-ES"/>
        </w:rPr>
        <w:t xml:space="preserve"> donde se medirá y se </w:t>
      </w:r>
      <w:r w:rsidR="00384E7B" w:rsidRPr="003D20AA">
        <w:rPr>
          <w:rFonts w:cs="Arial"/>
          <w:b/>
          <w:color w:val="000000" w:themeColor="text1"/>
          <w:lang w:val="es-ES"/>
        </w:rPr>
        <w:t xml:space="preserve">entregará físicamente </w:t>
      </w:r>
      <w:r w:rsidRPr="003D20AA">
        <w:rPr>
          <w:rFonts w:cs="Arial"/>
          <w:b/>
          <w:color w:val="000000" w:themeColor="text1"/>
          <w:lang w:val="es-ES"/>
        </w:rPr>
        <w:t>el gas por parte de los vendedores</w:t>
      </w:r>
      <w:r w:rsidR="00384E7B" w:rsidRPr="003D20AA">
        <w:rPr>
          <w:rFonts w:cs="Arial"/>
          <w:b/>
          <w:color w:val="000000" w:themeColor="text1"/>
          <w:lang w:val="es-ES"/>
        </w:rPr>
        <w:t xml:space="preserve"> del mercado secundario</w:t>
      </w:r>
      <w:r w:rsidRPr="003D20AA">
        <w:rPr>
          <w:rFonts w:cs="Arial"/>
          <w:b/>
          <w:color w:val="000000" w:themeColor="text1"/>
          <w:lang w:val="es-ES"/>
        </w:rPr>
        <w:t xml:space="preserve"> y se determinan los precios de intermediación del gas.</w:t>
      </w:r>
      <w:r w:rsidR="00CB0036" w:rsidRPr="003D20AA">
        <w:rPr>
          <w:rFonts w:cs="Arial"/>
          <w:b/>
          <w:color w:val="000000" w:themeColor="text1"/>
          <w:lang w:val="es-ES"/>
        </w:rPr>
        <w:t xml:space="preserve"> Puede ser o no un Punto de Entrega</w:t>
      </w:r>
      <w:r w:rsidR="0082601D" w:rsidRPr="003D20AA">
        <w:rPr>
          <w:rFonts w:cs="Arial"/>
          <w:b/>
          <w:color w:val="000000" w:themeColor="text1"/>
          <w:lang w:val="es-ES"/>
        </w:rPr>
        <w:t>.</w:t>
      </w:r>
    </w:p>
    <w:p w14:paraId="7E030F9D" w14:textId="77777777" w:rsidR="0006302B" w:rsidRPr="003D20AA" w:rsidRDefault="0006302B" w:rsidP="0006302B">
      <w:pPr>
        <w:pStyle w:val="ARTICULOS"/>
        <w:numPr>
          <w:ilvl w:val="0"/>
          <w:numId w:val="0"/>
        </w:numPr>
        <w:rPr>
          <w:rFonts w:cs="Arial"/>
          <w:color w:val="000000" w:themeColor="text1"/>
          <w:lang w:val="es-CO"/>
        </w:rPr>
      </w:pPr>
    </w:p>
    <w:p w14:paraId="567B03E7" w14:textId="11279526" w:rsidR="0006302B" w:rsidRPr="0013707D" w:rsidRDefault="0006302B" w:rsidP="0006302B">
      <w:pPr>
        <w:pStyle w:val="ARTICULOS"/>
        <w:numPr>
          <w:ilvl w:val="0"/>
          <w:numId w:val="0"/>
        </w:numPr>
        <w:rPr>
          <w:rFonts w:cs="Arial"/>
          <w:color w:val="000000" w:themeColor="text1"/>
          <w:lang w:val="es-CO"/>
        </w:rPr>
      </w:pPr>
      <w:r w:rsidRPr="003D20AA">
        <w:rPr>
          <w:rFonts w:cs="Arial"/>
          <w:b/>
          <w:bCs w:val="0"/>
          <w:color w:val="000000" w:themeColor="text1"/>
          <w:lang w:val="es-CO"/>
        </w:rPr>
        <w:t xml:space="preserve">Reservas de Gas Natural: de acuerdo con lo dispuesto en el </w:t>
      </w:r>
      <w:r w:rsidR="00822DC6">
        <w:rPr>
          <w:rFonts w:cs="Arial"/>
          <w:b/>
          <w:bCs w:val="0"/>
          <w:color w:val="000000" w:themeColor="text1"/>
          <w:lang w:val="es-CO"/>
        </w:rPr>
        <w:t>a</w:t>
      </w:r>
      <w:r w:rsidRPr="003D20AA">
        <w:rPr>
          <w:rFonts w:cs="Arial"/>
          <w:b/>
          <w:bCs w:val="0"/>
          <w:color w:val="000000" w:themeColor="text1"/>
          <w:lang w:val="es-CO"/>
        </w:rPr>
        <w:t>rtículo 2.2.2.1.</w:t>
      </w:r>
      <w:r w:rsidR="0024132B" w:rsidRPr="003D20AA">
        <w:rPr>
          <w:rFonts w:cs="Arial"/>
          <w:b/>
          <w:bCs w:val="0"/>
          <w:color w:val="000000" w:themeColor="text1"/>
          <w:lang w:val="es-CO"/>
        </w:rPr>
        <w:t xml:space="preserve">4 </w:t>
      </w:r>
      <w:r w:rsidRPr="003D20AA">
        <w:rPr>
          <w:rFonts w:cs="Arial"/>
          <w:b/>
          <w:bCs w:val="0"/>
          <w:color w:val="000000" w:themeColor="text1"/>
          <w:lang w:val="es-CO"/>
        </w:rPr>
        <w:t>del Decreto 1073 de 2015, son las reservas probadas y probables certificadas por los productores de gas a la Agencia</w:t>
      </w:r>
      <w:r>
        <w:rPr>
          <w:rFonts w:cs="Arial"/>
          <w:b/>
          <w:bCs w:val="0"/>
          <w:color w:val="000000" w:themeColor="text1"/>
          <w:lang w:val="es-CO"/>
        </w:rPr>
        <w:t xml:space="preserve"> </w:t>
      </w:r>
      <w:r w:rsidRPr="00F317DC">
        <w:rPr>
          <w:rFonts w:cs="Arial"/>
          <w:b/>
          <w:bCs w:val="0"/>
          <w:color w:val="000000" w:themeColor="text1"/>
          <w:lang w:val="es-CO"/>
        </w:rPr>
        <w:t>N</w:t>
      </w:r>
      <w:r>
        <w:rPr>
          <w:rFonts w:cs="Arial"/>
          <w:b/>
          <w:bCs w:val="0"/>
          <w:color w:val="000000" w:themeColor="text1"/>
          <w:lang w:val="es-CO"/>
        </w:rPr>
        <w:t xml:space="preserve">acional de </w:t>
      </w:r>
      <w:r w:rsidRPr="00F317DC">
        <w:rPr>
          <w:rFonts w:cs="Arial"/>
          <w:b/>
          <w:bCs w:val="0"/>
          <w:color w:val="000000" w:themeColor="text1"/>
          <w:lang w:val="es-CO"/>
        </w:rPr>
        <w:t>H</w:t>
      </w:r>
      <w:r>
        <w:rPr>
          <w:rFonts w:cs="Arial"/>
          <w:b/>
          <w:bCs w:val="0"/>
          <w:color w:val="000000" w:themeColor="text1"/>
          <w:lang w:val="es-CO"/>
        </w:rPr>
        <w:t>idrocarburos</w:t>
      </w:r>
      <w:r w:rsidRPr="00F317DC">
        <w:rPr>
          <w:rFonts w:cs="Arial"/>
          <w:b/>
          <w:bCs w:val="0"/>
          <w:color w:val="000000" w:themeColor="text1"/>
          <w:lang w:val="es-CO"/>
        </w:rPr>
        <w:t>.</w:t>
      </w:r>
    </w:p>
    <w:p w14:paraId="5FCF30F2" w14:textId="77777777" w:rsidR="0006302B" w:rsidRPr="0013707D" w:rsidRDefault="0006302B" w:rsidP="0006302B">
      <w:pPr>
        <w:pStyle w:val="ARTICULOS"/>
        <w:numPr>
          <w:ilvl w:val="0"/>
          <w:numId w:val="0"/>
        </w:numPr>
        <w:rPr>
          <w:rFonts w:cs="Arial"/>
          <w:color w:val="000000" w:themeColor="text1"/>
          <w:lang w:val="es-CO"/>
        </w:rPr>
      </w:pPr>
    </w:p>
    <w:p w14:paraId="2A95AC2D" w14:textId="7A378086"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 xml:space="preserve">Reglamento </w:t>
      </w:r>
      <w:r w:rsidR="0082601D">
        <w:rPr>
          <w:rFonts w:cs="Arial"/>
          <w:b/>
          <w:color w:val="000000" w:themeColor="text1"/>
          <w:lang w:val="es-CO"/>
        </w:rPr>
        <w:t>Ú</w:t>
      </w:r>
      <w:r w:rsidRPr="0013707D">
        <w:rPr>
          <w:rFonts w:cs="Arial"/>
          <w:b/>
          <w:color w:val="000000" w:themeColor="text1"/>
          <w:lang w:val="es-CO"/>
        </w:rPr>
        <w:t xml:space="preserve">nico de </w:t>
      </w:r>
      <w:r w:rsidR="0082601D">
        <w:rPr>
          <w:rFonts w:cs="Arial"/>
          <w:b/>
          <w:color w:val="000000" w:themeColor="text1"/>
          <w:lang w:val="es-CO"/>
        </w:rPr>
        <w:t>T</w:t>
      </w:r>
      <w:r w:rsidRPr="0013707D">
        <w:rPr>
          <w:rFonts w:cs="Arial"/>
          <w:b/>
          <w:color w:val="000000" w:themeColor="text1"/>
          <w:lang w:val="es-CO"/>
        </w:rPr>
        <w:t>ransporte de gas natural, RUT:</w:t>
      </w:r>
      <w:r w:rsidRPr="0013707D">
        <w:rPr>
          <w:rFonts w:cs="Arial"/>
          <w:color w:val="000000" w:themeColor="text1"/>
          <w:lang w:val="es-CO"/>
        </w:rPr>
        <w:t xml:space="preserve"> se refiere a la Resolución CREG 071 de 1999, sus modificaciones y adiciones.</w:t>
      </w:r>
    </w:p>
    <w:p w14:paraId="4AFB0247" w14:textId="77777777" w:rsidR="0006302B" w:rsidRDefault="0006302B" w:rsidP="0006302B">
      <w:pPr>
        <w:pStyle w:val="ARTICULOS"/>
        <w:numPr>
          <w:ilvl w:val="0"/>
          <w:numId w:val="0"/>
        </w:numPr>
        <w:rPr>
          <w:rFonts w:cs="Arial"/>
          <w:color w:val="000000" w:themeColor="text1"/>
          <w:lang w:val="es-CO"/>
        </w:rPr>
      </w:pPr>
    </w:p>
    <w:p w14:paraId="1A934605" w14:textId="09FE5121" w:rsidR="0006302B" w:rsidRPr="003D20AA" w:rsidRDefault="0006302B" w:rsidP="0006302B">
      <w:pPr>
        <w:pStyle w:val="ARTICULOS"/>
        <w:numPr>
          <w:ilvl w:val="0"/>
          <w:numId w:val="0"/>
        </w:numPr>
        <w:rPr>
          <w:rFonts w:cs="Arial"/>
          <w:b/>
          <w:bCs w:val="0"/>
          <w:color w:val="000000" w:themeColor="text1"/>
          <w:lang w:val="es-CO"/>
        </w:rPr>
      </w:pPr>
      <w:r w:rsidRPr="00AC18BB">
        <w:rPr>
          <w:rFonts w:cs="Arial"/>
          <w:b/>
          <w:bCs w:val="0"/>
          <w:color w:val="000000" w:themeColor="text1"/>
          <w:lang w:val="es-CO"/>
        </w:rPr>
        <w:t>Respaldo Físico</w:t>
      </w:r>
      <w:r w:rsidR="00497473">
        <w:rPr>
          <w:rFonts w:cs="Arial"/>
          <w:b/>
          <w:bCs w:val="0"/>
          <w:color w:val="000000" w:themeColor="text1"/>
          <w:lang w:val="es-CO"/>
        </w:rPr>
        <w:t xml:space="preserve"> de fuente nacional</w:t>
      </w:r>
      <w:r w:rsidRPr="00AC18BB">
        <w:rPr>
          <w:rFonts w:cs="Arial"/>
          <w:b/>
          <w:bCs w:val="0"/>
          <w:color w:val="000000" w:themeColor="text1"/>
          <w:lang w:val="es-CO"/>
        </w:rPr>
        <w:t xml:space="preserve">: </w:t>
      </w:r>
      <w:r w:rsidR="00497473" w:rsidRPr="00497473">
        <w:rPr>
          <w:rFonts w:ascii="Times New Roman" w:hAnsi="Times New Roman"/>
          <w:bCs w:val="0"/>
          <w:lang w:val="es-ES" w:eastAsia="es-ES"/>
        </w:rPr>
        <w:t xml:space="preserve"> </w:t>
      </w:r>
      <w:r w:rsidR="00497473" w:rsidRPr="00497473">
        <w:rPr>
          <w:rFonts w:cs="Arial"/>
          <w:b/>
          <w:bCs w:val="0"/>
          <w:color w:val="000000" w:themeColor="text1"/>
          <w:lang w:val="es-CO"/>
        </w:rPr>
        <w:t xml:space="preserve">Es la garantía de que un </w:t>
      </w:r>
      <w:r w:rsidR="007170E0">
        <w:rPr>
          <w:rFonts w:cs="Arial"/>
          <w:b/>
          <w:bCs w:val="0"/>
          <w:color w:val="000000" w:themeColor="text1"/>
          <w:lang w:val="es-CO"/>
        </w:rPr>
        <w:t>P</w:t>
      </w:r>
      <w:r w:rsidR="00497473" w:rsidRPr="00497473">
        <w:rPr>
          <w:rFonts w:cs="Arial"/>
          <w:b/>
          <w:bCs w:val="0"/>
          <w:color w:val="000000" w:themeColor="text1"/>
          <w:lang w:val="es-CO"/>
        </w:rPr>
        <w:t>roductor-</w:t>
      </w:r>
      <w:r w:rsidR="007170E0">
        <w:rPr>
          <w:rFonts w:cs="Arial"/>
          <w:b/>
          <w:bCs w:val="0"/>
          <w:color w:val="000000" w:themeColor="text1"/>
          <w:lang w:val="es-CO"/>
        </w:rPr>
        <w:t>C</w:t>
      </w:r>
      <w:r w:rsidR="00497473" w:rsidRPr="00497473">
        <w:rPr>
          <w:rFonts w:cs="Arial"/>
          <w:b/>
          <w:bCs w:val="0"/>
          <w:color w:val="000000" w:themeColor="text1"/>
          <w:lang w:val="es-CO"/>
        </w:rPr>
        <w:t xml:space="preserve">omercializador cuenta con Reservas de Gas Natural para asumir y cumplir compromisos contractuales </w:t>
      </w:r>
      <w:r w:rsidR="00F926D7">
        <w:rPr>
          <w:rFonts w:cs="Arial"/>
          <w:b/>
          <w:bCs w:val="0"/>
          <w:color w:val="000000" w:themeColor="text1"/>
          <w:lang w:val="es-CO"/>
        </w:rPr>
        <w:t>f</w:t>
      </w:r>
      <w:r w:rsidR="00497473" w:rsidRPr="00497473">
        <w:rPr>
          <w:rFonts w:cs="Arial"/>
          <w:b/>
          <w:bCs w:val="0"/>
          <w:color w:val="000000" w:themeColor="text1"/>
          <w:lang w:val="es-CO"/>
        </w:rPr>
        <w:t xml:space="preserve">irmes, o que </w:t>
      </w:r>
      <w:r w:rsidR="00030C5B">
        <w:rPr>
          <w:rFonts w:cs="Arial"/>
          <w:b/>
          <w:bCs w:val="0"/>
          <w:color w:val="000000" w:themeColor="text1"/>
          <w:lang w:val="es-CO"/>
        </w:rPr>
        <w:t>garantizan firmeza</w:t>
      </w:r>
      <w:r w:rsidR="00497473" w:rsidRPr="00497473">
        <w:rPr>
          <w:rFonts w:cs="Arial"/>
          <w:b/>
          <w:bCs w:val="0"/>
          <w:color w:val="000000" w:themeColor="text1"/>
          <w:lang w:val="es-CO"/>
        </w:rPr>
        <w:t>, desde el momento en que se inicien las entregas hasta el cese de las</w:t>
      </w:r>
      <w:r w:rsidR="00030C5B">
        <w:rPr>
          <w:rFonts w:cs="Arial"/>
          <w:b/>
          <w:bCs w:val="0"/>
          <w:color w:val="000000" w:themeColor="text1"/>
          <w:lang w:val="es-CO"/>
        </w:rPr>
        <w:t xml:space="preserve"> </w:t>
      </w:r>
      <w:r w:rsidR="00497473" w:rsidRPr="00497473">
        <w:rPr>
          <w:rFonts w:cs="Arial"/>
          <w:b/>
          <w:bCs w:val="0"/>
          <w:color w:val="000000" w:themeColor="text1"/>
          <w:lang w:val="es-CO"/>
        </w:rPr>
        <w:t>mismas. Además, para efectos de esta resolución, se entenderá que un comercializador de gas natural cuenta con Respaldo Físico cuando tenga registrados ante el Gestor del Mercado de gas contratos Firmes o que</w:t>
      </w:r>
      <w:r w:rsidR="00030C5B">
        <w:rPr>
          <w:rFonts w:cs="Arial"/>
          <w:b/>
          <w:bCs w:val="0"/>
          <w:color w:val="000000" w:themeColor="text1"/>
          <w:lang w:val="es-CO"/>
        </w:rPr>
        <w:t xml:space="preserve"> garantizan firmeza</w:t>
      </w:r>
      <w:r w:rsidR="00497473" w:rsidRPr="00497473">
        <w:rPr>
          <w:rFonts w:cs="Arial"/>
          <w:b/>
          <w:bCs w:val="0"/>
          <w:color w:val="000000" w:themeColor="text1"/>
          <w:lang w:val="es-CO"/>
        </w:rPr>
        <w:t>, como parte compradora</w:t>
      </w:r>
      <w:r w:rsidRPr="003D20AA">
        <w:rPr>
          <w:rFonts w:cs="Arial"/>
          <w:b/>
          <w:bCs w:val="0"/>
          <w:color w:val="000000" w:themeColor="text1"/>
          <w:lang w:val="es-CO"/>
        </w:rPr>
        <w:t>.</w:t>
      </w:r>
    </w:p>
    <w:p w14:paraId="1EF1FAB2" w14:textId="77777777" w:rsidR="0006302B" w:rsidRPr="003D20AA" w:rsidRDefault="0006302B" w:rsidP="0006302B">
      <w:pPr>
        <w:pStyle w:val="ARTICULOS"/>
        <w:numPr>
          <w:ilvl w:val="0"/>
          <w:numId w:val="0"/>
        </w:numPr>
        <w:rPr>
          <w:rFonts w:cs="Arial"/>
          <w:b/>
          <w:bCs w:val="0"/>
          <w:color w:val="000000" w:themeColor="text1"/>
          <w:lang w:val="es-CO"/>
        </w:rPr>
      </w:pPr>
    </w:p>
    <w:p w14:paraId="55B5B243" w14:textId="7C7B2485" w:rsidR="00B52DFD" w:rsidRPr="003D20AA" w:rsidRDefault="00B52DFD" w:rsidP="0006302B">
      <w:pPr>
        <w:pStyle w:val="ARTICULOS"/>
        <w:numPr>
          <w:ilvl w:val="0"/>
          <w:numId w:val="0"/>
        </w:numPr>
        <w:rPr>
          <w:rFonts w:cs="Arial"/>
          <w:b/>
          <w:color w:val="000000" w:themeColor="text1"/>
          <w:lang w:val="es-CO"/>
        </w:rPr>
      </w:pPr>
      <w:r w:rsidRPr="00B52DFD">
        <w:rPr>
          <w:rFonts w:cs="Arial"/>
          <w:b/>
          <w:color w:val="000000" w:themeColor="text1"/>
          <w:lang w:val="es-CO"/>
        </w:rPr>
        <w:t xml:space="preserve">Respaldo Físico de gas obtenido en el exterior: </w:t>
      </w:r>
      <w:r w:rsidR="00497473" w:rsidRPr="00497473">
        <w:rPr>
          <w:rFonts w:cs="Arial"/>
          <w:b/>
          <w:color w:val="000000" w:themeColor="text1"/>
          <w:lang w:val="es-CO"/>
        </w:rPr>
        <w:t>Es la garantía de que un comercializador de gas importado ha adquirido el gas natural que se comercializará en el Mercado Primario, en un mercado internacional o centro de comercialización, mediante uno o varios contratos de suministro, ya sea que con ellos se cumpla con alguna de las siguientes dos condiciones: i.) Unos plazos de ejecución y cantidades de suministro del gas natural compradas en el exterior, por lo menos iguales a la mayor duración y mayor cantidad que se declare al Gestor del Mercado; o ii.) Unas cantidades totales de gas natural comprado en el exterior, medidas en unidades de energía, MBTU, que sean iguales o superiores a las cantidades de gas natural, medidas en las mismas unidades de energía, que se declaran al Gestor del Mercado para el período declarado</w:t>
      </w:r>
      <w:r w:rsidRPr="00B52DFD">
        <w:rPr>
          <w:rFonts w:cs="Arial"/>
          <w:b/>
          <w:color w:val="000000" w:themeColor="text1"/>
          <w:lang w:val="es-CO"/>
        </w:rPr>
        <w:t>.</w:t>
      </w:r>
    </w:p>
    <w:p w14:paraId="41D44C8B" w14:textId="77777777" w:rsidR="00656EDF" w:rsidRPr="003D20AA" w:rsidRDefault="00656EDF" w:rsidP="0006302B">
      <w:pPr>
        <w:pStyle w:val="ARTICULOS"/>
        <w:numPr>
          <w:ilvl w:val="0"/>
          <w:numId w:val="0"/>
        </w:numPr>
        <w:rPr>
          <w:rFonts w:cs="Arial"/>
          <w:b/>
          <w:color w:val="000000" w:themeColor="text1"/>
          <w:lang w:val="es-CO"/>
        </w:rPr>
      </w:pPr>
    </w:p>
    <w:p w14:paraId="442B4014" w14:textId="3A1E0AF0" w:rsidR="0006302B" w:rsidRPr="003D20AA" w:rsidRDefault="0006302B" w:rsidP="0006302B">
      <w:pPr>
        <w:pStyle w:val="ARTICULOS"/>
        <w:numPr>
          <w:ilvl w:val="0"/>
          <w:numId w:val="0"/>
        </w:numPr>
        <w:rPr>
          <w:rFonts w:cs="Arial"/>
          <w:b/>
          <w:bCs w:val="0"/>
          <w:color w:val="000000" w:themeColor="text1"/>
          <w:lang w:val="es-CO"/>
        </w:rPr>
      </w:pPr>
      <w:r w:rsidRPr="003D20AA">
        <w:rPr>
          <w:rFonts w:cs="Arial"/>
          <w:b/>
          <w:color w:val="000000" w:themeColor="text1"/>
          <w:lang w:val="es-CO"/>
        </w:rPr>
        <w:t>Responsable de la nominación de gas:</w:t>
      </w:r>
      <w:r w:rsidRPr="003D20AA">
        <w:rPr>
          <w:rFonts w:cs="Arial"/>
          <w:color w:val="000000" w:themeColor="text1"/>
          <w:lang w:val="es-CO"/>
        </w:rPr>
        <w:t xml:space="preserve"> será el comprador primario cuando éste no haya cedido sus derechos contractuales; o el comprador cesionario cuando haya suscrito la cesión de derechos de suministro de gas.</w:t>
      </w:r>
      <w:r w:rsidR="00414152" w:rsidRPr="003D20AA">
        <w:rPr>
          <w:rFonts w:cs="Arial"/>
          <w:color w:val="000000" w:themeColor="text1"/>
          <w:lang w:val="es-CO"/>
        </w:rPr>
        <w:t xml:space="preserve"> </w:t>
      </w:r>
    </w:p>
    <w:p w14:paraId="4A4608B2" w14:textId="77777777" w:rsidR="0006302B" w:rsidRPr="003D20AA" w:rsidRDefault="0006302B" w:rsidP="0006302B">
      <w:pPr>
        <w:pStyle w:val="ARTICULOS"/>
        <w:numPr>
          <w:ilvl w:val="0"/>
          <w:numId w:val="0"/>
        </w:numPr>
        <w:rPr>
          <w:rFonts w:cs="Arial"/>
          <w:color w:val="000000" w:themeColor="text1"/>
          <w:lang w:val="es-CO"/>
        </w:rPr>
      </w:pPr>
    </w:p>
    <w:p w14:paraId="302134DF" w14:textId="65645DC1" w:rsidR="0006302B" w:rsidRPr="003D20AA" w:rsidRDefault="0006302B" w:rsidP="0006302B">
      <w:pPr>
        <w:pStyle w:val="ARTICULOS"/>
        <w:numPr>
          <w:ilvl w:val="0"/>
          <w:numId w:val="0"/>
        </w:numPr>
        <w:rPr>
          <w:rFonts w:cs="Arial"/>
          <w:b/>
          <w:bCs w:val="0"/>
          <w:color w:val="000000" w:themeColor="text1"/>
          <w:lang w:val="es-CO"/>
        </w:rPr>
      </w:pPr>
      <w:r w:rsidRPr="003D20AA">
        <w:rPr>
          <w:rFonts w:cs="Arial"/>
          <w:b/>
          <w:bCs w:val="0"/>
          <w:color w:val="000000" w:themeColor="text1"/>
          <w:lang w:val="es-CO"/>
        </w:rPr>
        <w:t>Trimestres Estándar: son los trimestres de diciembre a febrero, marzo a mayo, junio a agosto y septiembre a noviembre de cada año de gas.</w:t>
      </w:r>
    </w:p>
    <w:p w14:paraId="566DA7AD" w14:textId="16EEE5C9" w:rsidR="0077029B" w:rsidRDefault="0077029B" w:rsidP="0006302B">
      <w:pPr>
        <w:pStyle w:val="ARTICULOS"/>
        <w:numPr>
          <w:ilvl w:val="0"/>
          <w:numId w:val="0"/>
        </w:numPr>
        <w:rPr>
          <w:rFonts w:cs="Arial"/>
          <w:b/>
          <w:bCs w:val="0"/>
          <w:color w:val="000000" w:themeColor="text1"/>
          <w:lang w:val="es-CO"/>
        </w:rPr>
      </w:pPr>
    </w:p>
    <w:p w14:paraId="1068179D" w14:textId="56A9FCA4" w:rsidR="009A3593" w:rsidRPr="003D20AA" w:rsidRDefault="009A3593" w:rsidP="009A3593">
      <w:pPr>
        <w:pStyle w:val="ARTICULOS"/>
        <w:numPr>
          <w:ilvl w:val="0"/>
          <w:numId w:val="0"/>
        </w:numPr>
        <w:rPr>
          <w:rFonts w:cs="Arial"/>
          <w:b/>
          <w:bCs w:val="0"/>
          <w:color w:val="000000" w:themeColor="text1"/>
          <w:lang w:val="es-CO"/>
        </w:rPr>
      </w:pPr>
      <w:r w:rsidRPr="003D20AA">
        <w:rPr>
          <w:b/>
          <w:bCs w:val="0"/>
          <w:lang w:val="es-CO"/>
        </w:rPr>
        <w:lastRenderedPageBreak/>
        <w:t xml:space="preserve">Trimestre Estándar de </w:t>
      </w:r>
      <w:r>
        <w:rPr>
          <w:b/>
          <w:bCs w:val="0"/>
          <w:lang w:val="es-CO"/>
        </w:rPr>
        <w:t>ejecu</w:t>
      </w:r>
      <w:r w:rsidRPr="003D20AA">
        <w:rPr>
          <w:b/>
          <w:bCs w:val="0"/>
          <w:lang w:val="es-CO"/>
        </w:rPr>
        <w:t xml:space="preserve">ción: Corresponde al trimestre estándar en que se </w:t>
      </w:r>
      <w:r w:rsidR="00625B7F">
        <w:rPr>
          <w:b/>
          <w:bCs w:val="0"/>
          <w:lang w:val="es-CO"/>
        </w:rPr>
        <w:t>cumple</w:t>
      </w:r>
      <w:r>
        <w:rPr>
          <w:b/>
          <w:bCs w:val="0"/>
          <w:lang w:val="es-CO"/>
        </w:rPr>
        <w:t xml:space="preserve"> el compromiso de</w:t>
      </w:r>
      <w:r w:rsidRPr="003D20AA">
        <w:rPr>
          <w:b/>
          <w:bCs w:val="0"/>
          <w:lang w:val="es-CO"/>
        </w:rPr>
        <w:t xml:space="preserve"> la entrega de </w:t>
      </w:r>
      <w:r>
        <w:rPr>
          <w:b/>
          <w:bCs w:val="0"/>
          <w:lang w:val="es-CO"/>
        </w:rPr>
        <w:t>gas natural</w:t>
      </w:r>
      <w:r w:rsidRPr="003D20AA">
        <w:rPr>
          <w:b/>
          <w:bCs w:val="0"/>
          <w:lang w:val="es-CO"/>
        </w:rPr>
        <w:t xml:space="preserve">. </w:t>
      </w:r>
    </w:p>
    <w:p w14:paraId="52E5B131" w14:textId="77777777" w:rsidR="009A3593" w:rsidRPr="003D20AA" w:rsidRDefault="009A3593" w:rsidP="0006302B">
      <w:pPr>
        <w:pStyle w:val="ARTICULOS"/>
        <w:numPr>
          <w:ilvl w:val="0"/>
          <w:numId w:val="0"/>
        </w:numPr>
        <w:rPr>
          <w:rFonts w:cs="Arial"/>
          <w:b/>
          <w:bCs w:val="0"/>
          <w:color w:val="000000" w:themeColor="text1"/>
          <w:lang w:val="es-CO"/>
        </w:rPr>
      </w:pPr>
    </w:p>
    <w:p w14:paraId="27346E5F" w14:textId="4B1B77CE" w:rsidR="0077029B" w:rsidRPr="003D20AA" w:rsidRDefault="0077029B" w:rsidP="0006302B">
      <w:pPr>
        <w:pStyle w:val="ARTICULOS"/>
        <w:numPr>
          <w:ilvl w:val="0"/>
          <w:numId w:val="0"/>
        </w:numPr>
        <w:rPr>
          <w:rFonts w:cs="Arial"/>
          <w:b/>
          <w:bCs w:val="0"/>
          <w:color w:val="000000" w:themeColor="text1"/>
          <w:lang w:val="es-CO"/>
        </w:rPr>
      </w:pPr>
      <w:r w:rsidRPr="003D20AA">
        <w:rPr>
          <w:b/>
          <w:bCs w:val="0"/>
          <w:lang w:val="es-CO"/>
        </w:rPr>
        <w:t>Trimestre Estándar de negociación: Corresponde al trimestre estándar en que se realiza</w:t>
      </w:r>
      <w:r w:rsidR="00CD6192" w:rsidRPr="003D20AA">
        <w:rPr>
          <w:b/>
          <w:bCs w:val="0"/>
          <w:lang w:val="es-CO"/>
        </w:rPr>
        <w:t xml:space="preserve"> la entrega de información al Gestor del Mercado, la realización de l</w:t>
      </w:r>
      <w:r w:rsidRPr="003D20AA">
        <w:rPr>
          <w:b/>
          <w:bCs w:val="0"/>
          <w:lang w:val="es-CO"/>
        </w:rPr>
        <w:t xml:space="preserve">os mecanismos de comercialización y </w:t>
      </w:r>
      <w:r w:rsidR="00CD6192" w:rsidRPr="003D20AA">
        <w:rPr>
          <w:b/>
          <w:bCs w:val="0"/>
          <w:lang w:val="es-CO"/>
        </w:rPr>
        <w:t xml:space="preserve">el </w:t>
      </w:r>
      <w:r w:rsidRPr="003D20AA">
        <w:rPr>
          <w:b/>
          <w:bCs w:val="0"/>
          <w:lang w:val="es-CO"/>
        </w:rPr>
        <w:t xml:space="preserve">registro de </w:t>
      </w:r>
      <w:r w:rsidR="00CD6192" w:rsidRPr="003D20AA">
        <w:rPr>
          <w:b/>
          <w:bCs w:val="0"/>
          <w:lang w:val="es-CO"/>
        </w:rPr>
        <w:t xml:space="preserve">los </w:t>
      </w:r>
      <w:r w:rsidRPr="003D20AA">
        <w:rPr>
          <w:b/>
          <w:bCs w:val="0"/>
          <w:lang w:val="es-CO"/>
        </w:rPr>
        <w:t xml:space="preserve">contratos </w:t>
      </w:r>
      <w:r w:rsidR="00CD6192" w:rsidRPr="003D20AA">
        <w:rPr>
          <w:b/>
          <w:bCs w:val="0"/>
          <w:lang w:val="es-CO"/>
        </w:rPr>
        <w:t xml:space="preserve">resultantes </w:t>
      </w:r>
      <w:r w:rsidRPr="003D20AA">
        <w:rPr>
          <w:b/>
          <w:bCs w:val="0"/>
          <w:lang w:val="es-CO"/>
        </w:rPr>
        <w:t>ante el G</w:t>
      </w:r>
      <w:r w:rsidR="00CD6192" w:rsidRPr="003D20AA">
        <w:rPr>
          <w:b/>
          <w:bCs w:val="0"/>
          <w:lang w:val="es-CO"/>
        </w:rPr>
        <w:t xml:space="preserve">estor del </w:t>
      </w:r>
      <w:r w:rsidRPr="003D20AA">
        <w:rPr>
          <w:b/>
          <w:bCs w:val="0"/>
          <w:lang w:val="es-CO"/>
        </w:rPr>
        <w:t>M</w:t>
      </w:r>
      <w:r w:rsidR="00CD6192" w:rsidRPr="003D20AA">
        <w:rPr>
          <w:b/>
          <w:bCs w:val="0"/>
          <w:lang w:val="es-CO"/>
        </w:rPr>
        <w:t>ercado</w:t>
      </w:r>
      <w:r w:rsidRPr="003D20AA">
        <w:rPr>
          <w:b/>
          <w:bCs w:val="0"/>
          <w:lang w:val="es-CO"/>
        </w:rPr>
        <w:t xml:space="preserve">. </w:t>
      </w:r>
    </w:p>
    <w:p w14:paraId="04F62CAD" w14:textId="77777777" w:rsidR="0006302B" w:rsidRPr="003D20AA" w:rsidRDefault="0006302B" w:rsidP="0006302B">
      <w:pPr>
        <w:ind w:left="0"/>
        <w:jc w:val="both"/>
        <w:rPr>
          <w:rFonts w:ascii="Bookman Old Style" w:hAnsi="Bookman Old Style" w:cs="Arial"/>
          <w:b/>
          <w:color w:val="000000" w:themeColor="text1"/>
          <w:lang w:val="es-CO"/>
        </w:rPr>
      </w:pPr>
    </w:p>
    <w:p w14:paraId="731C9E45" w14:textId="77777777" w:rsidR="0006302B" w:rsidRPr="002D6DFE" w:rsidRDefault="0006302B" w:rsidP="0006302B">
      <w:pPr>
        <w:pStyle w:val="ARTICULOS"/>
        <w:tabs>
          <w:tab w:val="clear" w:pos="1559"/>
          <w:tab w:val="left" w:pos="1560"/>
        </w:tabs>
        <w:outlineLvl w:val="0"/>
        <w:rPr>
          <w:rFonts w:cs="Arial"/>
          <w:color w:val="000000" w:themeColor="text1"/>
          <w:lang w:val="es-CO"/>
        </w:rPr>
      </w:pPr>
      <w:r w:rsidRPr="003D20AA">
        <w:rPr>
          <w:rFonts w:cs="Arial"/>
          <w:b/>
          <w:color w:val="000000" w:themeColor="text1"/>
          <w:lang w:val="es-CO"/>
        </w:rPr>
        <w:t>Siglas.</w:t>
      </w:r>
      <w:r w:rsidRPr="003D20AA">
        <w:rPr>
          <w:rFonts w:cs="Arial"/>
          <w:color w:val="000000" w:themeColor="text1"/>
          <w:lang w:val="es-CO"/>
        </w:rPr>
        <w:t xml:space="preserve"> Para efectos de la presente Resolución se tendrán en cuenta</w:t>
      </w:r>
      <w:r w:rsidRPr="00161467">
        <w:rPr>
          <w:rFonts w:cs="Arial"/>
          <w:color w:val="000000" w:themeColor="text1"/>
          <w:lang w:val="es-CO"/>
        </w:rPr>
        <w:t xml:space="preserve"> las siguientes siglas:</w:t>
      </w:r>
    </w:p>
    <w:p w14:paraId="2BF0AA77" w14:textId="77777777" w:rsidR="0006302B" w:rsidRPr="0013707D" w:rsidRDefault="0006302B" w:rsidP="0006302B">
      <w:pPr>
        <w:pStyle w:val="ARTICULOS"/>
        <w:numPr>
          <w:ilvl w:val="0"/>
          <w:numId w:val="0"/>
        </w:numPr>
        <w:tabs>
          <w:tab w:val="left" w:pos="0"/>
        </w:tabs>
        <w:rPr>
          <w:rFonts w:cs="Arial"/>
          <w:color w:val="000000" w:themeColor="text1"/>
          <w:lang w:val="es-CO"/>
        </w:rPr>
      </w:pPr>
    </w:p>
    <w:p w14:paraId="4AC85233"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ANH:</w:t>
      </w:r>
      <w:r w:rsidRPr="0013707D">
        <w:rPr>
          <w:color w:val="000000" w:themeColor="text1"/>
          <w:lang w:val="es-CO"/>
        </w:rPr>
        <w:t xml:space="preserve"> </w:t>
      </w:r>
      <w:r w:rsidRPr="0013707D">
        <w:rPr>
          <w:color w:val="000000" w:themeColor="text1"/>
          <w:lang w:val="es-CO"/>
        </w:rPr>
        <w:tab/>
        <w:t>Agencia Nacional de Hidrocarburos.</w:t>
      </w:r>
    </w:p>
    <w:p w14:paraId="0206467F"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AOM:</w:t>
      </w:r>
      <w:r w:rsidRPr="0013707D">
        <w:rPr>
          <w:color w:val="000000" w:themeColor="text1"/>
          <w:lang w:val="es-CO"/>
        </w:rPr>
        <w:t xml:space="preserve"> </w:t>
      </w:r>
      <w:r w:rsidRPr="0013707D">
        <w:rPr>
          <w:color w:val="000000" w:themeColor="text1"/>
          <w:lang w:val="es-CO"/>
        </w:rPr>
        <w:tab/>
        <w:t>Administración, operación y mantenimiento.</w:t>
      </w:r>
    </w:p>
    <w:p w14:paraId="45CB330E" w14:textId="77777777" w:rsidR="0006302B" w:rsidRPr="0013707D" w:rsidRDefault="0006302B" w:rsidP="0006302B">
      <w:pPr>
        <w:pStyle w:val="ARTICULOS"/>
        <w:numPr>
          <w:ilvl w:val="0"/>
          <w:numId w:val="0"/>
        </w:numPr>
        <w:tabs>
          <w:tab w:val="left" w:pos="0"/>
        </w:tabs>
        <w:rPr>
          <w:rFonts w:cs="Arial"/>
          <w:color w:val="000000" w:themeColor="text1"/>
          <w:lang w:val="es-CO"/>
        </w:rPr>
      </w:pPr>
      <w:r w:rsidRPr="0013707D">
        <w:rPr>
          <w:b/>
          <w:color w:val="000000" w:themeColor="text1"/>
          <w:lang w:val="es-CO"/>
        </w:rPr>
        <w:t>BEC:</w:t>
      </w:r>
      <w:r w:rsidRPr="0013707D">
        <w:rPr>
          <w:color w:val="000000" w:themeColor="text1"/>
          <w:lang w:val="es-CO"/>
        </w:rPr>
        <w:t xml:space="preserve"> </w:t>
      </w:r>
      <w:r w:rsidRPr="0013707D">
        <w:rPr>
          <w:color w:val="000000" w:themeColor="text1"/>
          <w:lang w:val="es-CO"/>
        </w:rPr>
        <w:tab/>
        <w:t>Boletín Electrónico Central.</w:t>
      </w:r>
    </w:p>
    <w:p w14:paraId="1F726D6B"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 xml:space="preserve">BTU: </w:t>
      </w:r>
      <w:r w:rsidRPr="0013707D">
        <w:rPr>
          <w:b/>
          <w:color w:val="000000" w:themeColor="text1"/>
          <w:lang w:val="es-CO"/>
        </w:rPr>
        <w:tab/>
      </w:r>
      <w:r w:rsidRPr="0013707D">
        <w:rPr>
          <w:color w:val="000000" w:themeColor="text1"/>
          <w:lang w:val="es-CO"/>
        </w:rPr>
        <w:t xml:space="preserve">Abreviatura de </w:t>
      </w:r>
      <w:r w:rsidRPr="0013707D">
        <w:rPr>
          <w:i/>
          <w:color w:val="000000" w:themeColor="text1"/>
          <w:lang w:val="es-CO"/>
        </w:rPr>
        <w:t xml:space="preserve">British </w:t>
      </w:r>
      <w:proofErr w:type="spellStart"/>
      <w:r w:rsidRPr="0013707D">
        <w:rPr>
          <w:i/>
          <w:color w:val="000000" w:themeColor="text1"/>
          <w:lang w:val="es-CO"/>
        </w:rPr>
        <w:t>Thermal</w:t>
      </w:r>
      <w:proofErr w:type="spellEnd"/>
      <w:r w:rsidRPr="0013707D">
        <w:rPr>
          <w:i/>
          <w:color w:val="000000" w:themeColor="text1"/>
          <w:lang w:val="es-CO"/>
        </w:rPr>
        <w:t xml:space="preserve"> </w:t>
      </w:r>
      <w:proofErr w:type="spellStart"/>
      <w:r w:rsidRPr="0013707D">
        <w:rPr>
          <w:i/>
          <w:color w:val="000000" w:themeColor="text1"/>
          <w:lang w:val="es-CO"/>
        </w:rPr>
        <w:t>Unit</w:t>
      </w:r>
      <w:proofErr w:type="spellEnd"/>
      <w:r w:rsidRPr="0013707D">
        <w:rPr>
          <w:color w:val="000000" w:themeColor="text1"/>
          <w:lang w:val="es-CO"/>
        </w:rPr>
        <w:t>.</w:t>
      </w:r>
    </w:p>
    <w:p w14:paraId="03DC5760" w14:textId="77777777" w:rsidR="0006302B" w:rsidRPr="0013707D" w:rsidRDefault="0006302B" w:rsidP="0006302B">
      <w:pPr>
        <w:pStyle w:val="ARTICULOS"/>
        <w:numPr>
          <w:ilvl w:val="0"/>
          <w:numId w:val="0"/>
        </w:numPr>
        <w:tabs>
          <w:tab w:val="left" w:pos="0"/>
        </w:tabs>
        <w:ind w:left="1410" w:hanging="1410"/>
        <w:rPr>
          <w:b/>
          <w:color w:val="000000" w:themeColor="text1"/>
          <w:lang w:val="es-CO"/>
        </w:rPr>
      </w:pPr>
      <w:r w:rsidRPr="0013707D">
        <w:rPr>
          <w:b/>
          <w:color w:val="000000" w:themeColor="text1"/>
          <w:lang w:val="es-CO"/>
        </w:rPr>
        <w:t xml:space="preserve">CIDV: </w:t>
      </w:r>
      <w:r w:rsidRPr="0013707D">
        <w:rPr>
          <w:b/>
          <w:color w:val="000000" w:themeColor="text1"/>
          <w:lang w:val="es-CO"/>
        </w:rPr>
        <w:tab/>
      </w:r>
      <w:r w:rsidRPr="0013707D">
        <w:rPr>
          <w:b/>
          <w:color w:val="000000" w:themeColor="text1"/>
          <w:lang w:val="es-CO"/>
        </w:rPr>
        <w:tab/>
      </w:r>
      <w:r w:rsidRPr="0013707D">
        <w:rPr>
          <w:color w:val="000000" w:themeColor="text1"/>
          <w:lang w:val="es-CO"/>
        </w:rPr>
        <w:t>Cantidades importadas disponibles para la venta.</w:t>
      </w:r>
    </w:p>
    <w:p w14:paraId="3710A583" w14:textId="77777777" w:rsidR="0006302B" w:rsidRPr="0013707D" w:rsidRDefault="0006302B" w:rsidP="0006302B">
      <w:pPr>
        <w:pStyle w:val="ARTICULOS"/>
        <w:numPr>
          <w:ilvl w:val="0"/>
          <w:numId w:val="0"/>
        </w:numPr>
        <w:tabs>
          <w:tab w:val="left" w:pos="0"/>
        </w:tabs>
        <w:ind w:left="1410" w:hanging="1410"/>
        <w:rPr>
          <w:b/>
          <w:color w:val="000000" w:themeColor="text1"/>
          <w:lang w:val="es-CO"/>
        </w:rPr>
      </w:pPr>
      <w:r w:rsidRPr="0013707D">
        <w:rPr>
          <w:b/>
          <w:color w:val="000000" w:themeColor="text1"/>
          <w:lang w:val="es-CO"/>
        </w:rPr>
        <w:t xml:space="preserve">CIDVF: </w:t>
      </w:r>
      <w:r w:rsidRPr="0013707D">
        <w:rPr>
          <w:b/>
          <w:color w:val="000000" w:themeColor="text1"/>
          <w:lang w:val="es-CO"/>
        </w:rPr>
        <w:tab/>
      </w:r>
      <w:r w:rsidRPr="0013707D">
        <w:rPr>
          <w:b/>
          <w:color w:val="000000" w:themeColor="text1"/>
          <w:lang w:val="es-CO"/>
        </w:rPr>
        <w:tab/>
      </w:r>
      <w:r w:rsidRPr="0013707D">
        <w:rPr>
          <w:color w:val="000000" w:themeColor="text1"/>
          <w:lang w:val="es-CO"/>
        </w:rPr>
        <w:t>Cantidades importadas disponibles para la venta en firme.</w:t>
      </w:r>
    </w:p>
    <w:p w14:paraId="14AA6FCE"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CMMP:</w:t>
      </w:r>
      <w:r w:rsidRPr="0013707D">
        <w:rPr>
          <w:color w:val="000000" w:themeColor="text1"/>
          <w:lang w:val="es-CO"/>
        </w:rPr>
        <w:t xml:space="preserve"> </w:t>
      </w:r>
      <w:r w:rsidRPr="0013707D">
        <w:rPr>
          <w:color w:val="000000" w:themeColor="text1"/>
          <w:lang w:val="es-CO"/>
        </w:rPr>
        <w:tab/>
        <w:t>Capacidad máxima de mediano plazo.</w:t>
      </w:r>
    </w:p>
    <w:p w14:paraId="698FE3D0"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CNOG:</w:t>
      </w:r>
      <w:r w:rsidRPr="0013707D">
        <w:rPr>
          <w:b/>
          <w:color w:val="000000" w:themeColor="text1"/>
          <w:lang w:val="es-CO"/>
        </w:rPr>
        <w:tab/>
      </w:r>
      <w:r w:rsidRPr="0013707D">
        <w:rPr>
          <w:color w:val="000000" w:themeColor="text1"/>
          <w:lang w:val="es-CO"/>
        </w:rPr>
        <w:t>Consejo Nacional de Operación de Gas Natural.</w:t>
      </w:r>
    </w:p>
    <w:p w14:paraId="50238252"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CREG:</w:t>
      </w:r>
      <w:r w:rsidRPr="0013707D">
        <w:rPr>
          <w:color w:val="000000" w:themeColor="text1"/>
          <w:lang w:val="es-CO"/>
        </w:rPr>
        <w:t xml:space="preserve"> </w:t>
      </w:r>
      <w:r w:rsidRPr="0013707D">
        <w:rPr>
          <w:color w:val="000000" w:themeColor="text1"/>
          <w:lang w:val="es-CO"/>
        </w:rPr>
        <w:tab/>
        <w:t>Comisión de Regulación de Energía y Gas.</w:t>
      </w:r>
    </w:p>
    <w:p w14:paraId="7D4B62DF"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GBTU:</w:t>
      </w:r>
      <w:r w:rsidRPr="0013707D">
        <w:rPr>
          <w:color w:val="000000" w:themeColor="text1"/>
          <w:lang w:val="es-CO"/>
        </w:rPr>
        <w:t xml:space="preserve"> </w:t>
      </w:r>
      <w:r w:rsidRPr="0013707D">
        <w:rPr>
          <w:color w:val="000000" w:themeColor="text1"/>
          <w:lang w:val="es-CO"/>
        </w:rPr>
        <w:tab/>
        <w:t>Giga BTU.</w:t>
      </w:r>
    </w:p>
    <w:p w14:paraId="501CF21B" w14:textId="3F044090" w:rsidR="0006302B"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GBTUD:</w:t>
      </w:r>
      <w:r w:rsidRPr="0013707D">
        <w:rPr>
          <w:color w:val="000000" w:themeColor="text1"/>
          <w:lang w:val="es-CO"/>
        </w:rPr>
        <w:t xml:space="preserve"> </w:t>
      </w:r>
      <w:r w:rsidRPr="0013707D">
        <w:rPr>
          <w:color w:val="000000" w:themeColor="text1"/>
          <w:lang w:val="es-CO"/>
        </w:rPr>
        <w:tab/>
        <w:t>Giga BTU por día.</w:t>
      </w:r>
    </w:p>
    <w:p w14:paraId="212DB113" w14:textId="17CC53DF" w:rsidR="002E174B" w:rsidRDefault="002E174B" w:rsidP="0006302B">
      <w:pPr>
        <w:pStyle w:val="ARTICULOS"/>
        <w:numPr>
          <w:ilvl w:val="0"/>
          <w:numId w:val="0"/>
        </w:numPr>
        <w:tabs>
          <w:tab w:val="left" w:pos="0"/>
        </w:tabs>
        <w:rPr>
          <w:b/>
          <w:bCs w:val="0"/>
          <w:color w:val="000000" w:themeColor="text1"/>
          <w:lang w:val="es-CO"/>
        </w:rPr>
      </w:pPr>
      <w:r w:rsidRPr="00191320">
        <w:rPr>
          <w:b/>
          <w:bCs w:val="0"/>
          <w:color w:val="000000" w:themeColor="text1"/>
          <w:lang w:val="es-CO"/>
        </w:rPr>
        <w:t>GMDC</w:t>
      </w:r>
      <w:r>
        <w:rPr>
          <w:b/>
          <w:bCs w:val="0"/>
          <w:color w:val="000000" w:themeColor="text1"/>
          <w:lang w:val="es-CO"/>
        </w:rPr>
        <w:t>:</w:t>
      </w:r>
      <w:r>
        <w:rPr>
          <w:b/>
          <w:bCs w:val="0"/>
          <w:color w:val="000000" w:themeColor="text1"/>
          <w:lang w:val="es-CO"/>
        </w:rPr>
        <w:tab/>
        <w:t xml:space="preserve">Gas Metano en </w:t>
      </w:r>
      <w:r w:rsidR="00C04547">
        <w:rPr>
          <w:b/>
          <w:bCs w:val="0"/>
          <w:color w:val="000000" w:themeColor="text1"/>
          <w:lang w:val="es-CO"/>
        </w:rPr>
        <w:t>Depósitos</w:t>
      </w:r>
      <w:r>
        <w:rPr>
          <w:b/>
          <w:bCs w:val="0"/>
          <w:color w:val="000000" w:themeColor="text1"/>
          <w:lang w:val="es-CO"/>
        </w:rPr>
        <w:t xml:space="preserve"> de Carbón</w:t>
      </w:r>
    </w:p>
    <w:p w14:paraId="14BA5B12" w14:textId="402AF946" w:rsidR="004800B0" w:rsidRPr="00191320" w:rsidRDefault="004800B0" w:rsidP="0006302B">
      <w:pPr>
        <w:pStyle w:val="ARTICULOS"/>
        <w:numPr>
          <w:ilvl w:val="0"/>
          <w:numId w:val="0"/>
        </w:numPr>
        <w:tabs>
          <w:tab w:val="left" w:pos="0"/>
        </w:tabs>
        <w:rPr>
          <w:b/>
          <w:bCs w:val="0"/>
          <w:color w:val="000000" w:themeColor="text1"/>
          <w:lang w:val="es-CO"/>
        </w:rPr>
      </w:pPr>
      <w:r>
        <w:rPr>
          <w:b/>
          <w:bCs w:val="0"/>
          <w:color w:val="000000" w:themeColor="text1"/>
          <w:lang w:val="es-CO"/>
        </w:rPr>
        <w:t xml:space="preserve">GNCV: </w:t>
      </w:r>
      <w:r>
        <w:rPr>
          <w:b/>
          <w:bCs w:val="0"/>
          <w:color w:val="000000" w:themeColor="text1"/>
          <w:lang w:val="es-CO"/>
        </w:rPr>
        <w:tab/>
        <w:t>Gas natural comprimido vehicular</w:t>
      </w:r>
    </w:p>
    <w:p w14:paraId="0180E1A2"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KPC:</w:t>
      </w:r>
      <w:r w:rsidRPr="0013707D">
        <w:rPr>
          <w:color w:val="000000" w:themeColor="text1"/>
          <w:lang w:val="es-CO"/>
        </w:rPr>
        <w:t xml:space="preserve"> </w:t>
      </w:r>
      <w:r w:rsidRPr="0013707D">
        <w:rPr>
          <w:color w:val="000000" w:themeColor="text1"/>
          <w:lang w:val="es-CO"/>
        </w:rPr>
        <w:tab/>
        <w:t>Mil pies cúbicos estándar.</w:t>
      </w:r>
    </w:p>
    <w:p w14:paraId="485CC5F0"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KPCD:</w:t>
      </w:r>
      <w:r w:rsidRPr="0013707D">
        <w:rPr>
          <w:color w:val="000000" w:themeColor="text1"/>
          <w:lang w:val="es-CO"/>
        </w:rPr>
        <w:t xml:space="preserve"> </w:t>
      </w:r>
      <w:r w:rsidRPr="0013707D">
        <w:rPr>
          <w:color w:val="000000" w:themeColor="text1"/>
          <w:lang w:val="es-CO"/>
        </w:rPr>
        <w:tab/>
        <w:t>Mil pies cúbicos estándar por día.</w:t>
      </w:r>
    </w:p>
    <w:p w14:paraId="2A2269F9"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MBTU:</w:t>
      </w:r>
      <w:r w:rsidRPr="0013707D">
        <w:rPr>
          <w:color w:val="000000" w:themeColor="text1"/>
          <w:lang w:val="es-CO"/>
        </w:rPr>
        <w:t xml:space="preserve"> </w:t>
      </w:r>
      <w:r w:rsidRPr="0013707D">
        <w:rPr>
          <w:color w:val="000000" w:themeColor="text1"/>
          <w:lang w:val="es-CO"/>
        </w:rPr>
        <w:tab/>
        <w:t>Millón de BTU.</w:t>
      </w:r>
    </w:p>
    <w:p w14:paraId="054835F9" w14:textId="77777777" w:rsidR="0006302B" w:rsidRPr="0013707D" w:rsidRDefault="0006302B" w:rsidP="0006302B">
      <w:pPr>
        <w:pStyle w:val="ARTICULOS"/>
        <w:numPr>
          <w:ilvl w:val="0"/>
          <w:numId w:val="0"/>
        </w:numPr>
        <w:tabs>
          <w:tab w:val="left" w:pos="0"/>
        </w:tabs>
        <w:rPr>
          <w:b/>
          <w:color w:val="000000" w:themeColor="text1"/>
          <w:lang w:val="es-CO"/>
        </w:rPr>
      </w:pPr>
      <w:r w:rsidRPr="0013707D">
        <w:rPr>
          <w:b/>
          <w:color w:val="000000" w:themeColor="text1"/>
          <w:lang w:val="es-CO"/>
        </w:rPr>
        <w:t>MBTUD:</w:t>
      </w:r>
      <w:r w:rsidRPr="0013707D">
        <w:rPr>
          <w:color w:val="000000" w:themeColor="text1"/>
          <w:lang w:val="es-CO"/>
        </w:rPr>
        <w:t xml:space="preserve"> </w:t>
      </w:r>
      <w:r w:rsidRPr="0013707D">
        <w:rPr>
          <w:color w:val="000000" w:themeColor="text1"/>
          <w:lang w:val="es-CO"/>
        </w:rPr>
        <w:tab/>
        <w:t>Millón de BTU por día.</w:t>
      </w:r>
    </w:p>
    <w:p w14:paraId="6AE21C80"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PTDV:</w:t>
      </w:r>
      <w:r w:rsidRPr="0013707D">
        <w:rPr>
          <w:color w:val="000000" w:themeColor="text1"/>
          <w:lang w:val="es-CO"/>
        </w:rPr>
        <w:t xml:space="preserve"> </w:t>
      </w:r>
      <w:r w:rsidRPr="0013707D">
        <w:rPr>
          <w:color w:val="000000" w:themeColor="text1"/>
          <w:lang w:val="es-CO"/>
        </w:rPr>
        <w:tab/>
        <w:t>Producción total disponible para la venta.</w:t>
      </w:r>
    </w:p>
    <w:p w14:paraId="7F6C438C" w14:textId="77777777"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 xml:space="preserve">PTDVF: </w:t>
      </w:r>
      <w:r w:rsidRPr="0013707D">
        <w:rPr>
          <w:b/>
          <w:color w:val="000000" w:themeColor="text1"/>
          <w:lang w:val="es-CO"/>
        </w:rPr>
        <w:tab/>
      </w:r>
      <w:r w:rsidRPr="0013707D">
        <w:rPr>
          <w:color w:val="000000" w:themeColor="text1"/>
          <w:lang w:val="es-CO"/>
        </w:rPr>
        <w:t>Oferta de producción total disponible para la venta en firme.</w:t>
      </w:r>
    </w:p>
    <w:p w14:paraId="7768452C" w14:textId="15BD5843" w:rsidR="0006302B" w:rsidRPr="0013707D" w:rsidRDefault="0006302B" w:rsidP="0006302B">
      <w:pPr>
        <w:pStyle w:val="ARTICULOS"/>
        <w:numPr>
          <w:ilvl w:val="0"/>
          <w:numId w:val="0"/>
        </w:numPr>
        <w:tabs>
          <w:tab w:val="left" w:pos="0"/>
        </w:tabs>
        <w:rPr>
          <w:color w:val="000000" w:themeColor="text1"/>
          <w:lang w:val="es-CO"/>
        </w:rPr>
      </w:pPr>
      <w:r w:rsidRPr="0013707D">
        <w:rPr>
          <w:b/>
          <w:color w:val="000000" w:themeColor="text1"/>
          <w:lang w:val="es-CO"/>
        </w:rPr>
        <w:t>RUT:</w:t>
      </w:r>
      <w:r w:rsidRPr="0013707D">
        <w:rPr>
          <w:color w:val="000000" w:themeColor="text1"/>
          <w:lang w:val="es-CO"/>
        </w:rPr>
        <w:t xml:space="preserve"> </w:t>
      </w:r>
      <w:r w:rsidRPr="0013707D">
        <w:rPr>
          <w:color w:val="000000" w:themeColor="text1"/>
          <w:lang w:val="es-CO"/>
        </w:rPr>
        <w:tab/>
        <w:t xml:space="preserve">Reglamento </w:t>
      </w:r>
      <w:r w:rsidR="0082601D">
        <w:rPr>
          <w:color w:val="000000" w:themeColor="text1"/>
          <w:lang w:val="es-CO"/>
        </w:rPr>
        <w:t>Ú</w:t>
      </w:r>
      <w:r w:rsidRPr="0013707D">
        <w:rPr>
          <w:color w:val="000000" w:themeColor="text1"/>
          <w:lang w:val="es-CO"/>
        </w:rPr>
        <w:t xml:space="preserve">nico de </w:t>
      </w:r>
      <w:r w:rsidR="0082601D">
        <w:rPr>
          <w:color w:val="000000" w:themeColor="text1"/>
          <w:lang w:val="es-CO"/>
        </w:rPr>
        <w:t>T</w:t>
      </w:r>
      <w:r w:rsidRPr="0013707D">
        <w:rPr>
          <w:color w:val="000000" w:themeColor="text1"/>
          <w:lang w:val="es-CO"/>
        </w:rPr>
        <w:t>ransporte de gas natural.</w:t>
      </w:r>
    </w:p>
    <w:p w14:paraId="763297CD" w14:textId="09376C5C" w:rsidR="0006302B" w:rsidRPr="0013707D" w:rsidRDefault="0006302B" w:rsidP="0006302B">
      <w:pPr>
        <w:pStyle w:val="ARTICULOS"/>
        <w:numPr>
          <w:ilvl w:val="0"/>
          <w:numId w:val="0"/>
        </w:numPr>
        <w:rPr>
          <w:color w:val="000000" w:themeColor="text1"/>
          <w:lang w:val="es-CO"/>
        </w:rPr>
      </w:pPr>
      <w:r w:rsidRPr="0013707D">
        <w:rPr>
          <w:b/>
          <w:color w:val="000000" w:themeColor="text1"/>
          <w:lang w:val="es-CO"/>
        </w:rPr>
        <w:t>SNT:</w:t>
      </w:r>
      <w:r w:rsidRPr="0013707D">
        <w:rPr>
          <w:color w:val="000000" w:themeColor="text1"/>
          <w:lang w:val="es-CO"/>
        </w:rPr>
        <w:t xml:space="preserve"> </w:t>
      </w:r>
      <w:r w:rsidRPr="0013707D">
        <w:rPr>
          <w:color w:val="000000" w:themeColor="text1"/>
          <w:lang w:val="es-CO"/>
        </w:rPr>
        <w:tab/>
        <w:t xml:space="preserve">Sistema </w:t>
      </w:r>
      <w:r w:rsidR="0082601D">
        <w:rPr>
          <w:color w:val="000000" w:themeColor="text1"/>
          <w:lang w:val="es-CO"/>
        </w:rPr>
        <w:t>N</w:t>
      </w:r>
      <w:r w:rsidRPr="0013707D">
        <w:rPr>
          <w:color w:val="000000" w:themeColor="text1"/>
          <w:lang w:val="es-CO"/>
        </w:rPr>
        <w:t xml:space="preserve">acional de </w:t>
      </w:r>
      <w:r w:rsidR="0082601D">
        <w:rPr>
          <w:color w:val="000000" w:themeColor="text1"/>
          <w:lang w:val="es-CO"/>
        </w:rPr>
        <w:t>T</w:t>
      </w:r>
      <w:r w:rsidRPr="0013707D">
        <w:rPr>
          <w:color w:val="000000" w:themeColor="text1"/>
          <w:lang w:val="es-CO"/>
        </w:rPr>
        <w:t>ransporte de gas.</w:t>
      </w:r>
    </w:p>
    <w:p w14:paraId="0DF68631" w14:textId="77777777" w:rsidR="0006302B" w:rsidRPr="0013707D" w:rsidRDefault="0006302B" w:rsidP="0006302B">
      <w:pPr>
        <w:pStyle w:val="ARTICULOS"/>
        <w:numPr>
          <w:ilvl w:val="0"/>
          <w:numId w:val="0"/>
        </w:numPr>
        <w:rPr>
          <w:color w:val="000000" w:themeColor="text1"/>
          <w:lang w:val="es-CO"/>
        </w:rPr>
      </w:pPr>
      <w:r w:rsidRPr="0013707D">
        <w:rPr>
          <w:b/>
          <w:color w:val="000000" w:themeColor="text1"/>
          <w:lang w:val="es-CO"/>
        </w:rPr>
        <w:t>UPME:</w:t>
      </w:r>
      <w:r w:rsidRPr="0013707D">
        <w:rPr>
          <w:color w:val="000000" w:themeColor="text1"/>
          <w:lang w:val="es-CO"/>
        </w:rPr>
        <w:t xml:space="preserve"> </w:t>
      </w:r>
      <w:r w:rsidRPr="0013707D">
        <w:rPr>
          <w:color w:val="000000" w:themeColor="text1"/>
          <w:lang w:val="es-CO"/>
        </w:rPr>
        <w:tab/>
        <w:t>Unidad de Planeación Minero Energética.</w:t>
      </w:r>
    </w:p>
    <w:p w14:paraId="4586BCE0" w14:textId="77777777" w:rsidR="0006302B" w:rsidRDefault="0006302B" w:rsidP="0006302B">
      <w:pPr>
        <w:pStyle w:val="ARTICULOS"/>
        <w:numPr>
          <w:ilvl w:val="0"/>
          <w:numId w:val="0"/>
        </w:numPr>
        <w:rPr>
          <w:rFonts w:cs="Arial"/>
          <w:color w:val="000000" w:themeColor="text1"/>
          <w:lang w:val="es-CO"/>
        </w:rPr>
      </w:pPr>
    </w:p>
    <w:p w14:paraId="33CD3C80" w14:textId="77777777" w:rsidR="00934598" w:rsidRPr="0013707D" w:rsidRDefault="00934598" w:rsidP="0006302B">
      <w:pPr>
        <w:pStyle w:val="ARTICULOS"/>
        <w:numPr>
          <w:ilvl w:val="0"/>
          <w:numId w:val="0"/>
        </w:numPr>
        <w:rPr>
          <w:rFonts w:cs="Arial"/>
          <w:color w:val="000000" w:themeColor="text1"/>
          <w:lang w:val="es-CO"/>
        </w:rPr>
      </w:pPr>
    </w:p>
    <w:p w14:paraId="2F924B60" w14:textId="77777777" w:rsidR="0006302B"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Título II</w:t>
      </w:r>
    </w:p>
    <w:p w14:paraId="1A625BB9" w14:textId="027F433F" w:rsidR="0006302B" w:rsidRPr="0013707D" w:rsidRDefault="0022131A" w:rsidP="0006302B">
      <w:pPr>
        <w:keepNext/>
        <w:ind w:left="0"/>
        <w:jc w:val="center"/>
        <w:rPr>
          <w:rFonts w:ascii="Bookman Old Style" w:hAnsi="Bookman Old Style" w:cs="Arial"/>
          <w:b/>
          <w:bCs/>
          <w:color w:val="000000" w:themeColor="text1"/>
          <w:lang w:val="es-CO"/>
        </w:rPr>
      </w:pPr>
      <w:r w:rsidRPr="002D5416">
        <w:rPr>
          <w:rFonts w:ascii="Bookman Old Style" w:hAnsi="Bookman Old Style" w:cs="Arial"/>
          <w:b/>
          <w:sz w:val="28"/>
          <w:u w:color="FF0000"/>
          <w:lang w:val="es-CO"/>
        </w:rPr>
        <w:t>Gestor</w:t>
      </w:r>
      <w:r w:rsidR="0006302B">
        <w:rPr>
          <w:rFonts w:ascii="Bookman Old Style" w:hAnsi="Bookman Old Style" w:cs="Arial"/>
          <w:b/>
          <w:bCs/>
          <w:color w:val="000000" w:themeColor="text1"/>
          <w:lang w:val="es-CO"/>
        </w:rPr>
        <w:t xml:space="preserve"> del Mercado</w:t>
      </w:r>
    </w:p>
    <w:p w14:paraId="33942B3F" w14:textId="77777777" w:rsidR="0006302B" w:rsidRPr="0013707D" w:rsidRDefault="0006302B" w:rsidP="0006302B">
      <w:pPr>
        <w:pStyle w:val="ARTICULOS"/>
        <w:keepNext/>
        <w:widowControl/>
        <w:numPr>
          <w:ilvl w:val="0"/>
          <w:numId w:val="0"/>
        </w:numPr>
        <w:rPr>
          <w:rFonts w:cs="Arial"/>
          <w:color w:val="000000" w:themeColor="text1"/>
          <w:lang w:val="es-CO"/>
        </w:rPr>
      </w:pPr>
    </w:p>
    <w:p w14:paraId="564BD798" w14:textId="1FCF186D" w:rsidR="0006302B" w:rsidRPr="0013707D" w:rsidRDefault="0006302B" w:rsidP="0006302B">
      <w:pPr>
        <w:pStyle w:val="ARTICULOS"/>
        <w:tabs>
          <w:tab w:val="clear" w:pos="1559"/>
          <w:tab w:val="left" w:pos="1560"/>
        </w:tabs>
        <w:outlineLvl w:val="0"/>
        <w:rPr>
          <w:rFonts w:cs="Arial"/>
          <w:color w:val="000000" w:themeColor="text1"/>
          <w:lang w:val="es-CO"/>
        </w:rPr>
      </w:pPr>
      <w:bookmarkStart w:id="5" w:name="_Ref330310840"/>
      <w:bookmarkStart w:id="6" w:name="_Ref330828080"/>
      <w:r w:rsidRPr="0013707D">
        <w:rPr>
          <w:rFonts w:cs="Arial"/>
          <w:b/>
          <w:color w:val="000000" w:themeColor="text1"/>
          <w:lang w:val="es-CO"/>
        </w:rPr>
        <w:t>Servicios a cargo del</w:t>
      </w:r>
      <w:r w:rsidR="00AC6A1F">
        <w:rPr>
          <w:rFonts w:cs="Arial"/>
          <w:b/>
          <w:color w:val="000000" w:themeColor="text1"/>
          <w:lang w:val="es-CO"/>
        </w:rPr>
        <w:t xml:space="preserve"> Gestor</w:t>
      </w:r>
      <w:r>
        <w:rPr>
          <w:rFonts w:cs="Arial"/>
          <w:b/>
          <w:color w:val="000000" w:themeColor="text1"/>
          <w:lang w:val="es-CO"/>
        </w:rPr>
        <w:t xml:space="preserve"> del Mercado</w:t>
      </w:r>
      <w:r w:rsidRPr="0013707D">
        <w:rPr>
          <w:rFonts w:cs="Arial"/>
          <w:b/>
          <w:color w:val="000000" w:themeColor="text1"/>
          <w:lang w:val="es-CO"/>
        </w:rPr>
        <w:t xml:space="preserve">. </w:t>
      </w:r>
      <w:r w:rsidRPr="00934598">
        <w:rPr>
          <w:rFonts w:cs="Arial"/>
          <w:color w:val="000000" w:themeColor="text1"/>
          <w:lang w:val="es-CO"/>
        </w:rPr>
        <w:t xml:space="preserve">El </w:t>
      </w:r>
      <w:r w:rsidR="0022131A" w:rsidRPr="00934598">
        <w:rPr>
          <w:rFonts w:cs="Arial"/>
          <w:u w:color="FF0000"/>
          <w:lang w:val="es-CO"/>
        </w:rPr>
        <w:t>Gestor</w:t>
      </w:r>
      <w:r w:rsidRPr="00934598">
        <w:rPr>
          <w:rFonts w:cs="Arial"/>
          <w:lang w:val="es-CO"/>
        </w:rPr>
        <w:t xml:space="preserve"> </w:t>
      </w:r>
      <w:r w:rsidRPr="00934598">
        <w:rPr>
          <w:rFonts w:cs="Arial"/>
          <w:color w:val="000000" w:themeColor="text1"/>
          <w:lang w:val="es-CO"/>
        </w:rPr>
        <w:t>del Mercado</w:t>
      </w:r>
      <w:r w:rsidRPr="0013707D">
        <w:rPr>
          <w:rFonts w:cs="Arial"/>
          <w:color w:val="000000" w:themeColor="text1"/>
          <w:lang w:val="es-CO"/>
        </w:rPr>
        <w:t xml:space="preserve"> prestará los siguientes servicios:</w:t>
      </w:r>
      <w:bookmarkEnd w:id="5"/>
      <w:bookmarkEnd w:id="6"/>
    </w:p>
    <w:p w14:paraId="369AB58A" w14:textId="77777777" w:rsidR="0006302B" w:rsidRPr="0013707D" w:rsidRDefault="0006302B" w:rsidP="0006302B">
      <w:pPr>
        <w:pStyle w:val="ARTICULOS"/>
        <w:numPr>
          <w:ilvl w:val="0"/>
          <w:numId w:val="0"/>
        </w:numPr>
        <w:rPr>
          <w:rFonts w:cs="Arial"/>
          <w:color w:val="000000" w:themeColor="text1"/>
          <w:lang w:val="es-CO"/>
        </w:rPr>
      </w:pPr>
    </w:p>
    <w:p w14:paraId="6833485F" w14:textId="77777777" w:rsidR="0006302B" w:rsidRPr="0013707D" w:rsidRDefault="0006302B" w:rsidP="0006302B">
      <w:pPr>
        <w:pStyle w:val="ARTICULOS"/>
        <w:numPr>
          <w:ilvl w:val="1"/>
          <w:numId w:val="5"/>
        </w:numPr>
        <w:ind w:left="567" w:hanging="567"/>
        <w:rPr>
          <w:color w:val="000000" w:themeColor="text1"/>
          <w:lang w:val="es-CO"/>
        </w:rPr>
      </w:pPr>
      <w:bookmarkStart w:id="7" w:name="_Ref329102676"/>
      <w:r w:rsidRPr="0013707D">
        <w:rPr>
          <w:color w:val="000000" w:themeColor="text1"/>
          <w:lang w:val="es-CO"/>
        </w:rPr>
        <w:t>Diseño, puesta en funcionamiento y administración del BEC.</w:t>
      </w:r>
    </w:p>
    <w:p w14:paraId="126C4B2B" w14:textId="77777777" w:rsidR="0006302B" w:rsidRPr="0013707D" w:rsidRDefault="0006302B" w:rsidP="0006302B">
      <w:pPr>
        <w:pStyle w:val="ARTICULOS"/>
        <w:numPr>
          <w:ilvl w:val="0"/>
          <w:numId w:val="0"/>
        </w:numPr>
        <w:ind w:left="567"/>
        <w:rPr>
          <w:color w:val="000000" w:themeColor="text1"/>
          <w:lang w:val="es-CO"/>
        </w:rPr>
      </w:pPr>
    </w:p>
    <w:p w14:paraId="5F8C5E40" w14:textId="4EAE38CE" w:rsidR="0006302B" w:rsidRPr="003D20AA" w:rsidRDefault="0006302B" w:rsidP="008C7267">
      <w:pPr>
        <w:pStyle w:val="ARTICULOS"/>
        <w:numPr>
          <w:ilvl w:val="0"/>
          <w:numId w:val="0"/>
        </w:numPr>
        <w:ind w:left="567"/>
        <w:rPr>
          <w:rFonts w:cs="Arial"/>
          <w:color w:val="000000" w:themeColor="text1"/>
          <w:lang w:val="es-CO"/>
        </w:rPr>
      </w:pPr>
      <w:r w:rsidRPr="008C7267">
        <w:rPr>
          <w:color w:val="000000" w:themeColor="text1"/>
          <w:lang w:val="es-CO"/>
        </w:rPr>
        <w:t xml:space="preserve">El </w:t>
      </w:r>
      <w:r w:rsidR="0022131A" w:rsidRPr="002D5416">
        <w:rPr>
          <w:u w:color="FF0000"/>
          <w:lang w:val="es-CO"/>
        </w:rPr>
        <w:t>Gestor</w:t>
      </w:r>
      <w:r w:rsidRPr="008C7267">
        <w:rPr>
          <w:color w:val="000000" w:themeColor="text1"/>
          <w:lang w:val="es-CO"/>
        </w:rPr>
        <w:t xml:space="preserve"> del Mercado deberá </w:t>
      </w:r>
      <w:r w:rsidRPr="003D20AA">
        <w:rPr>
          <w:color w:val="000000" w:themeColor="text1"/>
          <w:lang w:val="es-CO"/>
        </w:rPr>
        <w:t xml:space="preserve">diseñar, poner en funcionamiento y administrar el BEC, que deberá </w:t>
      </w:r>
      <w:bookmarkEnd w:id="7"/>
      <w:r w:rsidRPr="003D20AA">
        <w:rPr>
          <w:rFonts w:cs="Arial"/>
          <w:color w:val="000000" w:themeColor="text1"/>
          <w:lang w:val="es-CO"/>
        </w:rPr>
        <w:t xml:space="preserve">funcionar en su página web. A través del BEC el </w:t>
      </w:r>
      <w:r w:rsidR="0022131A" w:rsidRPr="003D20AA">
        <w:rPr>
          <w:rFonts w:cs="Arial"/>
          <w:lang w:val="es-CO"/>
        </w:rPr>
        <w:t>Gestor</w:t>
      </w:r>
      <w:r w:rsidRPr="003D20AA">
        <w:rPr>
          <w:rFonts w:cs="Arial"/>
          <w:color w:val="000000" w:themeColor="text1"/>
          <w:lang w:val="es-CO"/>
        </w:rPr>
        <w:t xml:space="preserve"> del Mercado prestará los servicios especificados en los numerales </w:t>
      </w:r>
      <w:r w:rsidRPr="003D20AA">
        <w:rPr>
          <w:rFonts w:cs="Arial"/>
          <w:color w:val="000000" w:themeColor="text1"/>
          <w:lang w:val="es-CO"/>
        </w:rPr>
        <w:fldChar w:fldCharType="begin"/>
      </w:r>
      <w:r w:rsidRPr="003D20AA">
        <w:rPr>
          <w:rFonts w:cs="Arial"/>
          <w:color w:val="000000" w:themeColor="text1"/>
          <w:lang w:val="es-CO"/>
        </w:rPr>
        <w:instrText xml:space="preserve"> REF _Ref330308583 \r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2</w:t>
      </w:r>
      <w:r w:rsidRPr="003D20AA">
        <w:rPr>
          <w:rFonts w:cs="Arial"/>
          <w:color w:val="000000" w:themeColor="text1"/>
          <w:lang w:val="es-CO"/>
        </w:rPr>
        <w:fldChar w:fldCharType="end"/>
      </w:r>
      <w:r w:rsidRPr="003D20AA">
        <w:rPr>
          <w:rFonts w:cs="Arial"/>
          <w:color w:val="000000" w:themeColor="text1"/>
          <w:lang w:val="es-CO"/>
        </w:rPr>
        <w:t xml:space="preserve"> y </w:t>
      </w:r>
      <w:r w:rsidRPr="003D20AA">
        <w:rPr>
          <w:rFonts w:cs="Arial"/>
          <w:color w:val="000000" w:themeColor="text1"/>
          <w:lang w:val="es-CO"/>
        </w:rPr>
        <w:fldChar w:fldCharType="begin"/>
      </w:r>
      <w:r w:rsidRPr="003D20AA">
        <w:rPr>
          <w:rFonts w:cs="Arial"/>
          <w:color w:val="000000" w:themeColor="text1"/>
          <w:lang w:val="es-CO"/>
        </w:rPr>
        <w:instrText xml:space="preserve"> REF _Ref329103598 \r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4</w:t>
      </w:r>
      <w:r w:rsidRPr="003D20AA">
        <w:rPr>
          <w:rFonts w:cs="Arial"/>
          <w:color w:val="000000" w:themeColor="text1"/>
          <w:lang w:val="es-CO"/>
        </w:rPr>
        <w:fldChar w:fldCharType="end"/>
      </w:r>
      <w:r w:rsidRPr="003D20AA">
        <w:rPr>
          <w:rFonts w:cs="Arial"/>
          <w:color w:val="000000" w:themeColor="text1"/>
          <w:lang w:val="es-CO"/>
        </w:rPr>
        <w:t xml:space="preserve"> del presente artículo. Así mismo, el</w:t>
      </w:r>
      <w:r w:rsidRPr="003D20AA">
        <w:rPr>
          <w:rFonts w:cs="Arial"/>
          <w:lang w:val="es-CO"/>
        </w:rPr>
        <w:t xml:space="preserve"> </w:t>
      </w:r>
      <w:r w:rsidR="0022131A" w:rsidRPr="003D20AA">
        <w:rPr>
          <w:rFonts w:cs="Arial"/>
          <w:lang w:val="es-CO"/>
        </w:rPr>
        <w:t>Gestor</w:t>
      </w:r>
      <w:r w:rsidRPr="003D20AA">
        <w:rPr>
          <w:rFonts w:cs="Arial"/>
          <w:lang w:val="es-CO"/>
        </w:rPr>
        <w:t xml:space="preserve"> </w:t>
      </w:r>
      <w:r w:rsidRPr="003D20AA">
        <w:rPr>
          <w:rFonts w:cs="Arial"/>
          <w:color w:val="000000" w:themeColor="text1"/>
          <w:lang w:val="es-CO"/>
        </w:rPr>
        <w:t xml:space="preserve">del Mercado podrá hacer uso del BEC para prestar los servicios señalados en los numerales </w:t>
      </w:r>
      <w:r w:rsidRPr="003D20AA">
        <w:rPr>
          <w:rFonts w:cs="Arial"/>
          <w:color w:val="000000" w:themeColor="text1"/>
          <w:lang w:val="es-CO"/>
        </w:rPr>
        <w:fldChar w:fldCharType="begin"/>
      </w:r>
      <w:r w:rsidRPr="003D20AA">
        <w:rPr>
          <w:rFonts w:cs="Arial"/>
          <w:color w:val="000000" w:themeColor="text1"/>
          <w:lang w:val="es-CO"/>
        </w:rPr>
        <w:instrText xml:space="preserve"> REF _Ref329103688 \r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3</w:t>
      </w:r>
      <w:r w:rsidRPr="003D20AA">
        <w:rPr>
          <w:rFonts w:cs="Arial"/>
          <w:color w:val="000000" w:themeColor="text1"/>
          <w:lang w:val="es-CO"/>
        </w:rPr>
        <w:fldChar w:fldCharType="end"/>
      </w:r>
      <w:r w:rsidRPr="003D20AA">
        <w:rPr>
          <w:rFonts w:cs="Arial"/>
          <w:color w:val="000000" w:themeColor="text1"/>
          <w:lang w:val="es-CO"/>
        </w:rPr>
        <w:t>,</w:t>
      </w:r>
      <w:r w:rsidR="002C218A" w:rsidRPr="003D20AA">
        <w:rPr>
          <w:rFonts w:cs="Arial"/>
          <w:color w:val="000000" w:themeColor="text1"/>
          <w:lang w:val="es-CO"/>
        </w:rPr>
        <w:t xml:space="preserve"> </w:t>
      </w:r>
      <w:r w:rsidR="002C218A" w:rsidRPr="003D20AA">
        <w:rPr>
          <w:rFonts w:cs="Arial"/>
          <w:b/>
          <w:bCs w:val="0"/>
          <w:color w:val="000000" w:themeColor="text1"/>
          <w:lang w:val="es-CO"/>
        </w:rPr>
        <w:t>5</w:t>
      </w:r>
      <w:r w:rsidR="00077498" w:rsidRPr="003D20AA">
        <w:rPr>
          <w:rFonts w:cs="Arial"/>
          <w:b/>
          <w:bCs w:val="0"/>
          <w:lang w:val="es-CO"/>
        </w:rPr>
        <w:t xml:space="preserve">, </w:t>
      </w:r>
      <w:r w:rsidRPr="003D20AA">
        <w:rPr>
          <w:rFonts w:cs="Arial"/>
          <w:color w:val="000000" w:themeColor="text1"/>
          <w:lang w:val="es-CO"/>
        </w:rPr>
        <w:t xml:space="preserve"> </w:t>
      </w:r>
      <w:r w:rsidRPr="003D20AA">
        <w:rPr>
          <w:rFonts w:cs="Arial"/>
          <w:color w:val="000000" w:themeColor="text1"/>
          <w:lang w:val="es-CO"/>
        </w:rPr>
        <w:fldChar w:fldCharType="begin"/>
      </w:r>
      <w:r w:rsidRPr="003D20AA">
        <w:rPr>
          <w:rFonts w:cs="Arial"/>
          <w:color w:val="000000" w:themeColor="text1"/>
          <w:lang w:val="es-CO"/>
        </w:rPr>
        <w:instrText xml:space="preserve"> REF _Ref355280462 \r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6</w:t>
      </w:r>
      <w:r w:rsidRPr="003D20AA">
        <w:rPr>
          <w:rFonts w:cs="Arial"/>
          <w:color w:val="000000" w:themeColor="text1"/>
          <w:lang w:val="es-CO"/>
        </w:rPr>
        <w:fldChar w:fldCharType="end"/>
      </w:r>
      <w:r w:rsidRPr="003D20AA">
        <w:rPr>
          <w:rFonts w:cs="Arial"/>
          <w:color w:val="000000" w:themeColor="text1"/>
          <w:lang w:val="es-CO"/>
        </w:rPr>
        <w:t xml:space="preserve"> </w:t>
      </w:r>
      <w:r w:rsidR="00077498" w:rsidRPr="003D20AA">
        <w:rPr>
          <w:rFonts w:cs="Arial"/>
          <w:color w:val="000000" w:themeColor="text1"/>
          <w:lang w:val="es-CO"/>
        </w:rPr>
        <w:t xml:space="preserve">y </w:t>
      </w:r>
      <w:r w:rsidR="00077498" w:rsidRPr="003D20AA">
        <w:rPr>
          <w:rFonts w:cs="Arial"/>
          <w:b/>
          <w:bCs w:val="0"/>
          <w:color w:val="000000" w:themeColor="text1"/>
          <w:lang w:val="es-CO"/>
        </w:rPr>
        <w:t>7</w:t>
      </w:r>
      <w:r w:rsidR="00077498" w:rsidRPr="003D20AA">
        <w:rPr>
          <w:rFonts w:cs="Arial"/>
          <w:color w:val="000000" w:themeColor="text1"/>
          <w:lang w:val="es-CO"/>
        </w:rPr>
        <w:t xml:space="preserve"> </w:t>
      </w:r>
      <w:r w:rsidRPr="003D20AA">
        <w:rPr>
          <w:rFonts w:cs="Arial"/>
          <w:color w:val="000000" w:themeColor="text1"/>
          <w:lang w:val="es-CO"/>
        </w:rPr>
        <w:t>del presente artículo.</w:t>
      </w:r>
    </w:p>
    <w:p w14:paraId="2708AED8" w14:textId="77777777" w:rsidR="0006302B" w:rsidRPr="003D20AA" w:rsidRDefault="0006302B" w:rsidP="0006302B">
      <w:pPr>
        <w:pStyle w:val="Prrafodelista"/>
        <w:ind w:left="567"/>
        <w:rPr>
          <w:rFonts w:ascii="Bookman Old Style" w:hAnsi="Bookman Old Style" w:cs="Arial"/>
          <w:color w:val="000000" w:themeColor="text1"/>
          <w:sz w:val="24"/>
          <w:szCs w:val="24"/>
        </w:rPr>
      </w:pPr>
    </w:p>
    <w:p w14:paraId="13285609" w14:textId="77777777" w:rsidR="0006302B" w:rsidRPr="003D20AA" w:rsidRDefault="0006302B" w:rsidP="0006302B">
      <w:pPr>
        <w:pStyle w:val="ARTICULOS"/>
        <w:keepNext/>
        <w:widowControl/>
        <w:numPr>
          <w:ilvl w:val="1"/>
          <w:numId w:val="5"/>
        </w:numPr>
        <w:ind w:left="567" w:hanging="567"/>
        <w:rPr>
          <w:rFonts w:cs="Arial"/>
          <w:color w:val="000000" w:themeColor="text1"/>
          <w:lang w:val="es-CO"/>
        </w:rPr>
      </w:pPr>
      <w:bookmarkStart w:id="8" w:name="_Ref334598563"/>
      <w:bookmarkStart w:id="9" w:name="_Ref330308583"/>
      <w:bookmarkStart w:id="10" w:name="_Ref329103585"/>
      <w:r w:rsidRPr="003D20AA">
        <w:rPr>
          <w:rFonts w:cs="Arial"/>
          <w:color w:val="000000" w:themeColor="text1"/>
          <w:lang w:val="es-CO"/>
        </w:rPr>
        <w:lastRenderedPageBreak/>
        <w:t>Centralización de información transaccional y operativa.</w:t>
      </w:r>
      <w:bookmarkEnd w:id="8"/>
    </w:p>
    <w:p w14:paraId="0D794847" w14:textId="77777777" w:rsidR="0006302B" w:rsidRPr="003D20AA" w:rsidRDefault="0006302B" w:rsidP="0006302B">
      <w:pPr>
        <w:pStyle w:val="ARTICULOS"/>
        <w:keepNext/>
        <w:widowControl/>
        <w:numPr>
          <w:ilvl w:val="0"/>
          <w:numId w:val="0"/>
        </w:numPr>
        <w:ind w:left="567"/>
        <w:rPr>
          <w:rFonts w:cs="Arial"/>
          <w:color w:val="000000" w:themeColor="text1"/>
          <w:lang w:val="es-CO"/>
        </w:rPr>
      </w:pPr>
    </w:p>
    <w:p w14:paraId="00D67755" w14:textId="57D962E4" w:rsidR="0006302B" w:rsidRPr="003D20AA" w:rsidRDefault="0006302B" w:rsidP="0006302B">
      <w:pPr>
        <w:pStyle w:val="ARTICULOS"/>
        <w:numPr>
          <w:ilvl w:val="0"/>
          <w:numId w:val="0"/>
        </w:numPr>
        <w:ind w:left="567"/>
        <w:rPr>
          <w:rFonts w:cs="Arial"/>
          <w:color w:val="000000" w:themeColor="text1"/>
          <w:lang w:val="es-CO"/>
        </w:rPr>
      </w:pPr>
      <w:r w:rsidRPr="003D20AA">
        <w:rPr>
          <w:rFonts w:cs="Arial"/>
          <w:color w:val="000000" w:themeColor="text1"/>
          <w:lang w:val="es-CO"/>
        </w:rPr>
        <w:t xml:space="preserve">El </w:t>
      </w:r>
      <w:r w:rsidR="0022131A" w:rsidRPr="003D20AA">
        <w:rPr>
          <w:rFonts w:cs="Arial"/>
          <w:lang w:val="es-CO"/>
        </w:rPr>
        <w:t>Gestor</w:t>
      </w:r>
      <w:r w:rsidRPr="003D20AA">
        <w:rPr>
          <w:rFonts w:cs="Arial"/>
          <w:color w:val="000000" w:themeColor="text1"/>
          <w:lang w:val="es-CO"/>
        </w:rPr>
        <w:t xml:space="preserve"> del Mercado deberá:</w:t>
      </w:r>
      <w:bookmarkEnd w:id="9"/>
    </w:p>
    <w:p w14:paraId="3EAC9972" w14:textId="77777777" w:rsidR="0006302B" w:rsidRPr="003D20AA" w:rsidRDefault="0006302B" w:rsidP="0006302B">
      <w:pPr>
        <w:pStyle w:val="ARTICULOS"/>
        <w:numPr>
          <w:ilvl w:val="0"/>
          <w:numId w:val="0"/>
        </w:numPr>
        <w:ind w:left="567"/>
        <w:rPr>
          <w:rFonts w:cs="Arial"/>
          <w:color w:val="000000" w:themeColor="text1"/>
          <w:lang w:val="es-CO"/>
        </w:rPr>
      </w:pPr>
    </w:p>
    <w:p w14:paraId="7E8792A3" w14:textId="00B921F2" w:rsidR="0006302B" w:rsidRPr="003D20AA" w:rsidRDefault="0006302B" w:rsidP="008C7267">
      <w:pPr>
        <w:numPr>
          <w:ilvl w:val="0"/>
          <w:numId w:val="3"/>
        </w:numPr>
        <w:autoSpaceDE w:val="0"/>
        <w:autoSpaceDN w:val="0"/>
        <w:adjustRightInd w:val="0"/>
        <w:ind w:left="1134" w:hanging="567"/>
        <w:jc w:val="both"/>
        <w:rPr>
          <w:rFonts w:ascii="Bookman Old Style" w:hAnsi="Bookman Old Style"/>
          <w:color w:val="000000" w:themeColor="text1"/>
          <w:lang w:val="es-CO"/>
        </w:rPr>
      </w:pPr>
      <w:r w:rsidRPr="003D20AA">
        <w:rPr>
          <w:rFonts w:ascii="Bookman Old Style" w:hAnsi="Bookman Old Style" w:cs="Arial"/>
          <w:color w:val="000000" w:themeColor="text1"/>
          <w:lang w:val="es-CO"/>
        </w:rPr>
        <w:t xml:space="preserve">Recopilar, verificar, publicar y conservar la información sobre el resultado de las negociaciones realizadas en el mercado primario y en el mercado secundario, tal como se establece en el </w:t>
      </w:r>
      <w:r w:rsidRPr="003D20AA">
        <w:rPr>
          <w:rFonts w:ascii="Bookman Old Style" w:hAnsi="Bookman Old Style" w:cs="Arial"/>
          <w:color w:val="000000" w:themeColor="text1"/>
          <w:lang w:val="es-CO"/>
        </w:rPr>
        <w:fldChar w:fldCharType="begin"/>
      </w:r>
      <w:r w:rsidRPr="003D20AA">
        <w:rPr>
          <w:rFonts w:ascii="Bookman Old Style" w:hAnsi="Bookman Old Style" w:cs="Arial"/>
          <w:color w:val="000000" w:themeColor="text1"/>
          <w:lang w:val="es-CO"/>
        </w:rPr>
        <w:instrText xml:space="preserve"> REF _Ref55316068 \h </w:instrText>
      </w:r>
      <w:r w:rsidR="003D20AA">
        <w:rPr>
          <w:rFonts w:ascii="Bookman Old Style" w:hAnsi="Bookman Old Style" w:cs="Arial"/>
          <w:color w:val="000000" w:themeColor="text1"/>
          <w:lang w:val="es-CO"/>
        </w:rPr>
        <w:instrText xml:space="preserve"> \* MERGEFORMAT </w:instrText>
      </w:r>
      <w:r w:rsidRPr="003D20AA">
        <w:rPr>
          <w:rFonts w:ascii="Bookman Old Style" w:hAnsi="Bookman Old Style" w:cs="Arial"/>
          <w:color w:val="000000" w:themeColor="text1"/>
          <w:lang w:val="es-CO"/>
        </w:rPr>
      </w:r>
      <w:r w:rsidRPr="003D20AA">
        <w:rPr>
          <w:rFonts w:ascii="Bookman Old Style" w:hAnsi="Bookman Old Style" w:cs="Arial"/>
          <w:color w:val="000000" w:themeColor="text1"/>
          <w:lang w:val="es-CO"/>
        </w:rPr>
        <w:fldChar w:fldCharType="separate"/>
      </w:r>
      <w:r w:rsidR="00636B6A" w:rsidRPr="007E56EE">
        <w:rPr>
          <w:rFonts w:ascii="Bookman Old Style" w:hAnsi="Bookman Old Style"/>
          <w:color w:val="000000" w:themeColor="text1"/>
        </w:rPr>
        <w:t xml:space="preserve">Anexo </w:t>
      </w:r>
      <w:r w:rsidR="00636B6A">
        <w:rPr>
          <w:rFonts w:ascii="Bookman Old Style" w:hAnsi="Bookman Old Style"/>
          <w:noProof/>
          <w:color w:val="000000" w:themeColor="text1"/>
        </w:rPr>
        <w:t>1</w:t>
      </w:r>
      <w:r w:rsidRPr="003D20AA">
        <w:rPr>
          <w:rFonts w:ascii="Bookman Old Style" w:hAnsi="Bookman Old Style" w:cs="Arial"/>
          <w:color w:val="000000" w:themeColor="text1"/>
          <w:lang w:val="es-CO"/>
        </w:rPr>
        <w:fldChar w:fldCharType="end"/>
      </w:r>
      <w:r w:rsidRPr="003D20AA">
        <w:rPr>
          <w:rFonts w:ascii="Bookman Old Style" w:hAnsi="Bookman Old Style" w:cs="Arial"/>
          <w:color w:val="000000" w:themeColor="text1"/>
          <w:lang w:val="es-CO"/>
        </w:rPr>
        <w:t xml:space="preserve"> de esta Resolución y de la Resolución CREG 185 de 2020, o aquellas que las modifiquen o sustituyan.</w:t>
      </w:r>
    </w:p>
    <w:p w14:paraId="321175EB" w14:textId="77777777" w:rsidR="0006302B" w:rsidRPr="003D20AA"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62E59834" w14:textId="20A316D8" w:rsidR="0006302B" w:rsidRPr="003D20AA" w:rsidRDefault="0006302B" w:rsidP="002D5416">
      <w:pPr>
        <w:pStyle w:val="Prrafodelista"/>
        <w:numPr>
          <w:ilvl w:val="0"/>
          <w:numId w:val="3"/>
        </w:numPr>
        <w:ind w:left="1134" w:hanging="567"/>
        <w:jc w:val="both"/>
        <w:rPr>
          <w:rFonts w:ascii="Bookman Old Style" w:hAnsi="Bookman Old Style" w:cs="Arial"/>
          <w:color w:val="000000" w:themeColor="text1"/>
          <w:sz w:val="24"/>
          <w:szCs w:val="24"/>
          <w:lang w:eastAsia="es-ES"/>
        </w:rPr>
      </w:pPr>
      <w:r w:rsidRPr="003D20AA">
        <w:rPr>
          <w:rFonts w:ascii="Bookman Old Style" w:hAnsi="Bookman Old Style" w:cs="Arial"/>
          <w:color w:val="000000" w:themeColor="text1"/>
          <w:sz w:val="24"/>
          <w:szCs w:val="24"/>
        </w:rPr>
        <w:t xml:space="preserve">Recopilar, verificar, publicar y conservar la información sobre el resultado </w:t>
      </w:r>
      <w:r w:rsidR="00F34952" w:rsidRPr="003D20AA">
        <w:rPr>
          <w:rFonts w:ascii="Bookman Old Style" w:hAnsi="Bookman Old Style" w:cs="Arial"/>
          <w:b/>
          <w:bCs/>
          <w:color w:val="000000" w:themeColor="text1"/>
          <w:sz w:val="24"/>
          <w:szCs w:val="24"/>
          <w:lang w:eastAsia="es-ES"/>
        </w:rPr>
        <w:t xml:space="preserve">de </w:t>
      </w:r>
      <w:r w:rsidR="00906C0D" w:rsidRPr="003D20AA">
        <w:rPr>
          <w:rFonts w:ascii="Bookman Old Style" w:hAnsi="Bookman Old Style" w:cs="Arial"/>
          <w:b/>
          <w:bCs/>
          <w:color w:val="000000" w:themeColor="text1"/>
          <w:sz w:val="24"/>
          <w:szCs w:val="24"/>
          <w:lang w:eastAsia="es-ES"/>
        </w:rPr>
        <w:t xml:space="preserve">las </w:t>
      </w:r>
      <w:r w:rsidR="00F34952" w:rsidRPr="003D20AA">
        <w:rPr>
          <w:rFonts w:ascii="Bookman Old Style" w:hAnsi="Bookman Old Style" w:cs="Arial"/>
          <w:b/>
          <w:bCs/>
          <w:color w:val="000000" w:themeColor="text1"/>
          <w:sz w:val="24"/>
          <w:szCs w:val="24"/>
          <w:lang w:eastAsia="es-ES"/>
        </w:rPr>
        <w:t>transacciones de los usuarios no regulados en el mercado minorista</w:t>
      </w:r>
      <w:r w:rsidR="00906C0D" w:rsidRPr="003D20AA">
        <w:rPr>
          <w:rFonts w:ascii="Bookman Old Style" w:hAnsi="Bookman Old Style" w:cs="Arial"/>
          <w:color w:val="000000" w:themeColor="text1"/>
          <w:sz w:val="24"/>
          <w:szCs w:val="24"/>
          <w:lang w:eastAsia="es-ES"/>
        </w:rPr>
        <w:t>,</w:t>
      </w:r>
      <w:r w:rsidR="00F34952" w:rsidRPr="003D20AA">
        <w:rPr>
          <w:rFonts w:ascii="Bookman Old Style" w:hAnsi="Bookman Old Style" w:cs="Arial"/>
          <w:color w:val="000000" w:themeColor="text1"/>
          <w:sz w:val="24"/>
          <w:szCs w:val="24"/>
          <w:lang w:eastAsia="es-ES"/>
        </w:rPr>
        <w:t xml:space="preserve"> </w:t>
      </w:r>
      <w:r w:rsidRPr="003D20AA">
        <w:rPr>
          <w:rFonts w:ascii="Bookman Old Style" w:hAnsi="Bookman Old Style" w:cs="Arial"/>
          <w:color w:val="000000" w:themeColor="text1"/>
          <w:sz w:val="24"/>
          <w:szCs w:val="24"/>
        </w:rPr>
        <w:t xml:space="preserve">como se establece en el </w:t>
      </w:r>
      <w:r w:rsidRPr="003D20AA">
        <w:rPr>
          <w:rFonts w:ascii="Bookman Old Style" w:hAnsi="Bookman Old Style" w:cs="Arial"/>
          <w:color w:val="000000" w:themeColor="text1"/>
          <w:sz w:val="24"/>
          <w:szCs w:val="24"/>
        </w:rPr>
        <w:fldChar w:fldCharType="begin"/>
      </w:r>
      <w:r w:rsidRPr="003D20AA">
        <w:rPr>
          <w:rFonts w:ascii="Bookman Old Style" w:hAnsi="Bookman Old Style" w:cs="Arial"/>
          <w:color w:val="000000" w:themeColor="text1"/>
          <w:sz w:val="24"/>
          <w:szCs w:val="24"/>
        </w:rPr>
        <w:instrText xml:space="preserve"> REF _Ref55316068 \h </w:instrText>
      </w:r>
      <w:r w:rsidR="00906C0D" w:rsidRPr="003D20AA">
        <w:rPr>
          <w:rFonts w:ascii="Bookman Old Style" w:hAnsi="Bookman Old Style"/>
          <w:sz w:val="24"/>
          <w:szCs w:val="24"/>
        </w:rPr>
        <w:instrText xml:space="preserve"> \* MERGEFORMAT </w:instrText>
      </w:r>
      <w:r w:rsidRPr="003D20AA">
        <w:rPr>
          <w:rFonts w:ascii="Bookman Old Style" w:hAnsi="Bookman Old Style" w:cs="Arial"/>
          <w:color w:val="000000" w:themeColor="text1"/>
          <w:sz w:val="24"/>
          <w:szCs w:val="24"/>
        </w:rPr>
      </w:r>
      <w:r w:rsidRPr="003D20AA">
        <w:rPr>
          <w:rFonts w:ascii="Bookman Old Style" w:hAnsi="Bookman Old Style" w:cs="Arial"/>
          <w:color w:val="000000" w:themeColor="text1"/>
          <w:sz w:val="24"/>
          <w:szCs w:val="24"/>
        </w:rPr>
        <w:fldChar w:fldCharType="separate"/>
      </w:r>
      <w:r w:rsidR="00636B6A" w:rsidRPr="00996A90">
        <w:rPr>
          <w:rFonts w:ascii="Bookman Old Style" w:hAnsi="Bookman Old Style"/>
          <w:color w:val="000000" w:themeColor="text1"/>
          <w:sz w:val="24"/>
          <w:szCs w:val="24"/>
        </w:rPr>
        <w:t xml:space="preserve">Anexo </w:t>
      </w:r>
      <w:r w:rsidR="00636B6A" w:rsidRPr="00996A90">
        <w:rPr>
          <w:rFonts w:ascii="Bookman Old Style" w:hAnsi="Bookman Old Style"/>
          <w:noProof/>
          <w:color w:val="000000" w:themeColor="text1"/>
          <w:sz w:val="24"/>
          <w:szCs w:val="24"/>
        </w:rPr>
        <w:t>1</w:t>
      </w:r>
      <w:r w:rsidRPr="003D20AA">
        <w:rPr>
          <w:rFonts w:ascii="Bookman Old Style" w:hAnsi="Bookman Old Style" w:cs="Arial"/>
          <w:color w:val="000000" w:themeColor="text1"/>
          <w:sz w:val="24"/>
          <w:szCs w:val="24"/>
        </w:rPr>
        <w:fldChar w:fldCharType="end"/>
      </w:r>
      <w:r w:rsidRPr="003D20AA">
        <w:rPr>
          <w:rFonts w:ascii="Bookman Old Style" w:hAnsi="Bookman Old Style" w:cs="Arial"/>
          <w:color w:val="000000" w:themeColor="text1"/>
          <w:sz w:val="24"/>
          <w:szCs w:val="24"/>
        </w:rPr>
        <w:t xml:space="preserve"> de esta Resolución y de la Resolución CREG 185 de 2020, o aquellas que las modifiquen o sustituyan.</w:t>
      </w:r>
    </w:p>
    <w:p w14:paraId="1D0CE8F2" w14:textId="77777777" w:rsidR="0006302B" w:rsidRPr="003D20AA"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13514E87" w14:textId="2090B859" w:rsidR="0006302B" w:rsidRPr="003D20AA" w:rsidRDefault="0006302B" w:rsidP="0006302B">
      <w:pPr>
        <w:numPr>
          <w:ilvl w:val="0"/>
          <w:numId w:val="3"/>
        </w:numPr>
        <w:autoSpaceDE w:val="0"/>
        <w:autoSpaceDN w:val="0"/>
        <w:adjustRightInd w:val="0"/>
        <w:ind w:left="1134" w:hanging="567"/>
        <w:jc w:val="both"/>
        <w:rPr>
          <w:rFonts w:ascii="Bookman Old Style" w:hAnsi="Bookman Old Style"/>
          <w:color w:val="000000" w:themeColor="text1"/>
          <w:lang w:val="es-CO"/>
        </w:rPr>
      </w:pPr>
      <w:r w:rsidRPr="003D20AA">
        <w:rPr>
          <w:rFonts w:ascii="Bookman Old Style" w:hAnsi="Bookman Old Style" w:cs="Arial"/>
          <w:color w:val="000000" w:themeColor="text1"/>
          <w:lang w:val="es-CO"/>
        </w:rPr>
        <w:t xml:space="preserve">Recopilar, verificar, publicar y conservar la información operativa del sector de gas natural, tal como se establece en el </w:t>
      </w:r>
      <w:r w:rsidRPr="003D20AA">
        <w:rPr>
          <w:rFonts w:ascii="Bookman Old Style" w:hAnsi="Bookman Old Style" w:cs="Arial"/>
          <w:color w:val="000000" w:themeColor="text1"/>
          <w:lang w:val="es-CO"/>
        </w:rPr>
        <w:fldChar w:fldCharType="begin"/>
      </w:r>
      <w:r w:rsidRPr="003D20AA">
        <w:rPr>
          <w:rFonts w:ascii="Bookman Old Style" w:hAnsi="Bookman Old Style" w:cs="Arial"/>
          <w:color w:val="000000" w:themeColor="text1"/>
          <w:lang w:val="es-CO"/>
        </w:rPr>
        <w:instrText xml:space="preserve"> REF _Ref55316068 \h </w:instrText>
      </w:r>
      <w:r w:rsidR="003D20AA">
        <w:rPr>
          <w:rFonts w:ascii="Bookman Old Style" w:hAnsi="Bookman Old Style" w:cs="Arial"/>
          <w:color w:val="000000" w:themeColor="text1"/>
          <w:lang w:val="es-CO"/>
        </w:rPr>
        <w:instrText xml:space="preserve"> \* MERGEFORMAT </w:instrText>
      </w:r>
      <w:r w:rsidRPr="003D20AA">
        <w:rPr>
          <w:rFonts w:ascii="Bookman Old Style" w:hAnsi="Bookman Old Style" w:cs="Arial"/>
          <w:color w:val="000000" w:themeColor="text1"/>
          <w:lang w:val="es-CO"/>
        </w:rPr>
      </w:r>
      <w:r w:rsidRPr="003D20AA">
        <w:rPr>
          <w:rFonts w:ascii="Bookman Old Style" w:hAnsi="Bookman Old Style" w:cs="Arial"/>
          <w:color w:val="000000" w:themeColor="text1"/>
          <w:lang w:val="es-CO"/>
        </w:rPr>
        <w:fldChar w:fldCharType="separate"/>
      </w:r>
      <w:r w:rsidR="00636B6A" w:rsidRPr="007E56EE">
        <w:rPr>
          <w:rFonts w:ascii="Bookman Old Style" w:hAnsi="Bookman Old Style"/>
          <w:color w:val="000000" w:themeColor="text1"/>
        </w:rPr>
        <w:t xml:space="preserve">Anexo </w:t>
      </w:r>
      <w:r w:rsidR="00636B6A">
        <w:rPr>
          <w:rFonts w:ascii="Bookman Old Style" w:hAnsi="Bookman Old Style"/>
          <w:noProof/>
          <w:color w:val="000000" w:themeColor="text1"/>
        </w:rPr>
        <w:t>1</w:t>
      </w:r>
      <w:r w:rsidRPr="003D20AA">
        <w:rPr>
          <w:rFonts w:ascii="Bookman Old Style" w:hAnsi="Bookman Old Style" w:cs="Arial"/>
          <w:color w:val="000000" w:themeColor="text1"/>
          <w:lang w:val="es-CO"/>
        </w:rPr>
        <w:fldChar w:fldCharType="end"/>
      </w:r>
      <w:r w:rsidRPr="003D20AA">
        <w:rPr>
          <w:rFonts w:ascii="Bookman Old Style" w:hAnsi="Bookman Old Style" w:cs="Arial"/>
          <w:color w:val="000000" w:themeColor="text1"/>
          <w:lang w:val="es-CO"/>
        </w:rPr>
        <w:t xml:space="preserve"> de esta Resolución y de la Resolución CREG 185 de 2020, o aquellas que las modifiquen o sustituyan.</w:t>
      </w:r>
    </w:p>
    <w:bookmarkEnd w:id="10"/>
    <w:p w14:paraId="313E56E1" w14:textId="77777777" w:rsidR="0006302B" w:rsidRPr="003D20AA" w:rsidRDefault="0006302B" w:rsidP="0006302B">
      <w:pPr>
        <w:pStyle w:val="ARTICULOS"/>
        <w:numPr>
          <w:ilvl w:val="0"/>
          <w:numId w:val="0"/>
        </w:numPr>
        <w:ind w:left="567"/>
        <w:rPr>
          <w:rFonts w:cs="Arial"/>
          <w:color w:val="000000" w:themeColor="text1"/>
          <w:lang w:val="es-CO"/>
        </w:rPr>
      </w:pPr>
    </w:p>
    <w:p w14:paraId="3F97B44E" w14:textId="61359A61" w:rsidR="0006302B" w:rsidRDefault="0006302B" w:rsidP="0006302B">
      <w:pPr>
        <w:pStyle w:val="ARTICULOS"/>
        <w:numPr>
          <w:ilvl w:val="0"/>
          <w:numId w:val="0"/>
        </w:numPr>
        <w:ind w:left="567"/>
        <w:rPr>
          <w:rFonts w:cs="Arial"/>
          <w:color w:val="000000" w:themeColor="text1"/>
          <w:lang w:val="es-CO"/>
        </w:rPr>
      </w:pPr>
      <w:r w:rsidRPr="003D20AA">
        <w:rPr>
          <w:rFonts w:cs="Arial"/>
          <w:color w:val="000000" w:themeColor="text1"/>
          <w:lang w:val="es-CO"/>
        </w:rPr>
        <w:t>Como parte de este servicio</w:t>
      </w:r>
      <w:r w:rsidR="0082601D" w:rsidRPr="003D20AA">
        <w:rPr>
          <w:rFonts w:cs="Arial"/>
          <w:color w:val="000000" w:themeColor="text1"/>
          <w:lang w:val="es-CO"/>
        </w:rPr>
        <w:t>,</w:t>
      </w:r>
      <w:r w:rsidRPr="003D20AA">
        <w:rPr>
          <w:rFonts w:cs="Arial"/>
          <w:color w:val="000000" w:themeColor="text1"/>
          <w:lang w:val="es-CO"/>
        </w:rPr>
        <w:t xml:space="preserve"> el </w:t>
      </w:r>
      <w:r w:rsidR="0022131A" w:rsidRPr="003D20AA">
        <w:rPr>
          <w:rFonts w:cs="Arial"/>
          <w:lang w:val="es-CO"/>
        </w:rPr>
        <w:t>Gestor</w:t>
      </w:r>
      <w:r w:rsidRPr="003D20AA">
        <w:rPr>
          <w:rFonts w:cs="Arial"/>
          <w:color w:val="000000" w:themeColor="text1"/>
          <w:lang w:val="es-CO"/>
        </w:rPr>
        <w:t xml:space="preserve"> del Mercado publicará</w:t>
      </w:r>
      <w:r w:rsidR="0082601D" w:rsidRPr="003D20AA">
        <w:rPr>
          <w:rFonts w:cs="Arial"/>
          <w:color w:val="000000" w:themeColor="text1"/>
          <w:lang w:val="es-CO"/>
        </w:rPr>
        <w:t>,</w:t>
      </w:r>
      <w:r w:rsidRPr="003D20AA">
        <w:rPr>
          <w:rFonts w:cs="Arial"/>
          <w:color w:val="000000" w:themeColor="text1"/>
          <w:lang w:val="es-CO"/>
        </w:rPr>
        <w:t xml:space="preserve"> a través del BEC</w:t>
      </w:r>
      <w:r w:rsidR="0082601D" w:rsidRPr="003D20AA">
        <w:rPr>
          <w:rFonts w:cs="Arial"/>
          <w:color w:val="000000" w:themeColor="text1"/>
          <w:lang w:val="es-CO"/>
        </w:rPr>
        <w:t>,</w:t>
      </w:r>
      <w:r w:rsidRPr="003D20AA">
        <w:rPr>
          <w:rFonts w:cs="Arial"/>
          <w:color w:val="000000" w:themeColor="text1"/>
          <w:lang w:val="es-CO"/>
        </w:rPr>
        <w:t xml:space="preserve"> la información que se señala en los numerales </w:t>
      </w:r>
      <w:r w:rsidRPr="003D20AA">
        <w:rPr>
          <w:rFonts w:cs="Arial"/>
          <w:color w:val="000000" w:themeColor="text1"/>
          <w:lang w:val="es-CO"/>
        </w:rPr>
        <w:fldChar w:fldCharType="begin"/>
      </w:r>
      <w:r w:rsidRPr="003D20AA">
        <w:rPr>
          <w:rFonts w:cs="Arial"/>
          <w:color w:val="000000" w:themeColor="text1"/>
          <w:lang w:val="es-CO"/>
        </w:rPr>
        <w:instrText xml:space="preserve"> REF _Ref337211033 \n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1</w:t>
      </w:r>
      <w:r w:rsidRPr="003D20AA">
        <w:rPr>
          <w:rFonts w:cs="Arial"/>
          <w:color w:val="000000" w:themeColor="text1"/>
          <w:lang w:val="es-CO"/>
        </w:rPr>
        <w:fldChar w:fldCharType="end"/>
      </w:r>
      <w:r w:rsidRPr="003D20AA">
        <w:rPr>
          <w:rFonts w:cs="Arial"/>
          <w:color w:val="000000" w:themeColor="text1"/>
          <w:lang w:val="es-CO"/>
        </w:rPr>
        <w:t xml:space="preserve">, </w:t>
      </w:r>
      <w:r w:rsidRPr="003D20AA">
        <w:rPr>
          <w:rFonts w:cs="Arial"/>
          <w:color w:val="000000" w:themeColor="text1"/>
          <w:lang w:val="es-CO"/>
        </w:rPr>
        <w:fldChar w:fldCharType="begin"/>
      </w:r>
      <w:r w:rsidRPr="003D20AA">
        <w:rPr>
          <w:rFonts w:cs="Arial"/>
          <w:color w:val="000000" w:themeColor="text1"/>
          <w:lang w:val="es-CO"/>
        </w:rPr>
        <w:instrText xml:space="preserve"> REF _Ref337211061 \n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1.3</w:t>
      </w:r>
      <w:r w:rsidRPr="003D20AA">
        <w:rPr>
          <w:rFonts w:cs="Arial"/>
          <w:color w:val="000000" w:themeColor="text1"/>
          <w:lang w:val="es-CO"/>
        </w:rPr>
        <w:fldChar w:fldCharType="end"/>
      </w:r>
      <w:r w:rsidRPr="003D20AA">
        <w:rPr>
          <w:rFonts w:cs="Arial"/>
          <w:color w:val="000000" w:themeColor="text1"/>
          <w:lang w:val="es-CO"/>
        </w:rPr>
        <w:t xml:space="preserve">, </w:t>
      </w:r>
      <w:r w:rsidRPr="003D20AA">
        <w:rPr>
          <w:rFonts w:cs="Arial"/>
          <w:color w:val="000000" w:themeColor="text1"/>
          <w:lang w:val="es-CO"/>
        </w:rPr>
        <w:fldChar w:fldCharType="begin"/>
      </w:r>
      <w:r w:rsidRPr="003D20AA">
        <w:rPr>
          <w:rFonts w:cs="Arial"/>
          <w:color w:val="000000" w:themeColor="text1"/>
          <w:lang w:val="es-CO"/>
        </w:rPr>
        <w:instrText xml:space="preserve"> REF _Ref337211071 \n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3</w:t>
      </w:r>
      <w:r w:rsidRPr="003D20AA">
        <w:rPr>
          <w:rFonts w:cs="Arial"/>
          <w:color w:val="000000" w:themeColor="text1"/>
          <w:lang w:val="es-CO"/>
        </w:rPr>
        <w:fldChar w:fldCharType="end"/>
      </w:r>
      <w:r w:rsidRPr="003D20AA">
        <w:rPr>
          <w:rFonts w:cs="Arial"/>
          <w:color w:val="000000" w:themeColor="text1"/>
          <w:lang w:val="es-CO"/>
        </w:rPr>
        <w:t xml:space="preserve"> y </w:t>
      </w:r>
      <w:r w:rsidRPr="003D20AA">
        <w:rPr>
          <w:rFonts w:cs="Arial"/>
          <w:color w:val="000000" w:themeColor="text1"/>
          <w:lang w:val="es-CO"/>
        </w:rPr>
        <w:fldChar w:fldCharType="begin"/>
      </w:r>
      <w:r w:rsidRPr="003D20AA">
        <w:rPr>
          <w:rFonts w:cs="Arial"/>
          <w:color w:val="000000" w:themeColor="text1"/>
          <w:lang w:val="es-CO"/>
        </w:rPr>
        <w:instrText xml:space="preserve"> REF _Ref337211077 \n \h  \* MERGEFORMAT </w:instrText>
      </w:r>
      <w:r w:rsidRPr="003D20AA">
        <w:rPr>
          <w:rFonts w:cs="Arial"/>
          <w:color w:val="000000" w:themeColor="text1"/>
          <w:lang w:val="es-CO"/>
        </w:rPr>
      </w:r>
      <w:r w:rsidRPr="003D20AA">
        <w:rPr>
          <w:rFonts w:cs="Arial"/>
          <w:color w:val="000000" w:themeColor="text1"/>
          <w:lang w:val="es-CO"/>
        </w:rPr>
        <w:fldChar w:fldCharType="separate"/>
      </w:r>
      <w:r w:rsidR="00636B6A">
        <w:rPr>
          <w:rFonts w:cs="Arial"/>
          <w:color w:val="000000" w:themeColor="text1"/>
          <w:lang w:val="es-CO"/>
        </w:rPr>
        <w:t>4</w:t>
      </w:r>
      <w:r w:rsidRPr="003D20AA">
        <w:rPr>
          <w:rFonts w:cs="Arial"/>
          <w:color w:val="000000" w:themeColor="text1"/>
          <w:lang w:val="es-CO"/>
        </w:rPr>
        <w:fldChar w:fldCharType="end"/>
      </w:r>
      <w:r w:rsidRPr="003D20AA">
        <w:rPr>
          <w:rFonts w:cs="Arial"/>
          <w:color w:val="000000" w:themeColor="text1"/>
          <w:lang w:val="es-CO"/>
        </w:rPr>
        <w:t xml:space="preserve"> del </w:t>
      </w:r>
      <w:r w:rsidRPr="003D20AA">
        <w:rPr>
          <w:rFonts w:cs="Arial"/>
          <w:color w:val="000000" w:themeColor="text1"/>
          <w:lang w:val="es-CO"/>
        </w:rPr>
        <w:fldChar w:fldCharType="begin"/>
      </w:r>
      <w:r w:rsidRPr="003D20AA">
        <w:rPr>
          <w:rFonts w:cs="Arial"/>
          <w:color w:val="000000" w:themeColor="text1"/>
          <w:lang w:val="es-CO"/>
        </w:rPr>
        <w:instrText xml:space="preserve"> REF _Ref55316068 \h </w:instrText>
      </w:r>
      <w:r w:rsidR="003D20AA">
        <w:rPr>
          <w:rFonts w:cs="Arial"/>
          <w:color w:val="000000" w:themeColor="text1"/>
          <w:lang w:val="es-CO"/>
        </w:rPr>
        <w:instrText xml:space="preserve"> \* MERGEFORMAT </w:instrText>
      </w:r>
      <w:r w:rsidRPr="003D20AA">
        <w:rPr>
          <w:rFonts w:cs="Arial"/>
          <w:color w:val="000000" w:themeColor="text1"/>
          <w:lang w:val="es-CO"/>
        </w:rPr>
      </w:r>
      <w:r w:rsidRPr="003D20AA">
        <w:rPr>
          <w:rFonts w:cs="Arial"/>
          <w:color w:val="000000" w:themeColor="text1"/>
          <w:lang w:val="es-CO"/>
        </w:rPr>
        <w:fldChar w:fldCharType="separate"/>
      </w:r>
      <w:r w:rsidR="00636B6A" w:rsidRPr="007E56EE">
        <w:rPr>
          <w:color w:val="000000" w:themeColor="text1"/>
        </w:rPr>
        <w:t xml:space="preserve">Anexo </w:t>
      </w:r>
      <w:r w:rsidR="00636B6A">
        <w:rPr>
          <w:noProof/>
          <w:color w:val="000000" w:themeColor="text1"/>
        </w:rPr>
        <w:t>1</w:t>
      </w:r>
      <w:r w:rsidRPr="003D20AA">
        <w:rPr>
          <w:rFonts w:cs="Arial"/>
          <w:color w:val="000000" w:themeColor="text1"/>
          <w:lang w:val="es-CO"/>
        </w:rPr>
        <w:fldChar w:fldCharType="end"/>
      </w:r>
      <w:r w:rsidRPr="003D20AA">
        <w:rPr>
          <w:rFonts w:cs="Arial"/>
          <w:color w:val="000000" w:themeColor="text1"/>
          <w:lang w:val="es-CO"/>
        </w:rPr>
        <w:t xml:space="preserve"> de esta Resolución y de la Resolución CREG 185 de 2020, o aquellas que las modifiquen o sustituyan. Cualquier persona podrá acceder, sin costo </w:t>
      </w:r>
      <w:r w:rsidRPr="003D20AA">
        <w:rPr>
          <w:rFonts w:cs="Arial"/>
          <w:lang w:val="es-CO"/>
        </w:rPr>
        <w:t xml:space="preserve">alguno, a esta información agregada y publicada por el </w:t>
      </w:r>
      <w:r w:rsidR="0022131A" w:rsidRPr="003D20AA">
        <w:rPr>
          <w:rFonts w:cs="Arial"/>
          <w:sz w:val="28"/>
          <w:lang w:val="es-CO"/>
        </w:rPr>
        <w:t>Gestor</w:t>
      </w:r>
      <w:r w:rsidRPr="003D20AA">
        <w:rPr>
          <w:rFonts w:cs="Arial"/>
          <w:lang w:val="es-CO"/>
        </w:rPr>
        <w:t xml:space="preserve"> del Mercado. El </w:t>
      </w:r>
      <w:r w:rsidR="0022131A" w:rsidRPr="003D20AA">
        <w:rPr>
          <w:rFonts w:cs="Arial"/>
          <w:sz w:val="28"/>
          <w:lang w:val="es-CO"/>
        </w:rPr>
        <w:t>Gestor</w:t>
      </w:r>
      <w:r w:rsidRPr="003D20AA">
        <w:rPr>
          <w:rFonts w:cs="Arial"/>
          <w:lang w:val="es-CO"/>
        </w:rPr>
        <w:t xml:space="preserve"> del </w:t>
      </w:r>
      <w:r w:rsidRPr="003D20AA">
        <w:rPr>
          <w:rFonts w:cs="Arial"/>
          <w:color w:val="000000" w:themeColor="text1"/>
          <w:lang w:val="es-CO"/>
        </w:rPr>
        <w:t>Mercado podrá prestar otros servicios de información que podrán dar lugar a su cobro.</w:t>
      </w:r>
    </w:p>
    <w:p w14:paraId="60936996" w14:textId="03D9DCF6" w:rsidR="009133C4" w:rsidRDefault="009133C4" w:rsidP="0006302B">
      <w:pPr>
        <w:pStyle w:val="ARTICULOS"/>
        <w:numPr>
          <w:ilvl w:val="0"/>
          <w:numId w:val="0"/>
        </w:numPr>
        <w:ind w:left="567"/>
        <w:rPr>
          <w:rFonts w:cs="Arial"/>
          <w:color w:val="000000" w:themeColor="text1"/>
          <w:lang w:val="es-CO"/>
        </w:rPr>
      </w:pPr>
    </w:p>
    <w:p w14:paraId="4F943BE0" w14:textId="77777777" w:rsidR="0006302B" w:rsidRPr="0013707D" w:rsidRDefault="0006302B" w:rsidP="0006302B">
      <w:pPr>
        <w:pStyle w:val="ARTICULOS"/>
        <w:numPr>
          <w:ilvl w:val="1"/>
          <w:numId w:val="5"/>
        </w:numPr>
        <w:ind w:left="567" w:hanging="567"/>
        <w:rPr>
          <w:rFonts w:cs="Arial"/>
          <w:color w:val="000000" w:themeColor="text1"/>
          <w:lang w:val="es-CO"/>
        </w:rPr>
      </w:pPr>
      <w:bookmarkStart w:id="11" w:name="_Ref329103688"/>
      <w:bookmarkStart w:id="12" w:name="_Ref330308595"/>
      <w:bookmarkStart w:id="13" w:name="_Ref330372242"/>
      <w:r w:rsidRPr="0013707D">
        <w:rPr>
          <w:rFonts w:cs="Arial"/>
          <w:color w:val="000000" w:themeColor="text1"/>
          <w:lang w:val="es-CO"/>
        </w:rPr>
        <w:t>Gestión del mecanismo de subasta en el mercado primario de gas natural.</w:t>
      </w:r>
      <w:bookmarkEnd w:id="11"/>
    </w:p>
    <w:p w14:paraId="04C9DFB0" w14:textId="77777777" w:rsidR="0006302B" w:rsidRPr="0013707D" w:rsidRDefault="0006302B" w:rsidP="0006302B">
      <w:pPr>
        <w:pStyle w:val="ARTICULOS"/>
        <w:numPr>
          <w:ilvl w:val="0"/>
          <w:numId w:val="0"/>
        </w:numPr>
        <w:ind w:left="567"/>
        <w:rPr>
          <w:rFonts w:cs="Arial"/>
          <w:color w:val="000000" w:themeColor="text1"/>
          <w:sz w:val="16"/>
          <w:lang w:val="es-CO"/>
        </w:rPr>
      </w:pPr>
    </w:p>
    <w:p w14:paraId="4F971836" w14:textId="5F4AD9B1" w:rsidR="0006302B" w:rsidRPr="003D20AA" w:rsidRDefault="0006302B" w:rsidP="0006302B">
      <w:pPr>
        <w:pStyle w:val="ARTICULOS"/>
        <w:numPr>
          <w:ilvl w:val="0"/>
          <w:numId w:val="0"/>
        </w:numPr>
        <w:ind w:left="567"/>
        <w:rPr>
          <w:rFonts w:cs="Arial"/>
          <w:color w:val="000000" w:themeColor="text1"/>
          <w:lang w:val="es-CO"/>
        </w:rPr>
      </w:pPr>
      <w:r w:rsidRPr="0013707D">
        <w:rPr>
          <w:rFonts w:cs="Arial"/>
          <w:color w:val="000000" w:themeColor="text1"/>
          <w:lang w:val="es-CO"/>
        </w:rPr>
        <w:t>El</w:t>
      </w:r>
      <w:r w:rsidRPr="00B04003">
        <w:rPr>
          <w:rFonts w:cs="Arial"/>
          <w:color w:val="000000" w:themeColor="text1"/>
          <w:lang w:val="es-CO"/>
        </w:rPr>
        <w:t xml:space="preserve"> </w:t>
      </w:r>
      <w:r w:rsidR="0022131A" w:rsidRPr="002D5416">
        <w:rPr>
          <w:rFonts w:cs="Arial"/>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deberá facilitar la comercialización de gas natural en el mercado primario, para lo cual dará aplicación al procedimiento de </w:t>
      </w:r>
      <w:r w:rsidRPr="003D20AA">
        <w:rPr>
          <w:rFonts w:cs="Arial"/>
          <w:color w:val="000000" w:themeColor="text1"/>
          <w:lang w:val="es-CO"/>
        </w:rPr>
        <w:t xml:space="preserve">negociación mediante el mecanismo de subasta a que se refiere </w:t>
      </w:r>
      <w:bookmarkEnd w:id="12"/>
      <w:r w:rsidRPr="003D20AA">
        <w:rPr>
          <w:rFonts w:cs="Arial"/>
          <w:color w:val="000000" w:themeColor="text1"/>
          <w:lang w:val="es-CO"/>
        </w:rPr>
        <w:t xml:space="preserve">el </w:t>
      </w:r>
      <w:r w:rsidR="009C02E5">
        <w:rPr>
          <w:rFonts w:cs="Arial"/>
          <w:color w:val="000000" w:themeColor="text1"/>
          <w:lang w:val="es-CO"/>
        </w:rPr>
        <w:t>a</w:t>
      </w:r>
      <w:r w:rsidRPr="003D20AA">
        <w:rPr>
          <w:rFonts w:cs="Arial"/>
          <w:color w:val="000000" w:themeColor="text1"/>
          <w:lang w:val="es-CO"/>
        </w:rPr>
        <w:t>rtículo 2</w:t>
      </w:r>
      <w:r w:rsidR="00D13D42" w:rsidRPr="003D20AA">
        <w:rPr>
          <w:rFonts w:cs="Arial"/>
          <w:b/>
          <w:bCs w:val="0"/>
          <w:color w:val="000000" w:themeColor="text1"/>
          <w:lang w:val="es-CO"/>
        </w:rPr>
        <w:t>2</w:t>
      </w:r>
      <w:r w:rsidRPr="003D20AA">
        <w:rPr>
          <w:rFonts w:cs="Arial"/>
          <w:color w:val="000000" w:themeColor="text1"/>
          <w:lang w:val="es-CO"/>
        </w:rPr>
        <w:t xml:space="preserve"> de la presente resolución</w:t>
      </w:r>
      <w:r w:rsidR="00B04003" w:rsidRPr="003D20AA">
        <w:rPr>
          <w:rFonts w:cs="Arial"/>
          <w:color w:val="000000" w:themeColor="text1"/>
          <w:lang w:val="es-CO"/>
        </w:rPr>
        <w:t xml:space="preserve">, según el reglamento establecido en el Anexo 7 de la </w:t>
      </w:r>
      <w:r w:rsidR="008C7267" w:rsidRPr="003D20AA">
        <w:rPr>
          <w:rFonts w:cs="Arial"/>
          <w:color w:val="000000" w:themeColor="text1"/>
          <w:lang w:val="es-CO"/>
        </w:rPr>
        <w:t>misma</w:t>
      </w:r>
      <w:r w:rsidRPr="003D20AA">
        <w:rPr>
          <w:rFonts w:cs="Arial"/>
          <w:color w:val="000000" w:themeColor="text1"/>
          <w:lang w:val="es-CO"/>
        </w:rPr>
        <w:t>.</w:t>
      </w:r>
      <w:bookmarkEnd w:id="13"/>
    </w:p>
    <w:p w14:paraId="7288AF13" w14:textId="77777777" w:rsidR="0006302B" w:rsidRPr="003D20AA" w:rsidRDefault="0006302B" w:rsidP="0006302B">
      <w:pPr>
        <w:pStyle w:val="ARTICULOS"/>
        <w:numPr>
          <w:ilvl w:val="0"/>
          <w:numId w:val="0"/>
        </w:numPr>
        <w:ind w:left="567"/>
        <w:rPr>
          <w:rFonts w:cs="Arial"/>
          <w:color w:val="000000" w:themeColor="text1"/>
          <w:sz w:val="20"/>
          <w:lang w:val="es-CO"/>
        </w:rPr>
      </w:pPr>
    </w:p>
    <w:p w14:paraId="00B1557B" w14:textId="77777777" w:rsidR="0006302B" w:rsidRPr="003D20AA" w:rsidRDefault="0006302B" w:rsidP="0006302B">
      <w:pPr>
        <w:pStyle w:val="ARTICULOS"/>
        <w:numPr>
          <w:ilvl w:val="1"/>
          <w:numId w:val="5"/>
        </w:numPr>
        <w:ind w:left="567" w:hanging="567"/>
        <w:rPr>
          <w:rFonts w:cs="Arial"/>
          <w:color w:val="000000" w:themeColor="text1"/>
          <w:lang w:val="es-CO"/>
        </w:rPr>
      </w:pPr>
      <w:bookmarkStart w:id="14" w:name="_Ref329103598"/>
      <w:bookmarkStart w:id="15" w:name="_Ref330308608"/>
      <w:r w:rsidRPr="003D20AA">
        <w:rPr>
          <w:rFonts w:cs="Arial"/>
          <w:color w:val="000000" w:themeColor="text1"/>
          <w:lang w:val="es-CO"/>
        </w:rPr>
        <w:t>Gestión de los mecanismos de comercialización del mercado secundario de gas natural.</w:t>
      </w:r>
      <w:bookmarkEnd w:id="14"/>
    </w:p>
    <w:p w14:paraId="2E29009D" w14:textId="77777777" w:rsidR="0006302B" w:rsidRPr="003D20AA" w:rsidRDefault="0006302B" w:rsidP="0006302B">
      <w:pPr>
        <w:pStyle w:val="ARTICULOS"/>
        <w:numPr>
          <w:ilvl w:val="0"/>
          <w:numId w:val="0"/>
        </w:numPr>
        <w:ind w:left="567"/>
        <w:rPr>
          <w:rFonts w:cs="Arial"/>
          <w:color w:val="000000" w:themeColor="text1"/>
          <w:sz w:val="20"/>
          <w:lang w:val="es-CO"/>
        </w:rPr>
      </w:pPr>
    </w:p>
    <w:p w14:paraId="760951F6" w14:textId="59C3BB4F" w:rsidR="0006302B" w:rsidRPr="003D20AA" w:rsidRDefault="0006302B" w:rsidP="0006302B">
      <w:pPr>
        <w:pStyle w:val="ARTICULOS"/>
        <w:numPr>
          <w:ilvl w:val="0"/>
          <w:numId w:val="0"/>
        </w:numPr>
        <w:ind w:left="567"/>
        <w:rPr>
          <w:rFonts w:cs="Arial"/>
          <w:color w:val="000000" w:themeColor="text1"/>
          <w:lang w:val="es-CO"/>
        </w:rPr>
      </w:pPr>
      <w:r w:rsidRPr="003D20AA">
        <w:rPr>
          <w:rFonts w:cs="Arial"/>
          <w:color w:val="000000" w:themeColor="text1"/>
          <w:lang w:val="es-CO"/>
        </w:rPr>
        <w:t xml:space="preserve">El </w:t>
      </w:r>
      <w:r w:rsidR="0022131A" w:rsidRPr="003D20AA">
        <w:rPr>
          <w:rFonts w:cs="Arial"/>
          <w:szCs w:val="22"/>
          <w:lang w:val="es-CO"/>
        </w:rPr>
        <w:t>Gestor</w:t>
      </w:r>
      <w:r w:rsidRPr="003D20AA">
        <w:rPr>
          <w:rFonts w:cs="Arial"/>
          <w:color w:val="000000" w:themeColor="text1"/>
          <w:sz w:val="22"/>
          <w:szCs w:val="22"/>
          <w:lang w:val="es-CO"/>
        </w:rPr>
        <w:t xml:space="preserve"> </w:t>
      </w:r>
      <w:r w:rsidRPr="003D20AA">
        <w:rPr>
          <w:rFonts w:cs="Arial"/>
          <w:color w:val="000000" w:themeColor="text1"/>
          <w:lang w:val="es-CO"/>
        </w:rPr>
        <w:t xml:space="preserve">del Mercado deberá facilitar las negociaciones en el mercado secundario, para lo cual dará aplicación a los procedimientos de que tratan los artículos </w:t>
      </w:r>
      <w:r w:rsidR="008C7267" w:rsidRPr="003D20AA">
        <w:rPr>
          <w:rFonts w:cs="Arial"/>
          <w:color w:val="000000" w:themeColor="text1"/>
          <w:lang w:val="es-CO"/>
        </w:rPr>
        <w:t>3</w:t>
      </w:r>
      <w:r w:rsidR="008C7267" w:rsidRPr="003D20AA">
        <w:rPr>
          <w:rFonts w:cs="Arial"/>
          <w:b/>
          <w:bCs w:val="0"/>
          <w:color w:val="000000" w:themeColor="text1"/>
          <w:lang w:val="es-CO"/>
        </w:rPr>
        <w:t>3</w:t>
      </w:r>
      <w:r w:rsidR="008C7267" w:rsidRPr="003D20AA">
        <w:rPr>
          <w:rFonts w:cs="Arial"/>
          <w:color w:val="000000" w:themeColor="text1"/>
          <w:lang w:val="es-CO"/>
        </w:rPr>
        <w:t xml:space="preserve"> </w:t>
      </w:r>
      <w:r w:rsidRPr="003D20AA">
        <w:rPr>
          <w:rFonts w:cs="Arial"/>
          <w:color w:val="000000" w:themeColor="text1"/>
          <w:lang w:val="es-CO"/>
        </w:rPr>
        <w:t xml:space="preserve">y </w:t>
      </w:r>
      <w:r w:rsidR="008C7267" w:rsidRPr="003D20AA">
        <w:rPr>
          <w:rFonts w:cs="Arial"/>
          <w:color w:val="000000" w:themeColor="text1"/>
          <w:lang w:val="es-CO"/>
        </w:rPr>
        <w:t>3</w:t>
      </w:r>
      <w:r w:rsidR="008C7267" w:rsidRPr="003D20AA">
        <w:rPr>
          <w:rFonts w:cs="Arial"/>
          <w:b/>
          <w:bCs w:val="0"/>
          <w:color w:val="000000" w:themeColor="text1"/>
          <w:lang w:val="es-CO"/>
        </w:rPr>
        <w:t>6</w:t>
      </w:r>
      <w:r w:rsidR="008C7267" w:rsidRPr="003D20AA">
        <w:rPr>
          <w:rFonts w:cs="Arial"/>
          <w:color w:val="000000" w:themeColor="text1"/>
          <w:lang w:val="es-CO"/>
        </w:rPr>
        <w:t xml:space="preserve"> </w:t>
      </w:r>
      <w:r w:rsidRPr="003D20AA">
        <w:rPr>
          <w:rFonts w:cs="Arial"/>
          <w:color w:val="000000" w:themeColor="text1"/>
          <w:lang w:val="es-CO"/>
        </w:rPr>
        <w:t>de la presente Resolución</w:t>
      </w:r>
      <w:r w:rsidR="00EA3AD8" w:rsidRPr="003D20AA">
        <w:rPr>
          <w:rFonts w:cs="Arial"/>
          <w:color w:val="000000" w:themeColor="text1"/>
          <w:lang w:val="es-CO"/>
        </w:rPr>
        <w:t>,</w:t>
      </w:r>
      <w:r w:rsidRPr="003D20AA">
        <w:rPr>
          <w:rFonts w:cs="Arial"/>
          <w:color w:val="000000" w:themeColor="text1"/>
          <w:lang w:val="es-CO"/>
        </w:rPr>
        <w:t xml:space="preserve"> y los artículos 29, 32 y 33 de la Resolución CREG 185 de 2020, o aquellas que los modifiquen o sustituyan.</w:t>
      </w:r>
      <w:bookmarkStart w:id="16" w:name="_Ref327544645"/>
      <w:bookmarkStart w:id="17" w:name="_Ref329102680"/>
      <w:bookmarkEnd w:id="15"/>
    </w:p>
    <w:p w14:paraId="5E9A4848" w14:textId="77777777" w:rsidR="0006302B" w:rsidRDefault="0006302B" w:rsidP="0006302B">
      <w:pPr>
        <w:pStyle w:val="ARTICULOS"/>
        <w:numPr>
          <w:ilvl w:val="0"/>
          <w:numId w:val="0"/>
        </w:numPr>
        <w:ind w:left="567"/>
        <w:rPr>
          <w:rFonts w:cs="Arial"/>
          <w:color w:val="000000" w:themeColor="text1"/>
          <w:lang w:val="es-CO"/>
        </w:rPr>
      </w:pPr>
    </w:p>
    <w:p w14:paraId="5FD3E8C4" w14:textId="4E1199A0" w:rsidR="0006302B" w:rsidRPr="00A72114" w:rsidRDefault="0006302B" w:rsidP="002D5416">
      <w:pPr>
        <w:pStyle w:val="ARTICULOS"/>
        <w:numPr>
          <w:ilvl w:val="0"/>
          <w:numId w:val="5"/>
        </w:numPr>
        <w:ind w:left="567" w:hanging="567"/>
        <w:rPr>
          <w:rFonts w:cs="Arial"/>
          <w:b/>
          <w:bCs w:val="0"/>
          <w:color w:val="000000" w:themeColor="text1"/>
          <w:lang w:val="es-CO"/>
        </w:rPr>
      </w:pPr>
      <w:r w:rsidRPr="00A72114">
        <w:rPr>
          <w:b/>
          <w:bCs w:val="0"/>
        </w:rPr>
        <w:t>Gestión de la información de la oferta de PTDVF, CIDVF, de las cantidades demandadas</w:t>
      </w:r>
      <w:r w:rsidR="002A6A2B">
        <w:rPr>
          <w:b/>
          <w:bCs w:val="0"/>
          <w:lang w:val="es-CO"/>
        </w:rPr>
        <w:t xml:space="preserve"> </w:t>
      </w:r>
      <w:r w:rsidR="008C7267">
        <w:rPr>
          <w:b/>
          <w:bCs w:val="0"/>
          <w:lang w:val="es-CO"/>
        </w:rPr>
        <w:t xml:space="preserve">por los compradores </w:t>
      </w:r>
      <w:r w:rsidR="002A6A2B">
        <w:rPr>
          <w:b/>
          <w:bCs w:val="0"/>
          <w:lang w:val="es-CO"/>
        </w:rPr>
        <w:t>y</w:t>
      </w:r>
      <w:r w:rsidRPr="00A72114">
        <w:rPr>
          <w:b/>
          <w:bCs w:val="0"/>
        </w:rPr>
        <w:t xml:space="preserve"> realización de</w:t>
      </w:r>
      <w:r w:rsidR="002A6A2B">
        <w:rPr>
          <w:b/>
          <w:bCs w:val="0"/>
          <w:lang w:val="es-CO"/>
        </w:rPr>
        <w:t xml:space="preserve"> </w:t>
      </w:r>
      <w:r w:rsidRPr="00A72114">
        <w:rPr>
          <w:b/>
          <w:bCs w:val="0"/>
        </w:rPr>
        <w:t>l</w:t>
      </w:r>
      <w:r w:rsidR="002A6A2B">
        <w:rPr>
          <w:b/>
          <w:bCs w:val="0"/>
          <w:lang w:val="es-CO"/>
        </w:rPr>
        <w:t>os</w:t>
      </w:r>
      <w:r w:rsidRPr="00A72114">
        <w:rPr>
          <w:b/>
          <w:bCs w:val="0"/>
        </w:rPr>
        <w:t xml:space="preserve"> balance</w:t>
      </w:r>
      <w:r w:rsidR="002A6A2B">
        <w:rPr>
          <w:b/>
          <w:bCs w:val="0"/>
          <w:lang w:val="es-CO"/>
        </w:rPr>
        <w:t>s</w:t>
      </w:r>
      <w:r w:rsidRPr="00A72114">
        <w:rPr>
          <w:b/>
          <w:bCs w:val="0"/>
        </w:rPr>
        <w:t xml:space="preserve"> comercial</w:t>
      </w:r>
      <w:r w:rsidR="002A6A2B">
        <w:rPr>
          <w:b/>
          <w:bCs w:val="0"/>
          <w:lang w:val="es-CO"/>
        </w:rPr>
        <w:t>es</w:t>
      </w:r>
      <w:r w:rsidRPr="00A72114">
        <w:rPr>
          <w:b/>
          <w:bCs w:val="0"/>
        </w:rPr>
        <w:t xml:space="preserve"> de la oferta y la demanda, </w:t>
      </w:r>
      <w:r w:rsidR="008C7267">
        <w:rPr>
          <w:b/>
          <w:bCs w:val="0"/>
          <w:lang w:val="es-CO"/>
        </w:rPr>
        <w:t xml:space="preserve">todo lo anterior de acuerdo con lo </w:t>
      </w:r>
      <w:r w:rsidRPr="00A72114">
        <w:rPr>
          <w:b/>
          <w:bCs w:val="0"/>
        </w:rPr>
        <w:t xml:space="preserve">establecido en el </w:t>
      </w:r>
      <w:r w:rsidR="00591F5F">
        <w:rPr>
          <w:b/>
          <w:bCs w:val="0"/>
          <w:lang w:val="es-ES"/>
        </w:rPr>
        <w:t>a</w:t>
      </w:r>
      <w:r w:rsidRPr="00A72114">
        <w:rPr>
          <w:b/>
          <w:bCs w:val="0"/>
          <w:lang w:val="es-ES"/>
        </w:rPr>
        <w:t>rtículo 21</w:t>
      </w:r>
      <w:r w:rsidRPr="00A72114">
        <w:rPr>
          <w:b/>
          <w:bCs w:val="0"/>
        </w:rPr>
        <w:t xml:space="preserve"> de la presente resolución.</w:t>
      </w:r>
    </w:p>
    <w:p w14:paraId="5F9595A5" w14:textId="77777777" w:rsidR="0006302B" w:rsidRPr="00A72114" w:rsidRDefault="0006302B" w:rsidP="002D5416">
      <w:pPr>
        <w:pStyle w:val="Prrafodelista"/>
        <w:ind w:left="709"/>
        <w:jc w:val="both"/>
        <w:rPr>
          <w:rFonts w:ascii="Bookman Old Style" w:hAnsi="Bookman Old Style"/>
          <w:b/>
          <w:sz w:val="24"/>
          <w:szCs w:val="24"/>
          <w:lang w:val="es-ES"/>
        </w:rPr>
      </w:pPr>
    </w:p>
    <w:p w14:paraId="089AD11B" w14:textId="143F6D2A" w:rsidR="0006302B" w:rsidRPr="00096116" w:rsidRDefault="0006302B" w:rsidP="002D5416">
      <w:pPr>
        <w:jc w:val="both"/>
        <w:rPr>
          <w:rFonts w:ascii="Bookman Old Style" w:hAnsi="Bookman Old Style"/>
          <w:b/>
        </w:rPr>
      </w:pPr>
      <w:r w:rsidRPr="00A72114">
        <w:rPr>
          <w:rFonts w:ascii="Bookman Old Style" w:hAnsi="Bookman Old Style"/>
          <w:b/>
        </w:rPr>
        <w:lastRenderedPageBreak/>
        <w:t xml:space="preserve">El </w:t>
      </w:r>
      <w:r w:rsidR="0022131A" w:rsidRPr="002D5416">
        <w:rPr>
          <w:rFonts w:ascii="Bookman Old Style" w:hAnsi="Bookman Old Style"/>
          <w:b/>
          <w:bCs/>
          <w:szCs w:val="22"/>
          <w:u w:color="FF0000"/>
        </w:rPr>
        <w:t>Gestor</w:t>
      </w:r>
      <w:r w:rsidRPr="00AC6A1F">
        <w:rPr>
          <w:rFonts w:ascii="Bookman Old Style" w:hAnsi="Bookman Old Style"/>
          <w:b/>
          <w:bCs/>
          <w:sz w:val="22"/>
          <w:szCs w:val="22"/>
        </w:rPr>
        <w:t xml:space="preserve"> </w:t>
      </w:r>
      <w:r w:rsidRPr="00A72114">
        <w:rPr>
          <w:rFonts w:ascii="Bookman Old Style" w:hAnsi="Bookman Old Style"/>
          <w:b/>
        </w:rPr>
        <w:t xml:space="preserve">del </w:t>
      </w:r>
      <w:r w:rsidR="000638D2">
        <w:rPr>
          <w:rFonts w:ascii="Bookman Old Style" w:hAnsi="Bookman Old Style"/>
          <w:b/>
        </w:rPr>
        <w:t>M</w:t>
      </w:r>
      <w:r w:rsidR="000638D2" w:rsidRPr="00A72114">
        <w:rPr>
          <w:rFonts w:ascii="Bookman Old Style" w:hAnsi="Bookman Old Style"/>
          <w:b/>
        </w:rPr>
        <w:t>ercado</w:t>
      </w:r>
      <w:r w:rsidRPr="00A72114">
        <w:rPr>
          <w:rFonts w:ascii="Bookman Old Style" w:hAnsi="Bookman Old Style"/>
          <w:b/>
        </w:rPr>
        <w:t xml:space="preserve"> deberá, entre otros aspectos referentes a la aplicación </w:t>
      </w:r>
      <w:r w:rsidR="008C7267">
        <w:rPr>
          <w:rFonts w:ascii="Bookman Old Style" w:hAnsi="Bookman Old Style"/>
          <w:b/>
        </w:rPr>
        <w:t>de dicho</w:t>
      </w:r>
      <w:r w:rsidR="008C7267" w:rsidRPr="00A72114">
        <w:rPr>
          <w:rFonts w:ascii="Bookman Old Style" w:hAnsi="Bookman Old Style"/>
          <w:b/>
        </w:rPr>
        <w:t xml:space="preserve"> </w:t>
      </w:r>
      <w:r w:rsidR="00F70392">
        <w:rPr>
          <w:rFonts w:ascii="Bookman Old Style" w:hAnsi="Bookman Old Style"/>
          <w:b/>
        </w:rPr>
        <w:t>a</w:t>
      </w:r>
      <w:r w:rsidRPr="00A72114">
        <w:rPr>
          <w:rFonts w:ascii="Bookman Old Style" w:hAnsi="Bookman Old Style"/>
          <w:b/>
        </w:rPr>
        <w:t xml:space="preserve">rtículo 21, recibir la información que declaren los vendedores y los compradores que actúen en el Mercado Primario, establecer los Puntos de Referencia, desarrollar los balances comerciales que se realizarán trimestralmente, publicar sus resultados y comunicar </w:t>
      </w:r>
      <w:r w:rsidR="008C7267">
        <w:rPr>
          <w:rFonts w:ascii="Bookman Old Style" w:hAnsi="Bookman Old Style"/>
          <w:b/>
        </w:rPr>
        <w:t xml:space="preserve">directamente </w:t>
      </w:r>
      <w:r w:rsidRPr="00A72114">
        <w:rPr>
          <w:rFonts w:ascii="Bookman Old Style" w:hAnsi="Bookman Old Style"/>
          <w:b/>
        </w:rPr>
        <w:t>a los Participantes del Mercado que suministren gas natural los resultados de los trimestres en que el balance comercial resulta deficitario para cada Punto de Referencia.</w:t>
      </w:r>
      <w:r w:rsidRPr="00096116">
        <w:rPr>
          <w:rFonts w:ascii="Bookman Old Style" w:hAnsi="Bookman Old Style"/>
          <w:b/>
        </w:rPr>
        <w:t xml:space="preserve"> </w:t>
      </w:r>
    </w:p>
    <w:p w14:paraId="3654BD72" w14:textId="77777777" w:rsidR="0006302B" w:rsidRPr="00363311" w:rsidRDefault="0006302B" w:rsidP="0006302B">
      <w:pPr>
        <w:pStyle w:val="ARTICULOS"/>
        <w:numPr>
          <w:ilvl w:val="0"/>
          <w:numId w:val="0"/>
        </w:numPr>
        <w:ind w:left="567"/>
        <w:rPr>
          <w:rFonts w:cs="Arial"/>
          <w:color w:val="000000" w:themeColor="text1"/>
          <w:u w:val="single"/>
          <w:lang w:val="es-CO"/>
        </w:rPr>
      </w:pPr>
    </w:p>
    <w:p w14:paraId="6BF48093" w14:textId="77777777" w:rsidR="0006302B" w:rsidRPr="0013707D" w:rsidRDefault="0006302B" w:rsidP="0006302B">
      <w:pPr>
        <w:pStyle w:val="ARTICULOS"/>
        <w:numPr>
          <w:ilvl w:val="0"/>
          <w:numId w:val="5"/>
        </w:numPr>
        <w:rPr>
          <w:rFonts w:cs="Arial"/>
          <w:color w:val="000000" w:themeColor="text1"/>
          <w:lang w:val="es-CO"/>
        </w:rPr>
      </w:pPr>
      <w:bookmarkStart w:id="18" w:name="_Ref355280462"/>
      <w:r w:rsidRPr="0013707D">
        <w:rPr>
          <w:rFonts w:cs="Arial"/>
          <w:color w:val="000000" w:themeColor="text1"/>
          <w:lang w:val="es-CO"/>
        </w:rPr>
        <w:t xml:space="preserve">Reporte de información para el seguimiento del </w:t>
      </w:r>
      <w:bookmarkEnd w:id="16"/>
      <w:r>
        <w:rPr>
          <w:rFonts w:cs="Arial"/>
          <w:color w:val="000000" w:themeColor="text1"/>
          <w:lang w:val="es-CO"/>
        </w:rPr>
        <w:t>Mercado Mayorista</w:t>
      </w:r>
      <w:r w:rsidRPr="0013707D">
        <w:rPr>
          <w:rFonts w:cs="Arial"/>
          <w:color w:val="000000" w:themeColor="text1"/>
          <w:lang w:val="es-CO"/>
        </w:rPr>
        <w:t xml:space="preserve"> de gas natural.</w:t>
      </w:r>
      <w:bookmarkEnd w:id="17"/>
      <w:bookmarkEnd w:id="18"/>
    </w:p>
    <w:p w14:paraId="1DF57028" w14:textId="77777777" w:rsidR="0006302B" w:rsidRPr="0013707D" w:rsidRDefault="0006302B" w:rsidP="0006302B">
      <w:pPr>
        <w:pStyle w:val="ARTICULOS"/>
        <w:numPr>
          <w:ilvl w:val="0"/>
          <w:numId w:val="0"/>
        </w:numPr>
        <w:ind w:left="567"/>
        <w:rPr>
          <w:rFonts w:cs="Arial"/>
          <w:color w:val="000000" w:themeColor="text1"/>
          <w:lang w:val="es-CO"/>
        </w:rPr>
      </w:pPr>
    </w:p>
    <w:p w14:paraId="6BDC5F9B" w14:textId="158BE8DC" w:rsidR="0006302B" w:rsidRPr="003D20AA" w:rsidRDefault="0006302B" w:rsidP="0006302B">
      <w:pPr>
        <w:pStyle w:val="ARTICULOS"/>
        <w:numPr>
          <w:ilvl w:val="0"/>
          <w:numId w:val="0"/>
        </w:numPr>
        <w:ind w:left="567"/>
        <w:rPr>
          <w:rFonts w:cs="Arial"/>
          <w:color w:val="000000" w:themeColor="text1"/>
          <w:lang w:val="es-CO"/>
        </w:rPr>
      </w:pPr>
      <w:r w:rsidRPr="0013707D">
        <w:rPr>
          <w:rFonts w:cs="Arial"/>
          <w:color w:val="000000" w:themeColor="text1"/>
          <w:lang w:val="es-CO"/>
        </w:rPr>
        <w:t xml:space="preserve">En desarrollo de este servicio, el </w:t>
      </w:r>
      <w:r w:rsidR="0022131A" w:rsidRPr="002D5416">
        <w:rPr>
          <w:rFonts w:cs="Arial"/>
          <w:szCs w:val="22"/>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pondrá a disposición de las entidades competentes la información transaccional y operativa que le soliciten para </w:t>
      </w:r>
      <w:r w:rsidRPr="003D20AA">
        <w:rPr>
          <w:rFonts w:cs="Arial"/>
          <w:color w:val="000000" w:themeColor="text1"/>
          <w:lang w:val="es-CO"/>
        </w:rPr>
        <w:t xml:space="preserve">efectos de la regulación, inspección, vigilancia y control del Mercado Mayorista de gas natural. La entrega de esta información no dará lugar a cobro alguno por parte del </w:t>
      </w:r>
      <w:r w:rsidR="0022131A" w:rsidRPr="003D20AA">
        <w:rPr>
          <w:rFonts w:cs="Arial"/>
          <w:szCs w:val="22"/>
          <w:lang w:val="es-CO"/>
        </w:rPr>
        <w:t>Gestor</w:t>
      </w:r>
      <w:r w:rsidRPr="003D20AA">
        <w:rPr>
          <w:rFonts w:cs="Arial"/>
          <w:lang w:val="es-CO"/>
        </w:rPr>
        <w:t xml:space="preserve"> </w:t>
      </w:r>
      <w:r w:rsidRPr="003D20AA">
        <w:rPr>
          <w:rFonts w:cs="Arial"/>
          <w:color w:val="000000" w:themeColor="text1"/>
          <w:lang w:val="es-CO"/>
        </w:rPr>
        <w:t>del Mercado.</w:t>
      </w:r>
    </w:p>
    <w:p w14:paraId="78721011" w14:textId="5C0A45B4" w:rsidR="008E4C26" w:rsidRPr="003D20AA" w:rsidRDefault="008E4C26" w:rsidP="008E4C26">
      <w:pPr>
        <w:pStyle w:val="ARTICULOS"/>
        <w:numPr>
          <w:ilvl w:val="0"/>
          <w:numId w:val="0"/>
        </w:numPr>
        <w:rPr>
          <w:rFonts w:cs="Arial"/>
          <w:color w:val="000000" w:themeColor="text1"/>
          <w:lang w:val="es-CO"/>
        </w:rPr>
      </w:pPr>
    </w:p>
    <w:p w14:paraId="1120DF36" w14:textId="7E354609" w:rsidR="008E4C26" w:rsidRPr="003D20AA" w:rsidRDefault="008E4C26" w:rsidP="006461EF">
      <w:pPr>
        <w:pStyle w:val="ARTICULOS"/>
        <w:numPr>
          <w:ilvl w:val="0"/>
          <w:numId w:val="5"/>
        </w:numPr>
        <w:rPr>
          <w:rFonts w:cs="Arial"/>
          <w:b/>
          <w:bCs w:val="0"/>
          <w:color w:val="000000" w:themeColor="text1"/>
          <w:lang w:val="es-CO"/>
        </w:rPr>
      </w:pPr>
      <w:r w:rsidRPr="003D20AA">
        <w:rPr>
          <w:rFonts w:cs="Arial"/>
          <w:b/>
          <w:bCs w:val="0"/>
          <w:color w:val="000000" w:themeColor="text1"/>
          <w:lang w:val="es-CO"/>
        </w:rPr>
        <w:t xml:space="preserve">Reporte </w:t>
      </w:r>
      <w:r w:rsidR="008C7267" w:rsidRPr="003D20AA">
        <w:rPr>
          <w:rFonts w:cs="Arial"/>
          <w:b/>
          <w:bCs w:val="0"/>
          <w:color w:val="000000" w:themeColor="text1"/>
          <w:lang w:val="es-CO"/>
        </w:rPr>
        <w:t xml:space="preserve">y publicación </w:t>
      </w:r>
      <w:r w:rsidRPr="003D20AA">
        <w:rPr>
          <w:rFonts w:cs="Arial"/>
          <w:b/>
          <w:bCs w:val="0"/>
          <w:color w:val="000000" w:themeColor="text1"/>
          <w:lang w:val="es-CO"/>
        </w:rPr>
        <w:t xml:space="preserve">de la información de los precios promedio </w:t>
      </w:r>
      <w:r w:rsidR="00D926D4" w:rsidRPr="003D20AA">
        <w:rPr>
          <w:rFonts w:cs="Arial"/>
          <w:b/>
          <w:bCs w:val="0"/>
          <w:color w:val="000000" w:themeColor="text1"/>
          <w:lang w:val="es-CO"/>
        </w:rPr>
        <w:t xml:space="preserve">ponderados por cantidades </w:t>
      </w:r>
      <w:r w:rsidRPr="003D20AA">
        <w:rPr>
          <w:rFonts w:cs="Arial"/>
          <w:b/>
          <w:bCs w:val="0"/>
          <w:color w:val="000000" w:themeColor="text1"/>
          <w:lang w:val="es-CO"/>
        </w:rPr>
        <w:t>de los contratos</w:t>
      </w:r>
      <w:r w:rsidR="00D926D4" w:rsidRPr="003D20AA">
        <w:rPr>
          <w:rFonts w:cs="Arial"/>
          <w:b/>
          <w:bCs w:val="0"/>
          <w:color w:val="000000" w:themeColor="text1"/>
          <w:lang w:val="es-CO"/>
        </w:rPr>
        <w:t>,</w:t>
      </w:r>
      <w:r w:rsidRPr="003D20AA">
        <w:rPr>
          <w:rFonts w:cs="Arial"/>
          <w:b/>
          <w:bCs w:val="0"/>
          <w:color w:val="000000" w:themeColor="text1"/>
          <w:lang w:val="es-CO"/>
        </w:rPr>
        <w:t xml:space="preserve"> </w:t>
      </w:r>
      <w:r w:rsidR="002A6A2B" w:rsidRPr="003D20AA">
        <w:rPr>
          <w:rFonts w:cs="Arial"/>
          <w:b/>
          <w:bCs w:val="0"/>
          <w:color w:val="000000" w:themeColor="text1"/>
          <w:lang w:val="es-CO"/>
        </w:rPr>
        <w:t>por modalidades</w:t>
      </w:r>
      <w:r w:rsidR="008C7267" w:rsidRPr="003D20AA">
        <w:rPr>
          <w:rFonts w:cs="Arial"/>
          <w:b/>
          <w:bCs w:val="0"/>
          <w:color w:val="000000" w:themeColor="text1"/>
          <w:lang w:val="es-CO"/>
        </w:rPr>
        <w:t xml:space="preserve"> contractuales</w:t>
      </w:r>
      <w:r w:rsidR="002A6A2B" w:rsidRPr="003D20AA">
        <w:rPr>
          <w:rFonts w:cs="Arial"/>
          <w:b/>
          <w:bCs w:val="0"/>
          <w:color w:val="000000" w:themeColor="text1"/>
          <w:lang w:val="es-CO"/>
        </w:rPr>
        <w:t xml:space="preserve">, </w:t>
      </w:r>
      <w:r w:rsidRPr="003D20AA">
        <w:rPr>
          <w:rFonts w:cs="Arial"/>
          <w:b/>
          <w:bCs w:val="0"/>
          <w:color w:val="000000" w:themeColor="text1"/>
          <w:lang w:val="es-CO"/>
        </w:rPr>
        <w:t xml:space="preserve">por fuente de </w:t>
      </w:r>
      <w:r w:rsidR="007278DB" w:rsidRPr="003D20AA">
        <w:rPr>
          <w:rFonts w:cs="Arial"/>
          <w:b/>
          <w:bCs w:val="0"/>
          <w:color w:val="000000" w:themeColor="text1"/>
          <w:lang w:val="es-CO"/>
        </w:rPr>
        <w:t>suministro,</w:t>
      </w:r>
      <w:r w:rsidRPr="003D20AA">
        <w:rPr>
          <w:rFonts w:cs="Arial"/>
          <w:b/>
          <w:bCs w:val="0"/>
          <w:color w:val="000000" w:themeColor="text1"/>
          <w:lang w:val="es-CO"/>
        </w:rPr>
        <w:t xml:space="preserve"> </w:t>
      </w:r>
      <w:r w:rsidR="008C7267" w:rsidRPr="003D20AA">
        <w:rPr>
          <w:rFonts w:cs="Arial"/>
          <w:b/>
          <w:bCs w:val="0"/>
          <w:color w:val="000000" w:themeColor="text1"/>
          <w:lang w:val="es-CO"/>
        </w:rPr>
        <w:t xml:space="preserve">así como promedios </w:t>
      </w:r>
      <w:r w:rsidRPr="003D20AA">
        <w:rPr>
          <w:rFonts w:cs="Arial"/>
          <w:b/>
          <w:bCs w:val="0"/>
          <w:color w:val="000000" w:themeColor="text1"/>
          <w:lang w:val="es-CO"/>
        </w:rPr>
        <w:t xml:space="preserve">a nivel nacional. </w:t>
      </w:r>
    </w:p>
    <w:p w14:paraId="3DB581F3" w14:textId="77777777" w:rsidR="000F1E12" w:rsidRPr="003D20AA" w:rsidRDefault="000F1E12" w:rsidP="002D5416">
      <w:pPr>
        <w:pStyle w:val="ARTICULOS"/>
        <w:numPr>
          <w:ilvl w:val="0"/>
          <w:numId w:val="0"/>
        </w:numPr>
        <w:ind w:left="480"/>
        <w:rPr>
          <w:rFonts w:cs="Arial"/>
          <w:b/>
          <w:bCs w:val="0"/>
          <w:color w:val="000000" w:themeColor="text1"/>
          <w:lang w:val="es-CO"/>
        </w:rPr>
      </w:pPr>
    </w:p>
    <w:p w14:paraId="4FB1CE30" w14:textId="5CCCCBAB" w:rsidR="000F1E12" w:rsidRPr="003D20AA" w:rsidRDefault="000F1E12" w:rsidP="006461EF">
      <w:pPr>
        <w:pStyle w:val="ARTICULOS"/>
        <w:numPr>
          <w:ilvl w:val="0"/>
          <w:numId w:val="5"/>
        </w:numPr>
        <w:rPr>
          <w:rFonts w:cs="Arial"/>
          <w:b/>
          <w:bCs w:val="0"/>
          <w:color w:val="000000" w:themeColor="text1"/>
          <w:lang w:val="es-CO"/>
        </w:rPr>
      </w:pPr>
      <w:r w:rsidRPr="003D20AA">
        <w:rPr>
          <w:rFonts w:cs="Arial"/>
          <w:b/>
          <w:bCs w:val="0"/>
          <w:color w:val="000000" w:themeColor="text1"/>
          <w:lang w:val="es-CO"/>
        </w:rPr>
        <w:t>Publica</w:t>
      </w:r>
      <w:r w:rsidR="009133C4">
        <w:rPr>
          <w:rFonts w:cs="Arial"/>
          <w:b/>
          <w:bCs w:val="0"/>
          <w:color w:val="000000" w:themeColor="text1"/>
          <w:lang w:val="es-CO"/>
        </w:rPr>
        <w:t xml:space="preserve">ción de </w:t>
      </w:r>
      <w:r w:rsidRPr="003D20AA">
        <w:rPr>
          <w:rFonts w:cs="Arial"/>
          <w:b/>
          <w:bCs w:val="0"/>
          <w:color w:val="000000" w:themeColor="text1"/>
          <w:lang w:val="es-CO"/>
        </w:rPr>
        <w:t xml:space="preserve">los valores obtenidos de los índices de actualización de precios establecidos en el </w:t>
      </w:r>
      <w:r w:rsidR="00FE65EF">
        <w:rPr>
          <w:rFonts w:cs="Arial"/>
          <w:b/>
          <w:bCs w:val="0"/>
          <w:color w:val="000000" w:themeColor="text1"/>
          <w:lang w:val="es-CO"/>
        </w:rPr>
        <w:t>A</w:t>
      </w:r>
      <w:r w:rsidRPr="003D20AA">
        <w:rPr>
          <w:rFonts w:cs="Arial"/>
          <w:b/>
          <w:bCs w:val="0"/>
          <w:color w:val="000000" w:themeColor="text1"/>
          <w:lang w:val="es-CO"/>
        </w:rPr>
        <w:t>nexo 3 de la presente Resolución, para cada trimestre estándar.</w:t>
      </w:r>
    </w:p>
    <w:p w14:paraId="4CC7ABAB" w14:textId="77777777" w:rsidR="007362F4" w:rsidRPr="003D20AA" w:rsidRDefault="007362F4" w:rsidP="002D5416">
      <w:pPr>
        <w:pStyle w:val="ARTICULOS"/>
        <w:numPr>
          <w:ilvl w:val="0"/>
          <w:numId w:val="0"/>
        </w:numPr>
        <w:ind w:left="480"/>
        <w:rPr>
          <w:rFonts w:cs="Arial"/>
          <w:b/>
          <w:bCs w:val="0"/>
          <w:color w:val="000000" w:themeColor="text1"/>
          <w:lang w:val="es-CO"/>
        </w:rPr>
      </w:pPr>
    </w:p>
    <w:p w14:paraId="1195A96A" w14:textId="4EEF34BC" w:rsidR="007362F4" w:rsidRPr="003D20AA" w:rsidRDefault="007362F4" w:rsidP="006461EF">
      <w:pPr>
        <w:pStyle w:val="ARTICULOS"/>
        <w:numPr>
          <w:ilvl w:val="0"/>
          <w:numId w:val="5"/>
        </w:numPr>
        <w:rPr>
          <w:rFonts w:cs="Arial"/>
          <w:b/>
          <w:bCs w:val="0"/>
          <w:color w:val="000000" w:themeColor="text1"/>
          <w:lang w:val="es-CO"/>
        </w:rPr>
      </w:pPr>
      <w:r w:rsidRPr="003D20AA">
        <w:rPr>
          <w:rFonts w:cs="Arial"/>
          <w:b/>
          <w:bCs w:val="0"/>
          <w:color w:val="000000" w:themeColor="text1"/>
          <w:lang w:val="es-CO"/>
        </w:rPr>
        <w:t xml:space="preserve">Verificación de la información declarada por los agentes, para efectos de lo establecido en el Anexo 1 de la presente resolución.  </w:t>
      </w:r>
    </w:p>
    <w:p w14:paraId="71EE1168" w14:textId="77777777" w:rsidR="008C7267" w:rsidRPr="003D20AA" w:rsidRDefault="008C7267" w:rsidP="002D5416">
      <w:pPr>
        <w:pStyle w:val="Prrafodelista"/>
        <w:rPr>
          <w:rFonts w:cs="Arial"/>
          <w:b/>
          <w:color w:val="000000" w:themeColor="text1"/>
        </w:rPr>
      </w:pPr>
    </w:p>
    <w:p w14:paraId="3C5D8E47" w14:textId="37AE3776" w:rsidR="009133C4" w:rsidRDefault="009133C4" w:rsidP="006461EF">
      <w:pPr>
        <w:pStyle w:val="ARTICULOS"/>
        <w:numPr>
          <w:ilvl w:val="0"/>
          <w:numId w:val="5"/>
        </w:numPr>
        <w:rPr>
          <w:rFonts w:cs="Arial"/>
          <w:b/>
          <w:bCs w:val="0"/>
          <w:color w:val="000000" w:themeColor="text1"/>
          <w:lang w:val="es-CO"/>
        </w:rPr>
      </w:pPr>
      <w:r>
        <w:rPr>
          <w:rFonts w:cs="Arial"/>
          <w:b/>
          <w:bCs w:val="0"/>
          <w:color w:val="000000" w:themeColor="text1"/>
          <w:lang w:val="es-CO"/>
        </w:rPr>
        <w:t xml:space="preserve">Verificar que al momento de registrarse un contrato, se utilicen en el contrato las modalidades vigentes establecidas por la regulación a la fecha del registro y las condiciones de las fuentes de suministro que se establecen en el contrato y que llevan a la aplicación de lo establecido en el </w:t>
      </w:r>
      <w:r w:rsidR="008467E2">
        <w:rPr>
          <w:rFonts w:cs="Arial"/>
          <w:b/>
          <w:bCs w:val="0"/>
          <w:color w:val="000000" w:themeColor="text1"/>
          <w:lang w:val="es-CO"/>
        </w:rPr>
        <w:t>a</w:t>
      </w:r>
      <w:r>
        <w:rPr>
          <w:rFonts w:cs="Arial"/>
          <w:b/>
          <w:bCs w:val="0"/>
          <w:color w:val="000000" w:themeColor="text1"/>
          <w:lang w:val="es-CO"/>
        </w:rPr>
        <w:t xml:space="preserve">rtículo 19 de la presente resolución. En caso de que se verifique que estos aspectos no se cumplen en el contrato que se registra, no se procederá con el registro y se informará a las contrapartes del contrato cuál de estos aspectos se considera que no se cumple. </w:t>
      </w:r>
    </w:p>
    <w:p w14:paraId="6C280265" w14:textId="77777777" w:rsidR="009133C4" w:rsidRDefault="009133C4" w:rsidP="00295053">
      <w:pPr>
        <w:pStyle w:val="Prrafodelista"/>
        <w:rPr>
          <w:rFonts w:cs="Arial"/>
          <w:b/>
          <w:color w:val="000000" w:themeColor="text1"/>
        </w:rPr>
      </w:pPr>
    </w:p>
    <w:p w14:paraId="49C6FD3E" w14:textId="559E7E3B" w:rsidR="008C7267" w:rsidRPr="003D20AA" w:rsidRDefault="008C7267" w:rsidP="006461EF">
      <w:pPr>
        <w:pStyle w:val="ARTICULOS"/>
        <w:numPr>
          <w:ilvl w:val="0"/>
          <w:numId w:val="5"/>
        </w:numPr>
        <w:rPr>
          <w:rFonts w:cs="Arial"/>
          <w:b/>
          <w:bCs w:val="0"/>
          <w:color w:val="000000" w:themeColor="text1"/>
          <w:lang w:val="es-CO"/>
        </w:rPr>
      </w:pPr>
      <w:r w:rsidRPr="003D20AA">
        <w:rPr>
          <w:rFonts w:cs="Arial"/>
          <w:b/>
          <w:bCs w:val="0"/>
          <w:color w:val="000000" w:themeColor="text1"/>
          <w:lang w:val="es-CO"/>
        </w:rPr>
        <w:t>En general, todas aquellas verificaciones que debe desarrollar el gestor del mercado en cumplimiento de lo dispuesto en la presente resolución.</w:t>
      </w:r>
    </w:p>
    <w:p w14:paraId="004CBC8B" w14:textId="77777777" w:rsidR="0006302B" w:rsidRPr="003D20AA" w:rsidRDefault="0006302B" w:rsidP="0006302B">
      <w:pPr>
        <w:pStyle w:val="ARTICULOS"/>
        <w:numPr>
          <w:ilvl w:val="0"/>
          <w:numId w:val="0"/>
        </w:numPr>
        <w:rPr>
          <w:rFonts w:cs="Arial"/>
          <w:color w:val="000000" w:themeColor="text1"/>
          <w:lang w:val="es-CO"/>
        </w:rPr>
      </w:pPr>
    </w:p>
    <w:p w14:paraId="1AE9BE18" w14:textId="41E0445A" w:rsidR="0006302B" w:rsidRPr="004E1B03" w:rsidRDefault="0006302B" w:rsidP="0006302B">
      <w:pPr>
        <w:pStyle w:val="ARTICULOS"/>
        <w:numPr>
          <w:ilvl w:val="0"/>
          <w:numId w:val="0"/>
        </w:numPr>
        <w:rPr>
          <w:color w:val="000000" w:themeColor="text1"/>
          <w:lang w:val="es-CO"/>
        </w:rPr>
      </w:pPr>
      <w:r w:rsidRPr="003D20AA">
        <w:rPr>
          <w:rFonts w:cs="Arial"/>
          <w:b/>
          <w:color w:val="000000" w:themeColor="text1"/>
          <w:lang w:val="es-CO"/>
        </w:rPr>
        <w:t xml:space="preserve">Parágrafo 1. </w:t>
      </w:r>
      <w:r w:rsidRPr="003D20AA">
        <w:rPr>
          <w:rFonts w:cs="Arial"/>
          <w:color w:val="000000" w:themeColor="text1"/>
          <w:lang w:val="es-CO"/>
        </w:rPr>
        <w:t xml:space="preserve">Todos los Participantes del Mercado </w:t>
      </w:r>
      <w:r w:rsidRPr="003D20AA">
        <w:rPr>
          <w:rFonts w:cs="Arial"/>
          <w:b/>
          <w:bCs w:val="0"/>
          <w:color w:val="000000" w:themeColor="text1"/>
          <w:lang w:val="es-CO"/>
        </w:rPr>
        <w:t xml:space="preserve">a los que se hace </w:t>
      </w:r>
      <w:r w:rsidR="0092401A" w:rsidRPr="003D20AA">
        <w:rPr>
          <w:rFonts w:cs="Arial"/>
          <w:b/>
          <w:bCs w:val="0"/>
          <w:color w:val="000000" w:themeColor="text1"/>
          <w:lang w:val="es-CO"/>
        </w:rPr>
        <w:t xml:space="preserve">referencia en el </w:t>
      </w:r>
      <w:r w:rsidR="005D62BB">
        <w:rPr>
          <w:rFonts w:cs="Arial"/>
          <w:b/>
          <w:bCs w:val="0"/>
          <w:color w:val="000000" w:themeColor="text1"/>
          <w:lang w:val="es-CO"/>
        </w:rPr>
        <w:t>a</w:t>
      </w:r>
      <w:r w:rsidR="0092401A" w:rsidRPr="003D20AA">
        <w:rPr>
          <w:rFonts w:cs="Arial"/>
          <w:b/>
          <w:bCs w:val="0"/>
          <w:color w:val="000000" w:themeColor="text1"/>
          <w:lang w:val="es-CO"/>
        </w:rPr>
        <w:t xml:space="preserve">rtículo 16 y en el </w:t>
      </w:r>
      <w:r w:rsidR="005D62BB">
        <w:rPr>
          <w:rFonts w:cs="Arial"/>
          <w:b/>
          <w:bCs w:val="0"/>
          <w:color w:val="000000" w:themeColor="text1"/>
          <w:lang w:val="es-CO"/>
        </w:rPr>
        <w:t>a</w:t>
      </w:r>
      <w:r w:rsidR="0092401A" w:rsidRPr="003D20AA">
        <w:rPr>
          <w:rFonts w:cs="Arial"/>
          <w:b/>
          <w:bCs w:val="0"/>
          <w:color w:val="000000" w:themeColor="text1"/>
          <w:lang w:val="es-CO"/>
        </w:rPr>
        <w:t xml:space="preserve">rtículo 17 </w:t>
      </w:r>
      <w:r w:rsidRPr="003D20AA">
        <w:rPr>
          <w:rFonts w:cs="Arial"/>
          <w:b/>
          <w:bCs w:val="0"/>
          <w:color w:val="000000" w:themeColor="text1"/>
          <w:lang w:val="es-CO"/>
        </w:rPr>
        <w:t>de la presente Resolución</w:t>
      </w:r>
      <w:r w:rsidR="0092401A" w:rsidRPr="003D20AA">
        <w:rPr>
          <w:rFonts w:cs="Arial"/>
          <w:b/>
          <w:bCs w:val="0"/>
          <w:color w:val="000000" w:themeColor="text1"/>
          <w:lang w:val="es-CO"/>
        </w:rPr>
        <w:t>,</w:t>
      </w:r>
      <w:r w:rsidRPr="003D20AA">
        <w:rPr>
          <w:rFonts w:cs="Arial"/>
          <w:color w:val="000000" w:themeColor="text1"/>
          <w:lang w:val="es-CO"/>
        </w:rPr>
        <w:t xml:space="preserve"> están obligados a declarar la información señalada en el </w:t>
      </w:r>
      <w:r w:rsidR="005D62BB">
        <w:rPr>
          <w:rFonts w:cs="Arial"/>
          <w:color w:val="000000" w:themeColor="text1"/>
          <w:lang w:val="es-CO"/>
        </w:rPr>
        <w:t>A</w:t>
      </w:r>
      <w:r w:rsidRPr="003D20AA">
        <w:rPr>
          <w:rFonts w:cs="Arial"/>
          <w:color w:val="000000" w:themeColor="text1"/>
          <w:lang w:val="es-CO"/>
        </w:rPr>
        <w:t xml:space="preserve">nexo </w:t>
      </w:r>
      <w:r w:rsidR="009B3947" w:rsidRPr="003D20AA">
        <w:rPr>
          <w:rFonts w:cs="Arial"/>
          <w:b/>
          <w:bCs w:val="0"/>
          <w:color w:val="000000" w:themeColor="text1"/>
          <w:lang w:val="es-CO"/>
        </w:rPr>
        <w:t>1 de la presente resolución</w:t>
      </w:r>
      <w:r w:rsidR="00A82222" w:rsidRPr="003D20AA">
        <w:rPr>
          <w:rFonts w:cs="Arial"/>
          <w:color w:val="000000" w:themeColor="text1"/>
          <w:lang w:val="es-CO"/>
        </w:rPr>
        <w:t xml:space="preserve">, </w:t>
      </w:r>
      <w:r w:rsidR="00A82222" w:rsidRPr="003D20AA">
        <w:rPr>
          <w:rFonts w:cs="Arial"/>
          <w:b/>
          <w:bCs w:val="0"/>
          <w:color w:val="000000" w:themeColor="text1"/>
          <w:lang w:val="es-CO"/>
        </w:rPr>
        <w:t>entregar copia digital de todos los contratos de suministro del mercado mayorista, así como la</w:t>
      </w:r>
      <w:r w:rsidR="006A5CC5" w:rsidRPr="003D20AA">
        <w:rPr>
          <w:rFonts w:cs="Arial"/>
          <w:b/>
          <w:bCs w:val="0"/>
          <w:color w:val="000000" w:themeColor="text1"/>
          <w:lang w:val="es-CO"/>
        </w:rPr>
        <w:t xml:space="preserve"> infor</w:t>
      </w:r>
      <w:r w:rsidR="001468A5" w:rsidRPr="003D20AA">
        <w:rPr>
          <w:rFonts w:cs="Arial"/>
          <w:b/>
          <w:bCs w:val="0"/>
          <w:color w:val="000000" w:themeColor="text1"/>
          <w:lang w:val="es-CO"/>
        </w:rPr>
        <w:t>ma</w:t>
      </w:r>
      <w:r w:rsidR="006A5CC5" w:rsidRPr="003D20AA">
        <w:rPr>
          <w:rFonts w:cs="Arial"/>
          <w:b/>
          <w:bCs w:val="0"/>
          <w:color w:val="000000" w:themeColor="text1"/>
          <w:lang w:val="es-CO"/>
        </w:rPr>
        <w:t>ción</w:t>
      </w:r>
      <w:r w:rsidR="00A82222" w:rsidRPr="003D20AA">
        <w:rPr>
          <w:rFonts w:cs="Arial"/>
          <w:b/>
          <w:bCs w:val="0"/>
          <w:color w:val="000000" w:themeColor="text1"/>
          <w:lang w:val="es-CO"/>
        </w:rPr>
        <w:t xml:space="preserve"> de transporte prevista </w:t>
      </w:r>
      <w:r w:rsidRPr="003D20AA">
        <w:rPr>
          <w:rFonts w:cs="Arial"/>
          <w:color w:val="000000" w:themeColor="text1"/>
          <w:lang w:val="es-CO"/>
        </w:rPr>
        <w:t>en la Resolución CREG 185 de 2020, o aquellas que lo modifiquen o sustituyan, según sea el caso. Dicha información deberá ser declarada de manera</w:t>
      </w:r>
      <w:r w:rsidRPr="001936F0">
        <w:rPr>
          <w:rFonts w:cs="Arial"/>
          <w:color w:val="000000" w:themeColor="text1"/>
          <w:lang w:val="es-CO"/>
        </w:rPr>
        <w:t xml:space="preserve"> completa</w:t>
      </w:r>
      <w:r w:rsidRPr="0013707D">
        <w:rPr>
          <w:rFonts w:cs="Arial"/>
          <w:color w:val="000000" w:themeColor="text1"/>
          <w:lang w:val="es-CO"/>
        </w:rPr>
        <w:t xml:space="preserve">, ordenada y exhaustiva, de acuerdo con los formatos que establezca </w:t>
      </w:r>
      <w:r w:rsidRPr="002D5416">
        <w:rPr>
          <w:rFonts w:cs="Arial"/>
          <w:lang w:val="es-CO"/>
        </w:rPr>
        <w:t xml:space="preserve">el </w:t>
      </w:r>
      <w:r w:rsidR="0022131A" w:rsidRPr="002D5416">
        <w:rPr>
          <w:rFonts w:cs="Arial"/>
          <w:szCs w:val="22"/>
          <w:u w:color="FF0000"/>
          <w:lang w:val="es-CO"/>
        </w:rPr>
        <w:t>Gestor</w:t>
      </w:r>
      <w:r w:rsidRPr="002D5416">
        <w:rPr>
          <w:rFonts w:cs="Arial"/>
          <w:lang w:val="es-CO"/>
        </w:rPr>
        <w:t xml:space="preserve"> del Mercado. En consecuencia, ninguna cláusula de confidencialidad en los contratos celebrados entre los Participantes del mercado será oponible al </w:t>
      </w:r>
      <w:r w:rsidR="0022131A" w:rsidRPr="002D5416">
        <w:rPr>
          <w:rFonts w:cs="Arial"/>
          <w:szCs w:val="22"/>
          <w:u w:color="FF0000"/>
          <w:lang w:val="es-CO"/>
        </w:rPr>
        <w:t>Gestor</w:t>
      </w:r>
      <w:r w:rsidRPr="002D5416">
        <w:rPr>
          <w:rFonts w:cs="Arial"/>
          <w:lang w:val="es-CO"/>
        </w:rPr>
        <w:t xml:space="preserve"> </w:t>
      </w:r>
      <w:r w:rsidRPr="002D5416">
        <w:rPr>
          <w:rFonts w:cs="Arial"/>
          <w:lang w:val="es-CO"/>
        </w:rPr>
        <w:lastRenderedPageBreak/>
        <w:t xml:space="preserve">del </w:t>
      </w:r>
      <w:r>
        <w:rPr>
          <w:rFonts w:cs="Arial"/>
          <w:color w:val="000000" w:themeColor="text1"/>
          <w:lang w:val="es-CO"/>
        </w:rPr>
        <w:t>Mercado</w:t>
      </w:r>
      <w:r w:rsidRPr="0013707D">
        <w:rPr>
          <w:rFonts w:cs="Arial"/>
          <w:color w:val="000000" w:themeColor="text1"/>
          <w:lang w:val="es-CO"/>
        </w:rPr>
        <w:t>, pero éste deberá dar el manejo que corresponda a la información que revista carácter reservado.</w:t>
      </w:r>
    </w:p>
    <w:p w14:paraId="142E6EE6" w14:textId="77777777" w:rsidR="0006302B" w:rsidRPr="0013707D" w:rsidRDefault="0006302B" w:rsidP="0006302B">
      <w:pPr>
        <w:pStyle w:val="ARTICULOS"/>
        <w:numPr>
          <w:ilvl w:val="0"/>
          <w:numId w:val="0"/>
        </w:numPr>
        <w:rPr>
          <w:rFonts w:cs="Arial"/>
          <w:color w:val="000000" w:themeColor="text1"/>
          <w:lang w:val="es-CO"/>
        </w:rPr>
      </w:pPr>
    </w:p>
    <w:p w14:paraId="546116B0" w14:textId="5456A594" w:rsidR="0006302B" w:rsidRPr="00DC2097" w:rsidRDefault="0006302B" w:rsidP="0006302B">
      <w:pPr>
        <w:pStyle w:val="ARTICULOS"/>
        <w:numPr>
          <w:ilvl w:val="0"/>
          <w:numId w:val="0"/>
        </w:numPr>
        <w:rPr>
          <w:color w:val="000000" w:themeColor="text1"/>
          <w:lang w:val="es-CO"/>
        </w:rPr>
      </w:pPr>
      <w:r w:rsidRPr="00DC2097">
        <w:rPr>
          <w:rFonts w:cs="Arial"/>
          <w:b/>
          <w:color w:val="000000" w:themeColor="text1"/>
          <w:lang w:val="es-CO"/>
        </w:rPr>
        <w:t xml:space="preserve">Parágrafo </w:t>
      </w:r>
      <w:r w:rsidRPr="00E768AE">
        <w:rPr>
          <w:rFonts w:cs="Arial"/>
          <w:b/>
          <w:color w:val="000000" w:themeColor="text1"/>
          <w:lang w:val="es-CO"/>
        </w:rPr>
        <w:t xml:space="preserve">2. </w:t>
      </w:r>
      <w:r w:rsidRPr="00E768AE">
        <w:rPr>
          <w:rFonts w:cs="Arial"/>
          <w:color w:val="000000" w:themeColor="text1"/>
          <w:lang w:val="es-CO"/>
        </w:rPr>
        <w:t xml:space="preserve">La no declaración al </w:t>
      </w:r>
      <w:r w:rsidR="0022131A" w:rsidRPr="002D5416">
        <w:rPr>
          <w:rFonts w:cs="Arial"/>
          <w:szCs w:val="22"/>
          <w:u w:color="FF0000"/>
          <w:lang w:val="es-CO"/>
        </w:rPr>
        <w:t>Gestor</w:t>
      </w:r>
      <w:r w:rsidRPr="002D5416">
        <w:rPr>
          <w:rFonts w:cs="Arial"/>
          <w:lang w:val="es-CO"/>
        </w:rPr>
        <w:t xml:space="preserve"> </w:t>
      </w:r>
      <w:r w:rsidRPr="00E768AE">
        <w:rPr>
          <w:rFonts w:cs="Arial"/>
          <w:color w:val="000000" w:themeColor="text1"/>
          <w:lang w:val="es-CO"/>
        </w:rPr>
        <w:t xml:space="preserve">del Mercado de la información señalada en el </w:t>
      </w:r>
      <w:r w:rsidRPr="00D66B65">
        <w:rPr>
          <w:rFonts w:cs="Arial"/>
          <w:color w:val="000000" w:themeColor="text1"/>
          <w:lang w:val="es-CO"/>
        </w:rPr>
        <w:fldChar w:fldCharType="begin"/>
      </w:r>
      <w:r w:rsidRPr="00D66B65">
        <w:rPr>
          <w:rFonts w:cs="Arial"/>
          <w:color w:val="000000" w:themeColor="text1"/>
          <w:lang w:val="es-CO"/>
        </w:rPr>
        <w:instrText xml:space="preserve"> REF _Ref55316068 \h  \* MERGEFORMAT </w:instrText>
      </w:r>
      <w:r w:rsidRPr="00D66B65">
        <w:rPr>
          <w:rFonts w:cs="Arial"/>
          <w:color w:val="000000" w:themeColor="text1"/>
          <w:lang w:val="es-CO"/>
        </w:rPr>
      </w:r>
      <w:r w:rsidRPr="00D66B65">
        <w:rPr>
          <w:rFonts w:cs="Arial"/>
          <w:color w:val="000000" w:themeColor="text1"/>
          <w:lang w:val="es-CO"/>
        </w:rPr>
        <w:fldChar w:fldCharType="separate"/>
      </w:r>
      <w:r w:rsidR="00636B6A" w:rsidRPr="007E56EE">
        <w:rPr>
          <w:color w:val="000000" w:themeColor="text1"/>
        </w:rPr>
        <w:t xml:space="preserve">Anexo </w:t>
      </w:r>
      <w:r w:rsidR="00636B6A">
        <w:rPr>
          <w:noProof/>
          <w:color w:val="000000" w:themeColor="text1"/>
        </w:rPr>
        <w:t>1</w:t>
      </w:r>
      <w:r w:rsidRPr="00D66B65">
        <w:rPr>
          <w:rFonts w:cs="Arial"/>
          <w:color w:val="000000" w:themeColor="text1"/>
          <w:lang w:val="es-CO"/>
        </w:rPr>
        <w:fldChar w:fldCharType="end"/>
      </w:r>
      <w:r w:rsidRPr="00E768AE">
        <w:rPr>
          <w:rFonts w:cs="Arial"/>
          <w:color w:val="000000" w:themeColor="text1"/>
          <w:lang w:val="es-CO"/>
        </w:rPr>
        <w:t xml:space="preserve"> de</w:t>
      </w:r>
      <w:r w:rsidRPr="00DC2097">
        <w:rPr>
          <w:rFonts w:cs="Arial"/>
          <w:color w:val="000000" w:themeColor="text1"/>
          <w:lang w:val="es-CO"/>
        </w:rPr>
        <w:t xml:space="preserve"> esta Resolución</w:t>
      </w:r>
      <w:r w:rsidR="006A5CC5">
        <w:rPr>
          <w:rFonts w:cs="Arial"/>
          <w:color w:val="000000" w:themeColor="text1"/>
          <w:lang w:val="es-CO"/>
        </w:rPr>
        <w:t xml:space="preserve">, </w:t>
      </w:r>
      <w:r w:rsidR="006A5CC5" w:rsidRPr="00191320">
        <w:rPr>
          <w:rFonts w:cs="Arial"/>
          <w:b/>
          <w:bCs w:val="0"/>
          <w:color w:val="000000" w:themeColor="text1"/>
          <w:lang w:val="es-CO"/>
        </w:rPr>
        <w:t>la no entrega de la copia</w:t>
      </w:r>
      <w:r w:rsidR="006A5CC5">
        <w:rPr>
          <w:rFonts w:cs="Arial"/>
          <w:color w:val="000000" w:themeColor="text1"/>
          <w:lang w:val="es-CO"/>
        </w:rPr>
        <w:t xml:space="preserve"> </w:t>
      </w:r>
      <w:r w:rsidR="006A5CC5">
        <w:rPr>
          <w:rFonts w:cs="Arial"/>
          <w:b/>
          <w:bCs w:val="0"/>
          <w:color w:val="000000" w:themeColor="text1"/>
          <w:lang w:val="es-CO"/>
        </w:rPr>
        <w:t xml:space="preserve">digital </w:t>
      </w:r>
      <w:r w:rsidR="006A5CC5" w:rsidRPr="00937439">
        <w:rPr>
          <w:rFonts w:cs="Arial"/>
          <w:b/>
          <w:bCs w:val="0"/>
          <w:color w:val="000000" w:themeColor="text1"/>
          <w:lang w:val="es-CO"/>
        </w:rPr>
        <w:t xml:space="preserve">de todos los contratos </w:t>
      </w:r>
      <w:r w:rsidR="006A5CC5">
        <w:rPr>
          <w:rFonts w:cs="Arial"/>
          <w:b/>
          <w:bCs w:val="0"/>
          <w:color w:val="000000" w:themeColor="text1"/>
          <w:lang w:val="es-CO"/>
        </w:rPr>
        <w:t xml:space="preserve">de suministro </w:t>
      </w:r>
      <w:r w:rsidR="006A5CC5" w:rsidRPr="00937439">
        <w:rPr>
          <w:rFonts w:cs="Arial"/>
          <w:b/>
          <w:bCs w:val="0"/>
          <w:color w:val="000000" w:themeColor="text1"/>
          <w:lang w:val="es-CO"/>
        </w:rPr>
        <w:t>de</w:t>
      </w:r>
      <w:r w:rsidR="006A5CC5">
        <w:rPr>
          <w:rFonts w:cs="Arial"/>
          <w:b/>
          <w:bCs w:val="0"/>
          <w:color w:val="000000" w:themeColor="text1"/>
          <w:lang w:val="es-CO"/>
        </w:rPr>
        <w:t>l</w:t>
      </w:r>
      <w:r w:rsidR="006A5CC5" w:rsidRPr="00937439">
        <w:rPr>
          <w:rFonts w:cs="Arial"/>
          <w:b/>
          <w:bCs w:val="0"/>
          <w:color w:val="000000" w:themeColor="text1"/>
          <w:lang w:val="es-CO"/>
        </w:rPr>
        <w:t xml:space="preserve"> mercado mayorista</w:t>
      </w:r>
      <w:r w:rsidRPr="00DC2097">
        <w:rPr>
          <w:rFonts w:cs="Arial"/>
          <w:color w:val="000000" w:themeColor="text1"/>
          <w:lang w:val="es-CO"/>
        </w:rPr>
        <w:t xml:space="preserve"> y de la</w:t>
      </w:r>
      <w:r w:rsidR="006A5CC5">
        <w:rPr>
          <w:rFonts w:cs="Arial"/>
          <w:color w:val="000000" w:themeColor="text1"/>
          <w:lang w:val="es-CO"/>
        </w:rPr>
        <w:t xml:space="preserve"> </w:t>
      </w:r>
      <w:r w:rsidR="006A5CC5" w:rsidRPr="00191320">
        <w:rPr>
          <w:rFonts w:cs="Arial"/>
          <w:b/>
          <w:bCs w:val="0"/>
          <w:color w:val="000000" w:themeColor="text1"/>
          <w:lang w:val="es-CO"/>
        </w:rPr>
        <w:t>información de transporte prevista en</w:t>
      </w:r>
      <w:r w:rsidRPr="00DC2097">
        <w:rPr>
          <w:rFonts w:cs="Arial"/>
          <w:color w:val="000000" w:themeColor="text1"/>
          <w:lang w:val="es-CO"/>
        </w:rPr>
        <w:t xml:space="preserve"> </w:t>
      </w:r>
      <w:r w:rsidR="00EA3AD8" w:rsidRPr="00EA3AD8">
        <w:rPr>
          <w:rFonts w:cs="Arial"/>
          <w:b/>
          <w:bCs w:val="0"/>
          <w:color w:val="000000" w:themeColor="text1"/>
          <w:lang w:val="es-CO"/>
        </w:rPr>
        <w:t>la</w:t>
      </w:r>
      <w:r w:rsidR="00EA3AD8">
        <w:rPr>
          <w:rFonts w:cs="Arial"/>
          <w:color w:val="000000" w:themeColor="text1"/>
          <w:lang w:val="es-CO"/>
        </w:rPr>
        <w:t xml:space="preserve"> </w:t>
      </w:r>
      <w:r w:rsidRPr="00DC2097">
        <w:rPr>
          <w:rFonts w:cs="Arial"/>
          <w:color w:val="000000" w:themeColor="text1"/>
          <w:lang w:val="es-CO"/>
        </w:rPr>
        <w:t>Resolución CREG 185 de 2020, o aquellas que lo modifiquen o sustituyan</w:t>
      </w:r>
      <w:r w:rsidR="00EA3AD8">
        <w:rPr>
          <w:rFonts w:cs="Arial"/>
          <w:color w:val="000000" w:themeColor="text1"/>
          <w:lang w:val="es-CO"/>
        </w:rPr>
        <w:t>,</w:t>
      </w:r>
      <w:r w:rsidRPr="00DC2097">
        <w:rPr>
          <w:rFonts w:cs="Arial"/>
          <w:color w:val="000000" w:themeColor="text1"/>
          <w:lang w:val="es-CO"/>
        </w:rPr>
        <w:t xml:space="preserve"> podrá ser considerada por la autoridad competente como una práctica contraria a la libre competencia. Igual consideración se podrá dar a la declaración reiterada de dicha información de manera inconsistente. Lo anterior</w:t>
      </w:r>
      <w:r>
        <w:rPr>
          <w:rFonts w:cs="Arial"/>
          <w:color w:val="000000" w:themeColor="text1"/>
          <w:lang w:val="es-CO"/>
        </w:rPr>
        <w:t>,</w:t>
      </w:r>
      <w:r w:rsidRPr="00DC2097">
        <w:rPr>
          <w:rFonts w:cs="Arial"/>
          <w:color w:val="000000" w:themeColor="text1"/>
          <w:lang w:val="es-CO"/>
        </w:rPr>
        <w:t xml:space="preserve"> sin perjuicio de la responsabilidad derivada de la posible falla en la prestación del servicio que se cause por la no declaración </w:t>
      </w:r>
      <w:r w:rsidR="008C1B5B" w:rsidRPr="00191320">
        <w:rPr>
          <w:rFonts w:cs="Arial"/>
          <w:b/>
          <w:bCs w:val="0"/>
          <w:color w:val="000000" w:themeColor="text1"/>
          <w:lang w:val="es-CO"/>
        </w:rPr>
        <w:t>y presentación</w:t>
      </w:r>
      <w:r w:rsidR="008C1B5B">
        <w:rPr>
          <w:rFonts w:cs="Arial"/>
          <w:color w:val="000000" w:themeColor="text1"/>
          <w:lang w:val="es-CO"/>
        </w:rPr>
        <w:t xml:space="preserve"> </w:t>
      </w:r>
      <w:r w:rsidRPr="00DC2097">
        <w:rPr>
          <w:rFonts w:cs="Arial"/>
          <w:color w:val="000000" w:themeColor="text1"/>
          <w:lang w:val="es-CO"/>
        </w:rPr>
        <w:t>de esta información.</w:t>
      </w:r>
    </w:p>
    <w:p w14:paraId="2BB0536D" w14:textId="77777777" w:rsidR="0006302B" w:rsidRPr="0013707D" w:rsidRDefault="0006302B" w:rsidP="0006302B">
      <w:pPr>
        <w:pStyle w:val="ARTICULOS"/>
        <w:numPr>
          <w:ilvl w:val="0"/>
          <w:numId w:val="0"/>
        </w:numPr>
        <w:rPr>
          <w:rFonts w:cs="Arial"/>
          <w:b/>
          <w:color w:val="000000" w:themeColor="text1"/>
          <w:lang w:val="es-CO"/>
        </w:rPr>
      </w:pPr>
    </w:p>
    <w:p w14:paraId="267D4F3F" w14:textId="1773771B" w:rsidR="0006302B" w:rsidRPr="003D20AA"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 xml:space="preserve">Parágrafo 3. </w:t>
      </w:r>
      <w:r w:rsidRPr="0013707D">
        <w:rPr>
          <w:rFonts w:cs="Arial"/>
          <w:color w:val="000000" w:themeColor="text1"/>
          <w:lang w:val="es-CO"/>
        </w:rPr>
        <w:t xml:space="preserve">El </w:t>
      </w:r>
      <w:r w:rsidR="0022131A" w:rsidRPr="002D5416">
        <w:rPr>
          <w:rFonts w:cs="Arial"/>
          <w:szCs w:val="22"/>
          <w:u w:color="FF0000"/>
          <w:lang w:val="es-CO"/>
        </w:rPr>
        <w:t>Gestor</w:t>
      </w:r>
      <w:r w:rsidRPr="002D5416">
        <w:rPr>
          <w:rFonts w:cs="Arial"/>
          <w:lang w:val="es-CO"/>
        </w:rPr>
        <w:t xml:space="preserve"> del </w:t>
      </w:r>
      <w:r>
        <w:rPr>
          <w:rFonts w:cs="Arial"/>
          <w:color w:val="000000" w:themeColor="text1"/>
          <w:lang w:val="es-CO"/>
        </w:rPr>
        <w:t>Mercado</w:t>
      </w:r>
      <w:r w:rsidRPr="0013707D">
        <w:rPr>
          <w:rFonts w:cs="Arial"/>
          <w:color w:val="000000" w:themeColor="text1"/>
          <w:lang w:val="es-CO"/>
        </w:rPr>
        <w:t xml:space="preserve"> no tendrá competencia para determinar la ocurrencia de casos de ejercicio de poder de mercado, prácticas contrarias a la libre competencia </w:t>
      </w:r>
      <w:r w:rsidRPr="003D20AA">
        <w:rPr>
          <w:rFonts w:cs="Arial"/>
          <w:color w:val="000000" w:themeColor="text1"/>
          <w:lang w:val="es-CO"/>
        </w:rPr>
        <w:t xml:space="preserve">o similares. Tampoco tendrá potestades para sancionar comportamientos de los Participantes del mercado. </w:t>
      </w:r>
      <w:r w:rsidRPr="003D20AA">
        <w:rPr>
          <w:rFonts w:cs="Arial"/>
          <w:b/>
          <w:bCs w:val="0"/>
          <w:color w:val="000000" w:themeColor="text1"/>
          <w:lang w:val="es-CO"/>
        </w:rPr>
        <w:t>En todo caso, sí tendrá la obligación de comunicar a las autoridades de regulación, vigilancia y control</w:t>
      </w:r>
      <w:r w:rsidR="00A6763D">
        <w:rPr>
          <w:rFonts w:cs="Arial"/>
          <w:b/>
          <w:bCs w:val="0"/>
          <w:color w:val="000000" w:themeColor="text1"/>
          <w:lang w:val="es-CO"/>
        </w:rPr>
        <w:t>, dentro de los cinco (5) días hábiles siguientes al conocimiento del caso,</w:t>
      </w:r>
      <w:r w:rsidRPr="003D20AA">
        <w:rPr>
          <w:rFonts w:cs="Arial"/>
          <w:b/>
          <w:bCs w:val="0"/>
          <w:color w:val="000000" w:themeColor="text1"/>
          <w:lang w:val="es-CO"/>
        </w:rPr>
        <w:t xml:space="preserve"> de cualquier </w:t>
      </w:r>
      <w:r w:rsidR="00393C48" w:rsidRPr="003D20AA">
        <w:rPr>
          <w:rFonts w:cs="Arial"/>
          <w:b/>
          <w:bCs w:val="0"/>
          <w:color w:val="000000" w:themeColor="text1"/>
          <w:lang w:val="es-CO"/>
        </w:rPr>
        <w:t xml:space="preserve">posible </w:t>
      </w:r>
      <w:r w:rsidRPr="003D20AA">
        <w:rPr>
          <w:rFonts w:cs="Arial"/>
          <w:b/>
          <w:bCs w:val="0"/>
          <w:color w:val="000000" w:themeColor="text1"/>
          <w:lang w:val="es-CO"/>
        </w:rPr>
        <w:t>incumplimiento de la regulación</w:t>
      </w:r>
      <w:r w:rsidR="00B10819" w:rsidRPr="003D20AA">
        <w:rPr>
          <w:rFonts w:cs="Arial"/>
          <w:b/>
          <w:bCs w:val="0"/>
          <w:color w:val="000000" w:themeColor="text1"/>
          <w:lang w:val="es-CO"/>
        </w:rPr>
        <w:t xml:space="preserve"> en la que, en cumplimiento de </w:t>
      </w:r>
      <w:r w:rsidR="00481DC1">
        <w:rPr>
          <w:rFonts w:cs="Arial"/>
          <w:b/>
          <w:bCs w:val="0"/>
          <w:color w:val="000000" w:themeColor="text1"/>
          <w:lang w:val="es-CO"/>
        </w:rPr>
        <w:t>la</w:t>
      </w:r>
      <w:r w:rsidR="00481DC1" w:rsidRPr="003D20AA">
        <w:rPr>
          <w:rFonts w:cs="Arial"/>
          <w:b/>
          <w:bCs w:val="0"/>
          <w:color w:val="000000" w:themeColor="text1"/>
          <w:lang w:val="es-CO"/>
        </w:rPr>
        <w:t xml:space="preserve">s </w:t>
      </w:r>
      <w:r w:rsidR="00B10819" w:rsidRPr="003D20AA">
        <w:rPr>
          <w:rFonts w:cs="Arial"/>
          <w:b/>
          <w:bCs w:val="0"/>
          <w:color w:val="000000" w:themeColor="text1"/>
          <w:lang w:val="es-CO"/>
        </w:rPr>
        <w:t>funciones</w:t>
      </w:r>
      <w:r w:rsidR="00481DC1">
        <w:rPr>
          <w:rFonts w:cs="Arial"/>
          <w:b/>
          <w:bCs w:val="0"/>
          <w:color w:val="000000" w:themeColor="text1"/>
          <w:lang w:val="es-CO"/>
        </w:rPr>
        <w:t xml:space="preserve"> asignadas de Gestor de Mercado</w:t>
      </w:r>
      <w:r w:rsidR="00B10819" w:rsidRPr="003D20AA">
        <w:rPr>
          <w:rFonts w:cs="Arial"/>
          <w:b/>
          <w:bCs w:val="0"/>
          <w:color w:val="000000" w:themeColor="text1"/>
          <w:lang w:val="es-CO"/>
        </w:rPr>
        <w:t>, considere que podría haber incurrido un agente del mercado</w:t>
      </w:r>
      <w:r w:rsidRPr="003D20AA">
        <w:rPr>
          <w:rFonts w:cs="Arial"/>
          <w:b/>
          <w:bCs w:val="0"/>
          <w:color w:val="000000" w:themeColor="text1"/>
          <w:lang w:val="es-CO"/>
        </w:rPr>
        <w:t>.</w:t>
      </w:r>
    </w:p>
    <w:p w14:paraId="3055E4C7" w14:textId="77777777" w:rsidR="0006302B" w:rsidRPr="003D20AA" w:rsidRDefault="0006302B" w:rsidP="0006302B">
      <w:pPr>
        <w:pStyle w:val="ARTICULOS"/>
        <w:numPr>
          <w:ilvl w:val="0"/>
          <w:numId w:val="0"/>
        </w:numPr>
        <w:rPr>
          <w:rFonts w:cs="Arial"/>
          <w:color w:val="000000" w:themeColor="text1"/>
          <w:lang w:val="es-CO"/>
        </w:rPr>
      </w:pPr>
    </w:p>
    <w:p w14:paraId="6A36654E" w14:textId="7591FA89" w:rsidR="0006302B" w:rsidRPr="003D20AA" w:rsidRDefault="0006302B" w:rsidP="0006302B">
      <w:pPr>
        <w:pStyle w:val="ARTICULOS"/>
        <w:numPr>
          <w:ilvl w:val="0"/>
          <w:numId w:val="0"/>
        </w:numPr>
        <w:rPr>
          <w:rFonts w:cs="Arial"/>
          <w:color w:val="000000" w:themeColor="text1"/>
          <w:lang w:val="es-CO"/>
        </w:rPr>
      </w:pPr>
      <w:r w:rsidRPr="003D20AA">
        <w:rPr>
          <w:rFonts w:cs="Arial"/>
          <w:b/>
          <w:color w:val="000000" w:themeColor="text1"/>
          <w:lang w:val="es-CO"/>
        </w:rPr>
        <w:t xml:space="preserve">Parágrafo 4. </w:t>
      </w:r>
      <w:r w:rsidRPr="003D20AA">
        <w:rPr>
          <w:rFonts w:cs="Arial"/>
          <w:color w:val="000000" w:themeColor="text1"/>
          <w:lang w:val="es-CO"/>
        </w:rPr>
        <w:t xml:space="preserve">En la elaboración de los formatos requeridos para la captura de información transaccional y operativa, según lo establecido en el </w:t>
      </w:r>
      <w:r w:rsidRPr="003D20AA">
        <w:rPr>
          <w:rFonts w:cs="Arial"/>
          <w:color w:val="000000" w:themeColor="text1"/>
          <w:lang w:val="es-CO"/>
        </w:rPr>
        <w:fldChar w:fldCharType="begin"/>
      </w:r>
      <w:r w:rsidRPr="003D20AA">
        <w:rPr>
          <w:rFonts w:cs="Arial"/>
          <w:color w:val="000000" w:themeColor="text1"/>
          <w:lang w:val="es-CO"/>
        </w:rPr>
        <w:instrText xml:space="preserve"> REF _Ref55316068 \h </w:instrText>
      </w:r>
      <w:r w:rsidR="003D20AA">
        <w:rPr>
          <w:rFonts w:cs="Arial"/>
          <w:color w:val="000000" w:themeColor="text1"/>
          <w:lang w:val="es-CO"/>
        </w:rPr>
        <w:instrText xml:space="preserve"> \* MERGEFORMAT </w:instrText>
      </w:r>
      <w:r w:rsidRPr="003D20AA">
        <w:rPr>
          <w:rFonts w:cs="Arial"/>
          <w:color w:val="000000" w:themeColor="text1"/>
          <w:lang w:val="es-CO"/>
        </w:rPr>
      </w:r>
      <w:r w:rsidRPr="003D20AA">
        <w:rPr>
          <w:rFonts w:cs="Arial"/>
          <w:color w:val="000000" w:themeColor="text1"/>
          <w:lang w:val="es-CO"/>
        </w:rPr>
        <w:fldChar w:fldCharType="separate"/>
      </w:r>
      <w:r w:rsidR="00636B6A" w:rsidRPr="007E56EE">
        <w:rPr>
          <w:color w:val="000000" w:themeColor="text1"/>
        </w:rPr>
        <w:t xml:space="preserve">Anexo </w:t>
      </w:r>
      <w:r w:rsidR="00636B6A">
        <w:rPr>
          <w:noProof/>
          <w:color w:val="000000" w:themeColor="text1"/>
        </w:rPr>
        <w:t>1</w:t>
      </w:r>
      <w:r w:rsidRPr="003D20AA">
        <w:rPr>
          <w:rFonts w:cs="Arial"/>
          <w:color w:val="000000" w:themeColor="text1"/>
          <w:lang w:val="es-CO"/>
        </w:rPr>
        <w:fldChar w:fldCharType="end"/>
      </w:r>
      <w:r w:rsidRPr="003D20AA">
        <w:rPr>
          <w:rFonts w:cs="Arial"/>
          <w:color w:val="000000" w:themeColor="text1"/>
          <w:lang w:val="es-CO"/>
        </w:rPr>
        <w:t xml:space="preserve"> de esta Resolución y de la Resolución CREG 185 de 2020, o aquellas que lo modifiquen o sustituyan, </w:t>
      </w:r>
      <w:r w:rsidRPr="003D20AA">
        <w:rPr>
          <w:rFonts w:cs="Arial"/>
          <w:lang w:val="es-CO"/>
        </w:rPr>
        <w:t xml:space="preserve">el </w:t>
      </w:r>
      <w:r w:rsidR="0022131A" w:rsidRPr="003D20AA">
        <w:rPr>
          <w:rFonts w:cs="Arial"/>
          <w:lang w:val="es-CO"/>
        </w:rPr>
        <w:t>Gestor</w:t>
      </w:r>
      <w:r w:rsidRPr="003D20AA">
        <w:rPr>
          <w:rFonts w:cs="Arial"/>
          <w:lang w:val="es-CO"/>
        </w:rPr>
        <w:t xml:space="preserve"> del </w:t>
      </w:r>
      <w:r w:rsidRPr="003D20AA">
        <w:rPr>
          <w:rFonts w:cs="Arial"/>
          <w:color w:val="000000" w:themeColor="text1"/>
          <w:lang w:val="es-CO"/>
        </w:rPr>
        <w:t>Mercado podrá apoyarse en el CNOG.</w:t>
      </w:r>
    </w:p>
    <w:p w14:paraId="43D95852" w14:textId="77777777" w:rsidR="0006302B" w:rsidRPr="003D20AA" w:rsidRDefault="0006302B" w:rsidP="0006302B">
      <w:pPr>
        <w:pStyle w:val="ARTICULOS"/>
        <w:numPr>
          <w:ilvl w:val="0"/>
          <w:numId w:val="0"/>
        </w:numPr>
        <w:rPr>
          <w:rFonts w:cs="Arial"/>
          <w:color w:val="000000" w:themeColor="text1"/>
          <w:lang w:val="es-CO"/>
        </w:rPr>
      </w:pPr>
    </w:p>
    <w:p w14:paraId="5DE67445" w14:textId="0EFCE4C4" w:rsidR="0006302B" w:rsidRPr="003D20AA" w:rsidRDefault="0006302B" w:rsidP="00295053">
      <w:pPr>
        <w:ind w:left="0"/>
        <w:jc w:val="both"/>
        <w:rPr>
          <w:rFonts w:ascii="Bookman Old Style" w:hAnsi="Bookman Old Style"/>
          <w:b/>
          <w:bCs/>
        </w:rPr>
      </w:pPr>
      <w:r w:rsidRPr="003D20AA">
        <w:rPr>
          <w:rFonts w:ascii="Bookman Old Style" w:hAnsi="Bookman Old Style"/>
          <w:b/>
          <w:bCs/>
        </w:rPr>
        <w:t xml:space="preserve">Parágrafo </w:t>
      </w:r>
      <w:r w:rsidR="009B3947" w:rsidRPr="003D20AA">
        <w:rPr>
          <w:rFonts w:ascii="Bookman Old Style" w:hAnsi="Bookman Old Style"/>
          <w:b/>
          <w:bCs/>
        </w:rPr>
        <w:t>5</w:t>
      </w:r>
      <w:r w:rsidRPr="003D20AA">
        <w:rPr>
          <w:rFonts w:ascii="Bookman Old Style" w:hAnsi="Bookman Old Style"/>
          <w:b/>
          <w:bCs/>
        </w:rPr>
        <w:t xml:space="preserve">. </w:t>
      </w:r>
      <w:r w:rsidR="00647F14">
        <w:rPr>
          <w:rFonts w:ascii="Bookman Old Style" w:hAnsi="Bookman Old Style"/>
          <w:b/>
          <w:bCs/>
        </w:rPr>
        <w:t xml:space="preserve">El Gestor del Mercado </w:t>
      </w:r>
      <w:r w:rsidRPr="003D20AA">
        <w:rPr>
          <w:rFonts w:ascii="Bookman Old Style" w:hAnsi="Bookman Old Style"/>
          <w:b/>
          <w:bCs/>
        </w:rPr>
        <w:t xml:space="preserve">no </w:t>
      </w:r>
      <w:r w:rsidR="00DA48D1" w:rsidRPr="003D20AA">
        <w:rPr>
          <w:rFonts w:ascii="Bookman Old Style" w:hAnsi="Bookman Old Style"/>
          <w:b/>
          <w:bCs/>
        </w:rPr>
        <w:t xml:space="preserve">podrá registrar los contratos de </w:t>
      </w:r>
      <w:r w:rsidRPr="003D20AA">
        <w:rPr>
          <w:rFonts w:ascii="Bookman Old Style" w:hAnsi="Bookman Old Style"/>
          <w:b/>
          <w:bCs/>
        </w:rPr>
        <w:t>los Participantes del Mercado Mayorista</w:t>
      </w:r>
      <w:r w:rsidR="00375AC3" w:rsidRPr="003D20AA">
        <w:rPr>
          <w:rFonts w:ascii="Bookman Old Style" w:hAnsi="Bookman Old Style"/>
          <w:b/>
          <w:bCs/>
        </w:rPr>
        <w:t xml:space="preserve"> que no </w:t>
      </w:r>
      <w:r w:rsidR="00647F14">
        <w:rPr>
          <w:rFonts w:ascii="Bookman Old Style" w:hAnsi="Bookman Old Style"/>
          <w:b/>
          <w:bCs/>
        </w:rPr>
        <w:t xml:space="preserve">le </w:t>
      </w:r>
      <w:r w:rsidR="00375AC3" w:rsidRPr="003D20AA">
        <w:rPr>
          <w:rFonts w:ascii="Bookman Old Style" w:hAnsi="Bookman Old Style"/>
          <w:b/>
          <w:bCs/>
        </w:rPr>
        <w:t>hayan dado aviso del inicio de sus actividades</w:t>
      </w:r>
      <w:r w:rsidRPr="003D20AA">
        <w:rPr>
          <w:rFonts w:ascii="Bookman Old Style" w:hAnsi="Bookman Old Style"/>
          <w:b/>
          <w:bCs/>
        </w:rPr>
        <w:t>, lo que conlleva a que no puedan ser ejecutados.</w:t>
      </w:r>
    </w:p>
    <w:p w14:paraId="4D6F15E7" w14:textId="39A81A08" w:rsidR="007C3526" w:rsidRPr="003D20AA" w:rsidRDefault="007C3526" w:rsidP="0006302B">
      <w:pPr>
        <w:ind w:left="0"/>
        <w:jc w:val="both"/>
        <w:outlineLvl w:val="0"/>
        <w:rPr>
          <w:rFonts w:ascii="Bookman Old Style" w:hAnsi="Bookman Old Style"/>
          <w:b/>
          <w:bCs/>
        </w:rPr>
      </w:pPr>
    </w:p>
    <w:p w14:paraId="00FB79F4" w14:textId="0E414700" w:rsidR="007C3526" w:rsidRPr="003D20AA" w:rsidRDefault="007C3526" w:rsidP="0006302B">
      <w:pPr>
        <w:ind w:left="0"/>
        <w:jc w:val="both"/>
        <w:outlineLvl w:val="0"/>
        <w:rPr>
          <w:rFonts w:ascii="Bookman Old Style" w:hAnsi="Bookman Old Style"/>
          <w:b/>
          <w:bCs/>
        </w:rPr>
      </w:pPr>
      <w:r w:rsidRPr="003D20AA">
        <w:rPr>
          <w:rFonts w:ascii="Bookman Old Style" w:hAnsi="Bookman Old Style"/>
          <w:b/>
          <w:bCs/>
        </w:rPr>
        <w:t xml:space="preserve">Parágrafo Transitorio. El Gestor del Mercado deberá solicitar </w:t>
      </w:r>
      <w:r w:rsidR="00FC2202" w:rsidRPr="003D20AA">
        <w:rPr>
          <w:rFonts w:ascii="Bookman Old Style" w:hAnsi="Bookman Old Style"/>
          <w:b/>
          <w:bCs/>
        </w:rPr>
        <w:t xml:space="preserve">en el curso de los quince (15) días </w:t>
      </w:r>
      <w:r w:rsidR="006B554F" w:rsidRPr="003D20AA">
        <w:rPr>
          <w:rFonts w:ascii="Bookman Old Style" w:hAnsi="Bookman Old Style"/>
          <w:b/>
          <w:bCs/>
        </w:rPr>
        <w:t xml:space="preserve">hábiles </w:t>
      </w:r>
      <w:r w:rsidR="00FC2202" w:rsidRPr="003D20AA">
        <w:rPr>
          <w:rFonts w:ascii="Bookman Old Style" w:hAnsi="Bookman Old Style"/>
          <w:b/>
          <w:bCs/>
        </w:rPr>
        <w:t xml:space="preserve">siguientes a la fecha de publicación de la presente Resolución, </w:t>
      </w:r>
      <w:r w:rsidRPr="003D20AA">
        <w:rPr>
          <w:rFonts w:ascii="Bookman Old Style" w:hAnsi="Bookman Old Style"/>
          <w:b/>
          <w:bCs/>
        </w:rPr>
        <w:t xml:space="preserve">a cada </w:t>
      </w:r>
      <w:r w:rsidR="00FC2202" w:rsidRPr="003D20AA">
        <w:rPr>
          <w:rFonts w:ascii="Bookman Old Style" w:hAnsi="Bookman Old Style"/>
          <w:b/>
          <w:bCs/>
        </w:rPr>
        <w:t xml:space="preserve">uno de los </w:t>
      </w:r>
      <w:r w:rsidRPr="003D20AA">
        <w:rPr>
          <w:rFonts w:ascii="Bookman Old Style" w:hAnsi="Bookman Old Style"/>
          <w:b/>
          <w:bCs/>
        </w:rPr>
        <w:t>agente</w:t>
      </w:r>
      <w:r w:rsidR="00FC2202" w:rsidRPr="003D20AA">
        <w:rPr>
          <w:rFonts w:ascii="Bookman Old Style" w:hAnsi="Bookman Old Style"/>
          <w:b/>
          <w:bCs/>
        </w:rPr>
        <w:t>s</w:t>
      </w:r>
      <w:r w:rsidRPr="003D20AA">
        <w:rPr>
          <w:rFonts w:ascii="Bookman Old Style" w:hAnsi="Bookman Old Style"/>
          <w:b/>
          <w:bCs/>
        </w:rPr>
        <w:t xml:space="preserve"> </w:t>
      </w:r>
      <w:r w:rsidR="00FC2202" w:rsidRPr="003D20AA">
        <w:rPr>
          <w:rFonts w:ascii="Bookman Old Style" w:hAnsi="Bookman Old Style"/>
          <w:b/>
          <w:bCs/>
        </w:rPr>
        <w:t>que haya</w:t>
      </w:r>
      <w:r w:rsidR="006A77E5" w:rsidRPr="003D20AA">
        <w:rPr>
          <w:rFonts w:ascii="Bookman Old Style" w:hAnsi="Bookman Old Style"/>
          <w:b/>
          <w:bCs/>
        </w:rPr>
        <w:t>n</w:t>
      </w:r>
      <w:r w:rsidR="00FC2202" w:rsidRPr="003D20AA">
        <w:rPr>
          <w:rFonts w:ascii="Bookman Old Style" w:hAnsi="Bookman Old Style"/>
          <w:b/>
          <w:bCs/>
        </w:rPr>
        <w:t xml:space="preserve"> registrado contratos del Mercado Primario previo a dicha fecha de publicación, </w:t>
      </w:r>
      <w:r w:rsidRPr="003D20AA">
        <w:rPr>
          <w:rFonts w:ascii="Bookman Old Style" w:hAnsi="Bookman Old Style"/>
          <w:b/>
          <w:bCs/>
        </w:rPr>
        <w:t xml:space="preserve">que </w:t>
      </w:r>
      <w:r w:rsidR="00FC2202" w:rsidRPr="003D20AA">
        <w:rPr>
          <w:rFonts w:ascii="Bookman Old Style" w:hAnsi="Bookman Old Style"/>
          <w:b/>
          <w:bCs/>
        </w:rPr>
        <w:t>complete la</w:t>
      </w:r>
      <w:r w:rsidRPr="003D20AA">
        <w:rPr>
          <w:rFonts w:ascii="Bookman Old Style" w:hAnsi="Bookman Old Style"/>
          <w:b/>
          <w:bCs/>
        </w:rPr>
        <w:t xml:space="preserve"> </w:t>
      </w:r>
      <w:r w:rsidR="00FC2202" w:rsidRPr="003D20AA">
        <w:rPr>
          <w:rFonts w:ascii="Bookman Old Style" w:hAnsi="Bookman Old Style"/>
          <w:b/>
          <w:bCs/>
        </w:rPr>
        <w:t xml:space="preserve">totalidad de la </w:t>
      </w:r>
      <w:r w:rsidRPr="003D20AA">
        <w:rPr>
          <w:rFonts w:ascii="Bookman Old Style" w:hAnsi="Bookman Old Style"/>
          <w:b/>
          <w:bCs/>
        </w:rPr>
        <w:t>información requerida en el Anexo 1 de la presente</w:t>
      </w:r>
      <w:r w:rsidR="006A77E5" w:rsidRPr="003D20AA">
        <w:rPr>
          <w:rFonts w:ascii="Bookman Old Style" w:hAnsi="Bookman Old Style"/>
          <w:b/>
          <w:bCs/>
        </w:rPr>
        <w:t>,</w:t>
      </w:r>
      <w:r w:rsidR="008E1A9E" w:rsidRPr="003D20AA">
        <w:rPr>
          <w:rFonts w:ascii="Bookman Old Style" w:hAnsi="Bookman Old Style"/>
          <w:b/>
          <w:bCs/>
        </w:rPr>
        <w:t xml:space="preserve"> para cada uno de los contratos registrados</w:t>
      </w:r>
      <w:r w:rsidR="006A77E5" w:rsidRPr="003D20AA">
        <w:rPr>
          <w:rFonts w:ascii="Bookman Old Style" w:hAnsi="Bookman Old Style"/>
          <w:b/>
          <w:bCs/>
        </w:rPr>
        <w:t xml:space="preserve"> </w:t>
      </w:r>
      <w:r w:rsidR="00784482" w:rsidRPr="003D20AA">
        <w:rPr>
          <w:rFonts w:ascii="Bookman Old Style" w:hAnsi="Bookman Old Style"/>
          <w:b/>
          <w:bCs/>
        </w:rPr>
        <w:t>que se encuentran en ejecución actual o futura</w:t>
      </w:r>
      <w:r w:rsidR="008E1A9E" w:rsidRPr="003D20AA">
        <w:rPr>
          <w:rFonts w:ascii="Bookman Old Style" w:hAnsi="Bookman Old Style"/>
          <w:b/>
          <w:bCs/>
        </w:rPr>
        <w:t xml:space="preserve">. </w:t>
      </w:r>
      <w:r w:rsidR="0092401A" w:rsidRPr="003D20AA">
        <w:rPr>
          <w:rFonts w:ascii="Bookman Old Style" w:hAnsi="Bookman Old Style"/>
          <w:b/>
          <w:bCs/>
        </w:rPr>
        <w:t>C</w:t>
      </w:r>
      <w:r w:rsidR="008E1A9E" w:rsidRPr="003D20AA">
        <w:rPr>
          <w:rFonts w:ascii="Bookman Old Style" w:hAnsi="Bookman Old Style"/>
          <w:b/>
          <w:bCs/>
        </w:rPr>
        <w:t xml:space="preserve">ada agente tendrá como plazo para completarla, hasta </w:t>
      </w:r>
      <w:r w:rsidR="0092401A" w:rsidRPr="003D20AA">
        <w:rPr>
          <w:rFonts w:ascii="Bookman Old Style" w:hAnsi="Bookman Old Style"/>
          <w:b/>
          <w:bCs/>
        </w:rPr>
        <w:t xml:space="preserve">máximo </w:t>
      </w:r>
      <w:r w:rsidR="006D1BCC" w:rsidRPr="003D20AA">
        <w:rPr>
          <w:rFonts w:ascii="Bookman Old Style" w:hAnsi="Bookman Old Style"/>
          <w:b/>
          <w:bCs/>
        </w:rPr>
        <w:t>treinta</w:t>
      </w:r>
      <w:r w:rsidR="008E1A9E" w:rsidRPr="003D20AA">
        <w:rPr>
          <w:rFonts w:ascii="Bookman Old Style" w:hAnsi="Bookman Old Style"/>
          <w:b/>
          <w:bCs/>
        </w:rPr>
        <w:t xml:space="preserve"> (</w:t>
      </w:r>
      <w:r w:rsidR="006D1BCC" w:rsidRPr="003D20AA">
        <w:rPr>
          <w:rFonts w:ascii="Bookman Old Style" w:hAnsi="Bookman Old Style"/>
          <w:b/>
          <w:bCs/>
        </w:rPr>
        <w:t>3</w:t>
      </w:r>
      <w:r w:rsidR="008E1A9E" w:rsidRPr="003D20AA">
        <w:rPr>
          <w:rFonts w:ascii="Bookman Old Style" w:hAnsi="Bookman Old Style"/>
          <w:b/>
          <w:bCs/>
        </w:rPr>
        <w:t>0) días</w:t>
      </w:r>
      <w:r w:rsidR="006D1BCC" w:rsidRPr="003D20AA">
        <w:rPr>
          <w:rFonts w:ascii="Bookman Old Style" w:hAnsi="Bookman Old Style"/>
          <w:b/>
          <w:bCs/>
        </w:rPr>
        <w:t xml:space="preserve"> hábiles</w:t>
      </w:r>
      <w:r w:rsidR="006A77E5" w:rsidRPr="003D20AA">
        <w:rPr>
          <w:rFonts w:ascii="Bookman Old Style" w:hAnsi="Bookman Old Style"/>
          <w:b/>
          <w:bCs/>
        </w:rPr>
        <w:t>,</w:t>
      </w:r>
      <w:r w:rsidR="008E1A9E" w:rsidRPr="003D20AA">
        <w:rPr>
          <w:rFonts w:ascii="Bookman Old Style" w:hAnsi="Bookman Old Style"/>
          <w:b/>
          <w:bCs/>
        </w:rPr>
        <w:t xml:space="preserve"> contados a partir de la fecha de</w:t>
      </w:r>
      <w:r w:rsidR="00EA3FCD" w:rsidRPr="003D20AA">
        <w:rPr>
          <w:rFonts w:ascii="Bookman Old Style" w:hAnsi="Bookman Old Style"/>
          <w:b/>
          <w:bCs/>
        </w:rPr>
        <w:t>l requerimiento realizado por el Gestor del Mercado</w:t>
      </w:r>
      <w:r w:rsidR="008E1A9E" w:rsidRPr="003D20AA">
        <w:rPr>
          <w:rFonts w:ascii="Bookman Old Style" w:hAnsi="Bookman Old Style"/>
          <w:b/>
          <w:bCs/>
        </w:rPr>
        <w:t xml:space="preserve">. </w:t>
      </w:r>
      <w:r w:rsidRPr="003D20AA">
        <w:rPr>
          <w:rFonts w:ascii="Bookman Old Style" w:hAnsi="Bookman Old Style"/>
          <w:b/>
          <w:bCs/>
        </w:rPr>
        <w:t xml:space="preserve">  </w:t>
      </w:r>
    </w:p>
    <w:p w14:paraId="6D075BB9" w14:textId="77777777" w:rsidR="0006302B" w:rsidRPr="009D5D24" w:rsidRDefault="0006302B" w:rsidP="0006302B">
      <w:pPr>
        <w:ind w:left="0"/>
        <w:jc w:val="both"/>
        <w:outlineLvl w:val="0"/>
        <w:rPr>
          <w:rFonts w:ascii="Bookman Old Style" w:hAnsi="Bookman Old Style"/>
          <w:b/>
          <w:bCs/>
        </w:rPr>
      </w:pPr>
    </w:p>
    <w:p w14:paraId="4E56AE2F" w14:textId="0C710D95" w:rsidR="0006302B" w:rsidRPr="003D20AA" w:rsidRDefault="0006302B" w:rsidP="0006302B">
      <w:pPr>
        <w:pStyle w:val="ARTICULOS"/>
        <w:tabs>
          <w:tab w:val="clear" w:pos="1559"/>
          <w:tab w:val="left" w:pos="1560"/>
        </w:tabs>
        <w:outlineLvl w:val="0"/>
        <w:rPr>
          <w:rFonts w:cs="Arial"/>
          <w:color w:val="000000" w:themeColor="text1"/>
          <w:lang w:val="es-CO"/>
        </w:rPr>
      </w:pPr>
      <w:bookmarkStart w:id="19" w:name="_Ref329104150"/>
      <w:r w:rsidRPr="0013707D">
        <w:rPr>
          <w:rFonts w:cs="Arial"/>
          <w:b/>
          <w:color w:val="000000" w:themeColor="text1"/>
          <w:lang w:val="es-CO"/>
        </w:rPr>
        <w:t xml:space="preserve">Selección del </w:t>
      </w:r>
      <w:r w:rsidR="0022131A" w:rsidRPr="002D5416">
        <w:rPr>
          <w:rFonts w:cs="Arial"/>
          <w:b/>
          <w:bCs w:val="0"/>
          <w:szCs w:val="22"/>
          <w:u w:color="FF0000"/>
          <w:lang w:val="es-CO"/>
        </w:rPr>
        <w:t>Gestor</w:t>
      </w:r>
      <w:r w:rsidRPr="002D5416">
        <w:rPr>
          <w:rFonts w:cs="Arial"/>
          <w:b/>
          <w:bCs w:val="0"/>
          <w:lang w:val="es-CO"/>
        </w:rPr>
        <w:t xml:space="preserve"> </w:t>
      </w:r>
      <w:r>
        <w:rPr>
          <w:rFonts w:cs="Arial"/>
          <w:b/>
          <w:color w:val="000000" w:themeColor="text1"/>
          <w:lang w:val="es-CO"/>
        </w:rPr>
        <w:t>del Mercado</w:t>
      </w:r>
      <w:r w:rsidRPr="0013707D">
        <w:rPr>
          <w:rFonts w:cs="Arial"/>
          <w:b/>
          <w:color w:val="000000" w:themeColor="text1"/>
          <w:lang w:val="es-CO"/>
        </w:rPr>
        <w:t>.</w:t>
      </w:r>
      <w:r w:rsidRPr="0013707D">
        <w:rPr>
          <w:rFonts w:cs="Arial"/>
          <w:color w:val="000000" w:themeColor="text1"/>
          <w:lang w:val="es-CO"/>
        </w:rPr>
        <w:t xml:space="preserve"> Con la periodicidad que determine la CREG, ésta adelantará un concurso público para seleccionar al </w:t>
      </w:r>
      <w:r w:rsidR="0022131A" w:rsidRPr="002D5416">
        <w:rPr>
          <w:rFonts w:cs="Arial"/>
          <w:szCs w:val="22"/>
          <w:u w:color="FF0000"/>
          <w:lang w:val="es-CO"/>
        </w:rPr>
        <w:t>Gestor</w:t>
      </w:r>
      <w:r w:rsidRPr="002D5416">
        <w:rPr>
          <w:rFonts w:cs="Arial"/>
          <w:lang w:val="es-CO"/>
        </w:rPr>
        <w:t xml:space="preserve"> del </w:t>
      </w:r>
      <w:r>
        <w:rPr>
          <w:rFonts w:cs="Arial"/>
          <w:color w:val="000000" w:themeColor="text1"/>
          <w:lang w:val="es-CO"/>
        </w:rPr>
        <w:t>Mercado</w:t>
      </w:r>
      <w:r w:rsidRPr="0013707D">
        <w:rPr>
          <w:rFonts w:cs="Arial"/>
          <w:color w:val="000000" w:themeColor="text1"/>
          <w:lang w:val="es-CO"/>
        </w:rPr>
        <w:t xml:space="preserve"> que prestará los servicios establecidos en el</w:t>
      </w:r>
      <w:r w:rsidR="00DD53A4">
        <w:rPr>
          <w:rFonts w:cs="Arial"/>
          <w:color w:val="000000" w:themeColor="text1"/>
          <w:lang w:val="es-CO"/>
        </w:rPr>
        <w:t xml:space="preserve"> artículo 5</w:t>
      </w:r>
      <w:r w:rsidRPr="0013707D">
        <w:rPr>
          <w:rFonts w:cs="Arial"/>
          <w:color w:val="000000" w:themeColor="text1"/>
          <w:lang w:val="es-CO"/>
        </w:rPr>
        <w:t xml:space="preserve"> de esta Resolución</w:t>
      </w:r>
      <w:r>
        <w:rPr>
          <w:rFonts w:cs="Arial"/>
          <w:color w:val="000000" w:themeColor="text1"/>
          <w:lang w:val="es-CO"/>
        </w:rPr>
        <w:t xml:space="preserve"> o aquella que la modifique o sustituya</w:t>
      </w:r>
      <w:r w:rsidRPr="0013707D">
        <w:rPr>
          <w:rFonts w:cs="Arial"/>
          <w:color w:val="000000" w:themeColor="text1"/>
          <w:lang w:val="es-CO"/>
        </w:rPr>
        <w:t>. Dicho concurso estará sujeto a los principios de transparencia y selección objetiva</w:t>
      </w:r>
      <w:r w:rsidR="00EA3AD8">
        <w:rPr>
          <w:rFonts w:cs="Arial"/>
          <w:color w:val="000000" w:themeColor="text1"/>
          <w:lang w:val="es-CO"/>
        </w:rPr>
        <w:t>,</w:t>
      </w:r>
      <w:r w:rsidRPr="0013707D">
        <w:rPr>
          <w:rFonts w:cs="Arial"/>
          <w:color w:val="000000" w:themeColor="text1"/>
          <w:lang w:val="es-CO"/>
        </w:rPr>
        <w:t xml:space="preserve"> y a la metodología definida por la CREG en resolución </w:t>
      </w:r>
      <w:r w:rsidRPr="003D20AA">
        <w:rPr>
          <w:rFonts w:cs="Arial"/>
          <w:color w:val="000000" w:themeColor="text1"/>
          <w:lang w:val="es-CO"/>
        </w:rPr>
        <w:t>aparte.</w:t>
      </w:r>
    </w:p>
    <w:p w14:paraId="3A195677" w14:textId="77777777" w:rsidR="00171DC5" w:rsidRPr="003D20AA" w:rsidRDefault="00171DC5" w:rsidP="002D5416">
      <w:pPr>
        <w:pStyle w:val="ARTICULOS"/>
        <w:numPr>
          <w:ilvl w:val="0"/>
          <w:numId w:val="0"/>
        </w:numPr>
        <w:tabs>
          <w:tab w:val="clear" w:pos="1559"/>
          <w:tab w:val="left" w:pos="1560"/>
        </w:tabs>
        <w:outlineLvl w:val="0"/>
        <w:rPr>
          <w:rFonts w:cs="Arial"/>
          <w:b/>
          <w:bCs w:val="0"/>
          <w:color w:val="000000" w:themeColor="text1"/>
          <w:lang w:val="es-CO"/>
        </w:rPr>
      </w:pPr>
    </w:p>
    <w:p w14:paraId="7C28EE76" w14:textId="1A4911F6" w:rsidR="00B12284" w:rsidRPr="003D20AA" w:rsidRDefault="00171DC5" w:rsidP="00B12284">
      <w:pPr>
        <w:pStyle w:val="ARTICULOS"/>
        <w:rPr>
          <w:rFonts w:cs="Arial"/>
          <w:b/>
          <w:bCs w:val="0"/>
          <w:color w:val="000000" w:themeColor="text1"/>
          <w:lang w:val="es-CO"/>
        </w:rPr>
      </w:pPr>
      <w:r w:rsidRPr="003D20AA">
        <w:rPr>
          <w:rFonts w:cs="Arial"/>
          <w:b/>
          <w:color w:val="000000" w:themeColor="text1"/>
          <w:lang w:val="es-CO"/>
        </w:rPr>
        <w:t xml:space="preserve">Remuneración del Gestor del Mercado. </w:t>
      </w:r>
      <w:r w:rsidR="00B12284" w:rsidRPr="003D20AA">
        <w:rPr>
          <w:rFonts w:cs="Arial"/>
          <w:b/>
          <w:bCs w:val="0"/>
          <w:color w:val="000000" w:themeColor="text1"/>
          <w:lang w:val="es-CO"/>
        </w:rPr>
        <w:t xml:space="preserve">La remuneración del Gestor del Mercado se realizará conforme a lo establecido en el </w:t>
      </w:r>
      <w:r w:rsidR="00AB4A5F">
        <w:rPr>
          <w:rFonts w:cs="Arial"/>
          <w:b/>
          <w:bCs w:val="0"/>
          <w:color w:val="000000" w:themeColor="text1"/>
          <w:lang w:val="es-CO"/>
        </w:rPr>
        <w:t>a</w:t>
      </w:r>
      <w:r w:rsidR="00B12284" w:rsidRPr="003D20AA">
        <w:rPr>
          <w:rFonts w:cs="Arial"/>
          <w:b/>
          <w:bCs w:val="0"/>
          <w:color w:val="000000" w:themeColor="text1"/>
          <w:lang w:val="es-CO"/>
        </w:rPr>
        <w:t xml:space="preserve">rtículo 22 </w:t>
      </w:r>
      <w:r w:rsidR="00B12284" w:rsidRPr="003D20AA">
        <w:rPr>
          <w:rFonts w:cs="Arial"/>
          <w:b/>
          <w:bCs w:val="0"/>
          <w:color w:val="000000" w:themeColor="text1"/>
          <w:lang w:val="es-CO"/>
        </w:rPr>
        <w:lastRenderedPageBreak/>
        <w:t>de la Resolución CREG 055 de 2019 o aquella que la modifique o sustituya</w:t>
      </w:r>
      <w:r w:rsidR="0012772E" w:rsidRPr="003D20AA">
        <w:rPr>
          <w:rFonts w:cs="Arial"/>
          <w:b/>
          <w:bCs w:val="0"/>
          <w:color w:val="000000" w:themeColor="text1"/>
          <w:lang w:val="es-CO"/>
        </w:rPr>
        <w:t xml:space="preserve">. Para efectos de lo anterior, los contratos que garanticen firmeza mencionados en dicho </w:t>
      </w:r>
      <w:r w:rsidR="00AB4A5F">
        <w:rPr>
          <w:rFonts w:cs="Arial"/>
          <w:b/>
          <w:bCs w:val="0"/>
          <w:color w:val="000000" w:themeColor="text1"/>
          <w:lang w:val="es-CO"/>
        </w:rPr>
        <w:t>a</w:t>
      </w:r>
      <w:r w:rsidR="0012772E" w:rsidRPr="003D20AA">
        <w:rPr>
          <w:rFonts w:cs="Arial"/>
          <w:b/>
          <w:bCs w:val="0"/>
          <w:color w:val="000000" w:themeColor="text1"/>
          <w:lang w:val="es-CO"/>
        </w:rPr>
        <w:t>rtículo corresponden a todos aquellos que requieren Respaldo Físic</w:t>
      </w:r>
      <w:r w:rsidR="00784482" w:rsidRPr="003D20AA">
        <w:rPr>
          <w:rFonts w:cs="Arial"/>
          <w:b/>
          <w:bCs w:val="0"/>
          <w:color w:val="000000" w:themeColor="text1"/>
          <w:lang w:val="es-CO"/>
        </w:rPr>
        <w:t>o,</w:t>
      </w:r>
      <w:r w:rsidR="0012772E" w:rsidRPr="003D20AA">
        <w:rPr>
          <w:rFonts w:cs="Arial"/>
          <w:b/>
          <w:bCs w:val="0"/>
          <w:color w:val="000000" w:themeColor="text1"/>
          <w:lang w:val="es-CO"/>
        </w:rPr>
        <w:t xml:space="preserve"> de acuerdo con l</w:t>
      </w:r>
      <w:r w:rsidR="00784482" w:rsidRPr="003D20AA">
        <w:rPr>
          <w:rFonts w:cs="Arial"/>
          <w:b/>
          <w:bCs w:val="0"/>
          <w:color w:val="000000" w:themeColor="text1"/>
          <w:lang w:val="es-CO"/>
        </w:rPr>
        <w:t>o establecido en l</w:t>
      </w:r>
      <w:r w:rsidR="0012772E" w:rsidRPr="003D20AA">
        <w:rPr>
          <w:rFonts w:cs="Arial"/>
          <w:b/>
          <w:bCs w:val="0"/>
          <w:color w:val="000000" w:themeColor="text1"/>
          <w:lang w:val="es-CO"/>
        </w:rPr>
        <w:t xml:space="preserve">a presente resolución, incluidos los que lo requieran </w:t>
      </w:r>
      <w:r w:rsidR="00784482" w:rsidRPr="003D20AA">
        <w:rPr>
          <w:rFonts w:cs="Arial"/>
          <w:b/>
          <w:bCs w:val="0"/>
          <w:color w:val="000000" w:themeColor="text1"/>
          <w:lang w:val="es-CO"/>
        </w:rPr>
        <w:t>al dar</w:t>
      </w:r>
      <w:r w:rsidR="0012772E" w:rsidRPr="003D20AA">
        <w:rPr>
          <w:rFonts w:cs="Arial"/>
          <w:b/>
          <w:bCs w:val="0"/>
          <w:color w:val="000000" w:themeColor="text1"/>
          <w:lang w:val="es-CO"/>
        </w:rPr>
        <w:t xml:space="preserve"> aplicación del parágrafo del </w:t>
      </w:r>
      <w:r w:rsidR="009C02E5">
        <w:rPr>
          <w:rFonts w:cs="Arial"/>
          <w:b/>
          <w:bCs w:val="0"/>
          <w:color w:val="000000" w:themeColor="text1"/>
          <w:lang w:val="es-CO"/>
        </w:rPr>
        <w:t>a</w:t>
      </w:r>
      <w:r w:rsidR="0012772E" w:rsidRPr="003D20AA">
        <w:rPr>
          <w:rFonts w:cs="Arial"/>
          <w:b/>
          <w:bCs w:val="0"/>
          <w:color w:val="000000" w:themeColor="text1"/>
          <w:lang w:val="es-CO"/>
        </w:rPr>
        <w:t>rtículo 20 de la presente resolución</w:t>
      </w:r>
      <w:r w:rsidR="00B12284" w:rsidRPr="003D20AA">
        <w:rPr>
          <w:rFonts w:cs="Arial"/>
          <w:b/>
          <w:bCs w:val="0"/>
          <w:color w:val="000000" w:themeColor="text1"/>
          <w:lang w:val="es-CO"/>
        </w:rPr>
        <w:t>.</w:t>
      </w:r>
    </w:p>
    <w:bookmarkEnd w:id="19"/>
    <w:p w14:paraId="6E652327" w14:textId="77777777" w:rsidR="0006302B" w:rsidRPr="003D20AA" w:rsidRDefault="0006302B" w:rsidP="002D5416">
      <w:pPr>
        <w:pStyle w:val="ARTICULOS"/>
        <w:numPr>
          <w:ilvl w:val="0"/>
          <w:numId w:val="0"/>
        </w:numPr>
        <w:outlineLvl w:val="0"/>
        <w:rPr>
          <w:rFonts w:cs="Arial"/>
          <w:color w:val="000000" w:themeColor="text1"/>
          <w:lang w:val="es-CO"/>
        </w:rPr>
      </w:pPr>
    </w:p>
    <w:p w14:paraId="104DA335" w14:textId="7B14184F" w:rsidR="00BD4F58" w:rsidRDefault="00BD4F58">
      <w:pPr>
        <w:pStyle w:val="ARTICULOS"/>
        <w:numPr>
          <w:ilvl w:val="0"/>
          <w:numId w:val="0"/>
        </w:numPr>
        <w:tabs>
          <w:tab w:val="clear" w:pos="1559"/>
          <w:tab w:val="left" w:pos="1560"/>
        </w:tabs>
        <w:outlineLvl w:val="0"/>
        <w:rPr>
          <w:rFonts w:cs="Arial"/>
          <w:color w:val="000000" w:themeColor="text1"/>
          <w:lang w:val="es-CO"/>
        </w:rPr>
      </w:pPr>
      <w:r w:rsidRPr="003D20AA">
        <w:rPr>
          <w:rFonts w:cs="Arial"/>
          <w:color w:val="000000" w:themeColor="text1"/>
          <w:lang w:val="es-CO"/>
        </w:rPr>
        <w:t>Los vendedores podrán incluir este costo en el precio</w:t>
      </w:r>
      <w:r w:rsidRPr="009031F1">
        <w:rPr>
          <w:rFonts w:cs="Arial"/>
          <w:color w:val="000000" w:themeColor="text1"/>
          <w:lang w:val="es-CO"/>
        </w:rPr>
        <w:t xml:space="preserve"> del gas natural, al momento de la suscripción del contrato correspondiente</w:t>
      </w:r>
      <w:r w:rsidR="00784482">
        <w:rPr>
          <w:rFonts w:cs="Arial"/>
          <w:color w:val="000000" w:themeColor="text1"/>
          <w:lang w:val="es-CO"/>
        </w:rPr>
        <w:t>.</w:t>
      </w:r>
    </w:p>
    <w:p w14:paraId="4CF598CB" w14:textId="77777777" w:rsidR="00784482" w:rsidRPr="00BD4F58" w:rsidRDefault="00784482" w:rsidP="002D5416">
      <w:pPr>
        <w:pStyle w:val="ARTICULOS"/>
        <w:numPr>
          <w:ilvl w:val="0"/>
          <w:numId w:val="0"/>
        </w:numPr>
        <w:tabs>
          <w:tab w:val="clear" w:pos="1559"/>
          <w:tab w:val="left" w:pos="1560"/>
        </w:tabs>
        <w:outlineLvl w:val="0"/>
        <w:rPr>
          <w:rFonts w:cs="Arial"/>
          <w:strike/>
          <w:color w:val="000000" w:themeColor="text1"/>
          <w:highlight w:val="red"/>
          <w:lang w:val="es-CO"/>
        </w:rPr>
      </w:pPr>
    </w:p>
    <w:p w14:paraId="0A0FF854" w14:textId="77777777" w:rsidR="0006302B" w:rsidRPr="002D5416" w:rsidRDefault="0006302B" w:rsidP="002D5416">
      <w:pPr>
        <w:ind w:left="0"/>
        <w:rPr>
          <w:rFonts w:ascii="Bookman Old Style" w:hAnsi="Bookman Old Style"/>
          <w:lang w:val="es-CO"/>
        </w:rPr>
      </w:pPr>
    </w:p>
    <w:p w14:paraId="539ADF80" w14:textId="77777777" w:rsidR="0006302B" w:rsidRPr="00BD4F58" w:rsidRDefault="0006302B" w:rsidP="0006302B">
      <w:pPr>
        <w:keepNext/>
        <w:ind w:left="0"/>
        <w:jc w:val="center"/>
        <w:rPr>
          <w:rFonts w:ascii="Bookman Old Style" w:hAnsi="Bookman Old Style" w:cs="Arial"/>
          <w:b/>
          <w:bCs/>
          <w:color w:val="000000" w:themeColor="text1"/>
          <w:lang w:val="es-CO"/>
        </w:rPr>
      </w:pPr>
      <w:r w:rsidRPr="00BD4F58">
        <w:rPr>
          <w:rFonts w:ascii="Bookman Old Style" w:hAnsi="Bookman Old Style" w:cs="Arial"/>
          <w:b/>
          <w:bCs/>
          <w:color w:val="000000" w:themeColor="text1"/>
          <w:lang w:val="es-CO"/>
        </w:rPr>
        <w:t>Título III</w:t>
      </w:r>
    </w:p>
    <w:p w14:paraId="777D04F8"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Aspectos comerciales del mercado primario</w:t>
      </w:r>
    </w:p>
    <w:p w14:paraId="03E9868E" w14:textId="7446353D" w:rsidR="0006302B" w:rsidRPr="0013707D" w:rsidRDefault="0006302B" w:rsidP="0006302B">
      <w:pPr>
        <w:keepNext/>
        <w:ind w:left="0"/>
        <w:jc w:val="center"/>
        <w:rPr>
          <w:rFonts w:ascii="Bookman Old Style" w:hAnsi="Bookman Old Style" w:cs="Arial"/>
          <w:b/>
          <w:bCs/>
          <w:color w:val="000000" w:themeColor="text1"/>
          <w:lang w:val="es-CO"/>
        </w:rPr>
      </w:pPr>
    </w:p>
    <w:p w14:paraId="30DBAAF0"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Capítulo I</w:t>
      </w:r>
    </w:p>
    <w:p w14:paraId="76397940" w14:textId="77777777" w:rsidR="0006302B" w:rsidRPr="0013707D" w:rsidRDefault="0006302B" w:rsidP="0006302B">
      <w:pPr>
        <w:keepNext/>
        <w:ind w:left="0"/>
        <w:jc w:val="center"/>
        <w:rPr>
          <w:rFonts w:ascii="Bookman Old Style" w:hAnsi="Bookman Old Style" w:cs="Arial"/>
          <w:b/>
          <w:bCs/>
          <w:color w:val="000000" w:themeColor="text1"/>
          <w:lang w:val="es-CO"/>
        </w:rPr>
      </w:pPr>
      <w:r>
        <w:rPr>
          <w:rFonts w:ascii="Bookman Old Style" w:hAnsi="Bookman Old Style" w:cs="Arial"/>
          <w:b/>
          <w:bCs/>
          <w:color w:val="000000" w:themeColor="text1"/>
          <w:lang w:val="es-CO"/>
        </w:rPr>
        <w:t xml:space="preserve">Modalidades de </w:t>
      </w:r>
      <w:r w:rsidRPr="0013707D">
        <w:rPr>
          <w:rFonts w:ascii="Bookman Old Style" w:hAnsi="Bookman Old Style" w:cs="Arial"/>
          <w:b/>
          <w:bCs/>
          <w:color w:val="000000" w:themeColor="text1"/>
          <w:lang w:val="es-CO"/>
        </w:rPr>
        <w:t>contratos de suministro</w:t>
      </w:r>
      <w:r>
        <w:rPr>
          <w:rFonts w:ascii="Bookman Old Style" w:hAnsi="Bookman Old Style" w:cs="Arial"/>
          <w:b/>
          <w:bCs/>
          <w:color w:val="000000" w:themeColor="text1"/>
          <w:lang w:val="es-CO"/>
        </w:rPr>
        <w:t xml:space="preserve"> a ser suscritos en el Mercado Primario</w:t>
      </w:r>
      <w:r w:rsidRPr="0013707D">
        <w:rPr>
          <w:rFonts w:ascii="Bookman Old Style" w:hAnsi="Bookman Old Style" w:cs="Arial"/>
          <w:b/>
          <w:bCs/>
          <w:color w:val="000000" w:themeColor="text1"/>
          <w:lang w:val="es-CO"/>
        </w:rPr>
        <w:t xml:space="preserve"> </w:t>
      </w:r>
    </w:p>
    <w:p w14:paraId="15ED71B5" w14:textId="77777777" w:rsidR="0006302B" w:rsidRPr="0013707D" w:rsidRDefault="0006302B" w:rsidP="0006302B">
      <w:pPr>
        <w:pStyle w:val="ARTICULOS"/>
        <w:numPr>
          <w:ilvl w:val="0"/>
          <w:numId w:val="0"/>
        </w:numPr>
        <w:rPr>
          <w:rFonts w:cs="Arial"/>
          <w:color w:val="000000" w:themeColor="text1"/>
          <w:lang w:val="es-CO"/>
        </w:rPr>
      </w:pPr>
    </w:p>
    <w:p w14:paraId="512FDE22" w14:textId="77777777" w:rsidR="0006302B" w:rsidRPr="0013707D" w:rsidRDefault="0006302B" w:rsidP="0006302B">
      <w:pPr>
        <w:pStyle w:val="ARTICULOS"/>
        <w:tabs>
          <w:tab w:val="clear" w:pos="1559"/>
          <w:tab w:val="left" w:pos="1560"/>
        </w:tabs>
        <w:outlineLvl w:val="0"/>
        <w:rPr>
          <w:rFonts w:cs="Arial"/>
          <w:color w:val="000000" w:themeColor="text1"/>
          <w:lang w:val="es-CO"/>
        </w:rPr>
      </w:pPr>
      <w:bookmarkStart w:id="20" w:name="_Ref329182814"/>
      <w:bookmarkStart w:id="21" w:name="_Ref330309470"/>
      <w:r>
        <w:rPr>
          <w:rFonts w:cs="Arial"/>
          <w:b/>
          <w:color w:val="000000" w:themeColor="text1"/>
          <w:lang w:val="es-CO"/>
        </w:rPr>
        <w:t xml:space="preserve">Modalidades de </w:t>
      </w:r>
      <w:r w:rsidRPr="0013707D">
        <w:rPr>
          <w:rFonts w:cs="Arial"/>
          <w:b/>
          <w:color w:val="000000" w:themeColor="text1"/>
          <w:lang w:val="es-CO"/>
        </w:rPr>
        <w:t xml:space="preserve">contratos </w:t>
      </w:r>
      <w:r>
        <w:rPr>
          <w:rFonts w:cs="Arial"/>
          <w:b/>
          <w:color w:val="000000" w:themeColor="text1"/>
          <w:lang w:val="es-CO"/>
        </w:rPr>
        <w:t>de suministro permitidos</w:t>
      </w:r>
      <w:r w:rsidRPr="0013707D">
        <w:rPr>
          <w:rFonts w:cs="Arial"/>
          <w:b/>
          <w:color w:val="000000" w:themeColor="text1"/>
          <w:lang w:val="es-CO"/>
        </w:rPr>
        <w:t>.</w:t>
      </w:r>
      <w:r w:rsidRPr="0013707D">
        <w:rPr>
          <w:rFonts w:cs="Arial"/>
          <w:color w:val="000000" w:themeColor="text1"/>
          <w:lang w:val="es-CO"/>
        </w:rPr>
        <w:t xml:space="preserve"> En el mercado primario sólo podrán pactarse l</w:t>
      </w:r>
      <w:r>
        <w:rPr>
          <w:rFonts w:cs="Arial"/>
          <w:color w:val="000000" w:themeColor="text1"/>
          <w:lang w:val="es-CO"/>
        </w:rPr>
        <w:t>a</w:t>
      </w:r>
      <w:r w:rsidRPr="0013707D">
        <w:rPr>
          <w:rFonts w:cs="Arial"/>
          <w:color w:val="000000" w:themeColor="text1"/>
          <w:lang w:val="es-CO"/>
        </w:rPr>
        <w:t xml:space="preserve">s siguientes </w:t>
      </w:r>
      <w:r>
        <w:rPr>
          <w:rFonts w:cs="Arial"/>
          <w:color w:val="000000" w:themeColor="text1"/>
          <w:lang w:val="es-CO"/>
        </w:rPr>
        <w:t xml:space="preserve">modalidades </w:t>
      </w:r>
      <w:r w:rsidRPr="0013707D">
        <w:rPr>
          <w:rFonts w:cs="Arial"/>
          <w:color w:val="000000" w:themeColor="text1"/>
          <w:lang w:val="es-CO"/>
        </w:rPr>
        <w:t>de contratos</w:t>
      </w:r>
      <w:bookmarkEnd w:id="20"/>
      <w:r w:rsidRPr="0013707D">
        <w:rPr>
          <w:rFonts w:cs="Arial"/>
          <w:color w:val="000000" w:themeColor="text1"/>
          <w:lang w:val="es-CO"/>
        </w:rPr>
        <w:t>:</w:t>
      </w:r>
      <w:bookmarkEnd w:id="21"/>
    </w:p>
    <w:p w14:paraId="34698CBA" w14:textId="77777777" w:rsidR="0006302B" w:rsidRPr="00471707" w:rsidRDefault="0006302B" w:rsidP="0006302B">
      <w:pPr>
        <w:pStyle w:val="ARTICULOS"/>
        <w:numPr>
          <w:ilvl w:val="0"/>
          <w:numId w:val="0"/>
        </w:numPr>
        <w:rPr>
          <w:rFonts w:cs="Arial"/>
          <w:b/>
          <w:bCs w:val="0"/>
          <w:color w:val="000000" w:themeColor="text1"/>
          <w:lang w:val="es-CO"/>
        </w:rPr>
      </w:pPr>
    </w:p>
    <w:p w14:paraId="50489542" w14:textId="77777777" w:rsidR="0006302B" w:rsidRPr="00D66B65" w:rsidRDefault="0006302B" w:rsidP="0006302B">
      <w:pPr>
        <w:pStyle w:val="ARTICULOS"/>
        <w:numPr>
          <w:ilvl w:val="1"/>
          <w:numId w:val="6"/>
        </w:numPr>
        <w:ind w:left="567" w:hanging="567"/>
        <w:rPr>
          <w:color w:val="000000" w:themeColor="text1"/>
          <w:lang w:val="es-CO"/>
        </w:rPr>
      </w:pPr>
      <w:bookmarkStart w:id="22" w:name="_Ref448742454"/>
      <w:bookmarkStart w:id="23" w:name="_Ref329186455"/>
      <w:r w:rsidRPr="00D66B65">
        <w:rPr>
          <w:color w:val="000000" w:themeColor="text1"/>
          <w:lang w:val="es-CO"/>
        </w:rPr>
        <w:t>Contrato de suministro Firme</w:t>
      </w:r>
      <w:bookmarkEnd w:id="22"/>
      <w:r w:rsidRPr="00D66B65">
        <w:rPr>
          <w:color w:val="000000" w:themeColor="text1"/>
          <w:lang w:val="es-CO"/>
        </w:rPr>
        <w:t xml:space="preserve"> al 95%, CF95.</w:t>
      </w:r>
    </w:p>
    <w:p w14:paraId="0B92EF14" w14:textId="77777777" w:rsidR="0006302B" w:rsidRPr="00471707" w:rsidRDefault="0006302B" w:rsidP="0006302B">
      <w:pPr>
        <w:pStyle w:val="ARTICULOS"/>
        <w:numPr>
          <w:ilvl w:val="0"/>
          <w:numId w:val="0"/>
        </w:numPr>
        <w:rPr>
          <w:b/>
          <w:bCs w:val="0"/>
          <w:color w:val="000000" w:themeColor="text1"/>
          <w:lang w:val="es-CO"/>
        </w:rPr>
      </w:pPr>
    </w:p>
    <w:p w14:paraId="0C11D9B0" w14:textId="6F86D364" w:rsidR="0006302B" w:rsidRPr="00F821B5" w:rsidRDefault="00F821B5" w:rsidP="00F821B5">
      <w:pPr>
        <w:pStyle w:val="Prrafodelista"/>
        <w:widowControl w:val="0"/>
        <w:numPr>
          <w:ilvl w:val="0"/>
          <w:numId w:val="92"/>
        </w:numPr>
        <w:tabs>
          <w:tab w:val="left" w:pos="1559"/>
        </w:tabs>
        <w:adjustRightInd w:val="0"/>
        <w:ind w:left="567" w:hanging="567"/>
        <w:jc w:val="both"/>
        <w:textAlignment w:val="baseline"/>
        <w:rPr>
          <w:rFonts w:ascii="Bookman Old Style" w:hAnsi="Bookman Old Style"/>
          <w:b/>
          <w:vanish/>
          <w:color w:val="000000" w:themeColor="text1"/>
          <w:sz w:val="24"/>
          <w:szCs w:val="24"/>
        </w:rPr>
      </w:pPr>
      <w:bookmarkStart w:id="24" w:name="_Ref442880037"/>
      <w:bookmarkStart w:id="25" w:name="_Ref332197804"/>
      <w:bookmarkEnd w:id="23"/>
      <w:r w:rsidRPr="00F821B5">
        <w:rPr>
          <w:rFonts w:ascii="Bookman Old Style" w:hAnsi="Bookman Old Style"/>
          <w:b/>
          <w:color w:val="000000" w:themeColor="text1"/>
          <w:sz w:val="24"/>
          <w:szCs w:val="24"/>
        </w:rPr>
        <w:t>Contrato de suministro Firme al 80%, CF80.</w:t>
      </w:r>
    </w:p>
    <w:p w14:paraId="73E05D4B" w14:textId="77777777" w:rsidR="00F821B5" w:rsidRDefault="00F821B5" w:rsidP="00F821B5">
      <w:pPr>
        <w:pStyle w:val="ARTICULOS"/>
        <w:numPr>
          <w:ilvl w:val="0"/>
          <w:numId w:val="0"/>
        </w:numPr>
        <w:ind w:left="567"/>
        <w:rPr>
          <w:color w:val="000000" w:themeColor="text1"/>
          <w:lang w:val="es-CO"/>
        </w:rPr>
      </w:pPr>
    </w:p>
    <w:p w14:paraId="23D8DD67" w14:textId="4AB3EEE3" w:rsidR="0006302B" w:rsidRPr="00D66B65" w:rsidRDefault="0006302B" w:rsidP="00A4790E">
      <w:pPr>
        <w:pStyle w:val="ARTICULOS"/>
        <w:numPr>
          <w:ilvl w:val="0"/>
          <w:numId w:val="92"/>
        </w:numPr>
        <w:ind w:left="567" w:hanging="567"/>
        <w:rPr>
          <w:color w:val="000000" w:themeColor="text1"/>
          <w:lang w:val="es-CO"/>
        </w:rPr>
      </w:pPr>
      <w:r w:rsidRPr="00D66B65">
        <w:rPr>
          <w:color w:val="000000" w:themeColor="text1"/>
          <w:lang w:val="es-CO"/>
        </w:rPr>
        <w:t>Contrato de suministro de opción de compra de gas contra exportaciones</w:t>
      </w:r>
      <w:r>
        <w:rPr>
          <w:color w:val="000000" w:themeColor="text1"/>
          <w:lang w:val="es-CO"/>
        </w:rPr>
        <w:t>, OCGX</w:t>
      </w:r>
      <w:r w:rsidRPr="00D66B65">
        <w:rPr>
          <w:color w:val="000000" w:themeColor="text1"/>
          <w:lang w:val="es-CO"/>
        </w:rPr>
        <w:t>.</w:t>
      </w:r>
      <w:bookmarkEnd w:id="24"/>
    </w:p>
    <w:p w14:paraId="51B26F31" w14:textId="77777777" w:rsidR="0006302B" w:rsidRPr="00471707" w:rsidRDefault="0006302B" w:rsidP="0006302B">
      <w:pPr>
        <w:pStyle w:val="ARTICULOS"/>
        <w:numPr>
          <w:ilvl w:val="0"/>
          <w:numId w:val="0"/>
        </w:numPr>
        <w:ind w:left="567" w:hanging="567"/>
        <w:rPr>
          <w:b/>
          <w:bCs w:val="0"/>
          <w:color w:val="000000" w:themeColor="text1"/>
          <w:lang w:val="es-CO"/>
        </w:rPr>
      </w:pPr>
    </w:p>
    <w:p w14:paraId="45607C2C" w14:textId="77777777" w:rsidR="0006302B" w:rsidRPr="00D66B65" w:rsidRDefault="0006302B" w:rsidP="00A4790E">
      <w:pPr>
        <w:pStyle w:val="ARTICULOS"/>
        <w:numPr>
          <w:ilvl w:val="0"/>
          <w:numId w:val="92"/>
        </w:numPr>
        <w:ind w:left="567" w:hanging="567"/>
        <w:rPr>
          <w:color w:val="000000" w:themeColor="text1"/>
          <w:lang w:val="es-CO"/>
        </w:rPr>
      </w:pPr>
      <w:bookmarkStart w:id="26" w:name="_Ref442880050"/>
      <w:bookmarkEnd w:id="25"/>
      <w:r w:rsidRPr="00D66B65">
        <w:rPr>
          <w:color w:val="000000" w:themeColor="text1"/>
          <w:lang w:val="es-CO"/>
        </w:rPr>
        <w:t>Contrato de suministro de contingencia</w:t>
      </w:r>
      <w:r>
        <w:rPr>
          <w:color w:val="000000" w:themeColor="text1"/>
          <w:lang w:val="es-CO"/>
        </w:rPr>
        <w:t>, CSC</w:t>
      </w:r>
      <w:r w:rsidRPr="00D66B65">
        <w:rPr>
          <w:color w:val="000000" w:themeColor="text1"/>
          <w:lang w:val="es-CO"/>
        </w:rPr>
        <w:t>.</w:t>
      </w:r>
      <w:bookmarkEnd w:id="26"/>
    </w:p>
    <w:p w14:paraId="218887DE" w14:textId="77777777" w:rsidR="0006302B" w:rsidRPr="00D66B65" w:rsidRDefault="0006302B" w:rsidP="0006302B">
      <w:pPr>
        <w:pStyle w:val="Prrafodelista"/>
        <w:ind w:left="567" w:hanging="567"/>
        <w:rPr>
          <w:rFonts w:ascii="Bookman Old Style" w:hAnsi="Bookman Old Style"/>
          <w:bCs/>
          <w:color w:val="000000" w:themeColor="text1"/>
          <w:sz w:val="24"/>
          <w:szCs w:val="24"/>
        </w:rPr>
      </w:pPr>
    </w:p>
    <w:p w14:paraId="0DD107FF" w14:textId="77777777" w:rsidR="0006302B" w:rsidRPr="00D66B65" w:rsidRDefault="0006302B" w:rsidP="00A4790E">
      <w:pPr>
        <w:pStyle w:val="ARTICULOS"/>
        <w:numPr>
          <w:ilvl w:val="0"/>
          <w:numId w:val="92"/>
        </w:numPr>
        <w:ind w:left="567" w:hanging="567"/>
        <w:rPr>
          <w:color w:val="000000" w:themeColor="text1"/>
          <w:lang w:val="es-CO"/>
        </w:rPr>
      </w:pPr>
      <w:r w:rsidRPr="00D66B65">
        <w:rPr>
          <w:color w:val="000000" w:themeColor="text1"/>
          <w:lang w:val="es-CO"/>
        </w:rPr>
        <w:t>Contrato de suministro con interrupciones</w:t>
      </w:r>
      <w:r>
        <w:rPr>
          <w:color w:val="000000" w:themeColor="text1"/>
          <w:lang w:val="es-CO"/>
        </w:rPr>
        <w:t>, CSI</w:t>
      </w:r>
      <w:r w:rsidRPr="00D66B65">
        <w:rPr>
          <w:color w:val="000000" w:themeColor="text1"/>
          <w:lang w:val="es-CO"/>
        </w:rPr>
        <w:t>.</w:t>
      </w:r>
    </w:p>
    <w:p w14:paraId="272C8BE4" w14:textId="77777777" w:rsidR="0006302B" w:rsidRPr="00D66B65" w:rsidRDefault="0006302B" w:rsidP="0006302B">
      <w:pPr>
        <w:pStyle w:val="Prrafodelista"/>
        <w:ind w:left="567" w:hanging="567"/>
        <w:rPr>
          <w:rFonts w:ascii="Bookman Old Style" w:hAnsi="Bookman Old Style"/>
          <w:bCs/>
          <w:color w:val="000000" w:themeColor="text1"/>
        </w:rPr>
      </w:pPr>
    </w:p>
    <w:p w14:paraId="72FF83E4" w14:textId="6029E97D" w:rsidR="0006302B" w:rsidRPr="00D66B65" w:rsidRDefault="0006302B" w:rsidP="00A4790E">
      <w:pPr>
        <w:pStyle w:val="ARTICULOS"/>
        <w:numPr>
          <w:ilvl w:val="0"/>
          <w:numId w:val="92"/>
        </w:numPr>
        <w:ind w:left="567" w:hanging="567"/>
        <w:rPr>
          <w:color w:val="000000" w:themeColor="text1"/>
          <w:lang w:val="es-CO"/>
        </w:rPr>
      </w:pPr>
      <w:bookmarkStart w:id="27" w:name="_Ref1566126"/>
      <w:r w:rsidRPr="00D66B65">
        <w:rPr>
          <w:color w:val="000000" w:themeColor="text1"/>
          <w:lang w:val="es-CO"/>
        </w:rPr>
        <w:t>Contrato de suministro con firmeza condicionada</w:t>
      </w:r>
      <w:r>
        <w:rPr>
          <w:color w:val="000000" w:themeColor="text1"/>
          <w:lang w:val="es-CO"/>
        </w:rPr>
        <w:t>, CF</w:t>
      </w:r>
      <w:r w:rsidR="007B3F96" w:rsidRPr="00D4238E">
        <w:rPr>
          <w:b/>
          <w:bCs w:val="0"/>
          <w:color w:val="000000" w:themeColor="text1"/>
          <w:lang w:val="es-CO"/>
        </w:rPr>
        <w:t>C</w:t>
      </w:r>
      <w:r w:rsidRPr="00D4238E">
        <w:rPr>
          <w:b/>
          <w:bCs w:val="0"/>
          <w:color w:val="000000" w:themeColor="text1"/>
          <w:lang w:val="es-CO"/>
        </w:rPr>
        <w:t>.</w:t>
      </w:r>
      <w:r w:rsidRPr="00D66B65">
        <w:rPr>
          <w:color w:val="000000" w:themeColor="text1"/>
          <w:lang w:val="es-CO"/>
        </w:rPr>
        <w:t xml:space="preserve"> </w:t>
      </w:r>
      <w:bookmarkEnd w:id="27"/>
    </w:p>
    <w:p w14:paraId="4F73A868" w14:textId="77777777" w:rsidR="0006302B" w:rsidRPr="00D66B65" w:rsidRDefault="0006302B" w:rsidP="0006302B">
      <w:pPr>
        <w:pStyle w:val="ARTICULOS"/>
        <w:numPr>
          <w:ilvl w:val="0"/>
          <w:numId w:val="0"/>
        </w:numPr>
        <w:ind w:left="207" w:hanging="567"/>
        <w:rPr>
          <w:color w:val="000000" w:themeColor="text1"/>
          <w:lang w:val="es-CO"/>
        </w:rPr>
      </w:pPr>
    </w:p>
    <w:p w14:paraId="23106AE2" w14:textId="105ABFCD" w:rsidR="0006302B" w:rsidRPr="003D20AA" w:rsidRDefault="0006302B" w:rsidP="00A4790E">
      <w:pPr>
        <w:pStyle w:val="ARTICULOS"/>
        <w:numPr>
          <w:ilvl w:val="0"/>
          <w:numId w:val="92"/>
        </w:numPr>
        <w:ind w:left="567" w:hanging="567"/>
        <w:rPr>
          <w:color w:val="000000" w:themeColor="text1"/>
          <w:lang w:val="es-CO"/>
        </w:rPr>
      </w:pPr>
      <w:bookmarkStart w:id="28" w:name="_Ref1566099"/>
      <w:r w:rsidRPr="003D20AA">
        <w:rPr>
          <w:color w:val="000000" w:themeColor="text1"/>
          <w:lang w:val="es-CO"/>
        </w:rPr>
        <w:t>Contrato de suministro de opción de compra de gas</w:t>
      </w:r>
      <w:bookmarkEnd w:id="28"/>
      <w:r w:rsidR="00EA3AD8" w:rsidRPr="003D20AA">
        <w:rPr>
          <w:color w:val="000000" w:themeColor="text1"/>
          <w:lang w:val="es-CO"/>
        </w:rPr>
        <w:t xml:space="preserve">, OCG. </w:t>
      </w:r>
    </w:p>
    <w:p w14:paraId="603555A8" w14:textId="77777777" w:rsidR="00C71383" w:rsidRPr="003D20AA" w:rsidRDefault="00C71383">
      <w:pPr>
        <w:pStyle w:val="ARTICULOS"/>
        <w:numPr>
          <w:ilvl w:val="0"/>
          <w:numId w:val="0"/>
        </w:numPr>
        <w:rPr>
          <w:rFonts w:cs="Arial"/>
          <w:b/>
          <w:bCs w:val="0"/>
          <w:color w:val="000000" w:themeColor="text1"/>
          <w:lang w:val="es-CO"/>
        </w:rPr>
      </w:pPr>
    </w:p>
    <w:p w14:paraId="47E1366B" w14:textId="0547F486" w:rsidR="0006302B" w:rsidRPr="003D20AA" w:rsidRDefault="0020459A" w:rsidP="006461EF">
      <w:pPr>
        <w:pStyle w:val="ARTICULOS"/>
        <w:numPr>
          <w:ilvl w:val="0"/>
          <w:numId w:val="0"/>
        </w:numPr>
        <w:rPr>
          <w:rFonts w:cs="Arial"/>
          <w:b/>
          <w:bCs w:val="0"/>
          <w:color w:val="000000" w:themeColor="text1"/>
          <w:lang w:val="es-CO"/>
        </w:rPr>
      </w:pPr>
      <w:r w:rsidRPr="003D20AA">
        <w:rPr>
          <w:rFonts w:cs="Arial"/>
          <w:b/>
          <w:bCs w:val="0"/>
          <w:color w:val="000000" w:themeColor="text1"/>
          <w:lang w:val="es-CO"/>
        </w:rPr>
        <w:t xml:space="preserve">Los contratos que garanticen firmeza serán los que corresponden a los </w:t>
      </w:r>
      <w:r w:rsidR="00D04DC1" w:rsidRPr="003D20AA">
        <w:rPr>
          <w:rFonts w:cs="Arial"/>
          <w:b/>
          <w:bCs w:val="0"/>
          <w:color w:val="000000" w:themeColor="text1"/>
          <w:lang w:val="es-CO"/>
        </w:rPr>
        <w:t xml:space="preserve">mencionados en los </w:t>
      </w:r>
      <w:r w:rsidRPr="003D20AA">
        <w:rPr>
          <w:rFonts w:cs="Arial"/>
          <w:b/>
          <w:bCs w:val="0"/>
          <w:color w:val="000000" w:themeColor="text1"/>
          <w:lang w:val="es-CO"/>
        </w:rPr>
        <w:t xml:space="preserve">numerales 1, 2, 3, 4, 6 y 7. Asimismo, corresponderán a aquellos que </w:t>
      </w:r>
      <w:r w:rsidR="00917894" w:rsidRPr="003D20AA">
        <w:rPr>
          <w:rFonts w:cs="Arial"/>
          <w:b/>
          <w:bCs w:val="0"/>
          <w:color w:val="000000" w:themeColor="text1"/>
          <w:lang w:val="es-CO"/>
        </w:rPr>
        <w:t xml:space="preserve">contengan cantidades </w:t>
      </w:r>
      <w:r w:rsidR="00C71383" w:rsidRPr="003D20AA">
        <w:rPr>
          <w:rFonts w:cs="Arial"/>
          <w:b/>
          <w:bCs w:val="0"/>
          <w:color w:val="000000" w:themeColor="text1"/>
          <w:lang w:val="es-CO"/>
        </w:rPr>
        <w:t>de tipo firme</w:t>
      </w:r>
      <w:r w:rsidR="00917894" w:rsidRPr="003D20AA">
        <w:rPr>
          <w:rFonts w:cs="Arial"/>
          <w:b/>
          <w:bCs w:val="0"/>
          <w:color w:val="000000" w:themeColor="text1"/>
          <w:lang w:val="es-CO"/>
        </w:rPr>
        <w:t>,</w:t>
      </w:r>
      <w:r w:rsidR="00C71383" w:rsidRPr="003D20AA">
        <w:rPr>
          <w:rFonts w:cs="Arial"/>
          <w:b/>
          <w:bCs w:val="0"/>
          <w:color w:val="000000" w:themeColor="text1"/>
          <w:lang w:val="es-CO"/>
        </w:rPr>
        <w:t xml:space="preserve"> </w:t>
      </w:r>
      <w:r w:rsidR="00EC2EE4" w:rsidRPr="003D20AA">
        <w:rPr>
          <w:rFonts w:cs="Arial"/>
          <w:b/>
          <w:bCs w:val="0"/>
          <w:color w:val="000000" w:themeColor="text1"/>
          <w:lang w:val="es-CO"/>
        </w:rPr>
        <w:t xml:space="preserve">en contratos suscritos </w:t>
      </w:r>
      <w:r w:rsidRPr="003D20AA">
        <w:rPr>
          <w:rFonts w:cs="Arial"/>
          <w:b/>
          <w:bCs w:val="0"/>
          <w:color w:val="000000" w:themeColor="text1"/>
          <w:lang w:val="es-CO"/>
        </w:rPr>
        <w:t>en virtud de lo establecido en el parágrafo del artículo 20 de la presente resolución.</w:t>
      </w:r>
    </w:p>
    <w:p w14:paraId="6FDEF367" w14:textId="41CCD10D" w:rsidR="0020459A" w:rsidRPr="003D20AA" w:rsidRDefault="0020459A" w:rsidP="0006302B">
      <w:pPr>
        <w:pStyle w:val="ARTICULOS"/>
        <w:numPr>
          <w:ilvl w:val="0"/>
          <w:numId w:val="0"/>
        </w:numPr>
        <w:ind w:left="426" w:hanging="426"/>
        <w:rPr>
          <w:rFonts w:cs="Arial"/>
          <w:color w:val="000000" w:themeColor="text1"/>
          <w:lang w:val="es-CO"/>
        </w:rPr>
      </w:pPr>
    </w:p>
    <w:p w14:paraId="25F18A4E" w14:textId="4073C4EE" w:rsidR="0006302B" w:rsidRPr="003D20AA" w:rsidRDefault="0006302B" w:rsidP="0006302B">
      <w:pPr>
        <w:pStyle w:val="ARTICULOS"/>
        <w:numPr>
          <w:ilvl w:val="0"/>
          <w:numId w:val="0"/>
        </w:numPr>
        <w:tabs>
          <w:tab w:val="clear" w:pos="1559"/>
          <w:tab w:val="left" w:pos="1560"/>
        </w:tabs>
        <w:rPr>
          <w:rFonts w:cs="Arial"/>
          <w:b/>
          <w:color w:val="000000" w:themeColor="text1"/>
          <w:lang w:val="es-CO"/>
        </w:rPr>
      </w:pPr>
      <w:r w:rsidRPr="003D20AA">
        <w:rPr>
          <w:rFonts w:cs="Arial"/>
          <w:b/>
          <w:color w:val="000000" w:themeColor="text1"/>
          <w:lang w:val="es-CO"/>
        </w:rPr>
        <w:t xml:space="preserve">Parágrafo 1. </w:t>
      </w:r>
      <w:r w:rsidRPr="003D20AA">
        <w:rPr>
          <w:rFonts w:cs="Arial"/>
          <w:bCs w:val="0"/>
          <w:color w:val="000000" w:themeColor="text1"/>
          <w:lang w:val="es-CO"/>
        </w:rPr>
        <w:t>Los contratos de suministro de gas que estén en</w:t>
      </w:r>
      <w:r w:rsidRPr="003D20AA">
        <w:rPr>
          <w:rFonts w:cs="Arial"/>
          <w:b/>
          <w:color w:val="000000" w:themeColor="text1"/>
          <w:lang w:val="es-CO"/>
        </w:rPr>
        <w:t xml:space="preserve"> ejecución </w:t>
      </w:r>
      <w:r w:rsidRPr="003D20AA">
        <w:rPr>
          <w:rFonts w:cs="Arial"/>
          <w:bCs w:val="0"/>
          <w:color w:val="000000" w:themeColor="text1"/>
          <w:lang w:val="es-CO"/>
        </w:rPr>
        <w:t xml:space="preserve">a la entrada en vigencia de la presente Resolución, </w:t>
      </w:r>
      <w:r w:rsidRPr="003D20AA">
        <w:rPr>
          <w:rFonts w:cs="Arial"/>
          <w:b/>
          <w:color w:val="000000" w:themeColor="text1"/>
          <w:lang w:val="es-CO"/>
        </w:rPr>
        <w:t xml:space="preserve">incluidos los Contratos de Suministro Firme o </w:t>
      </w:r>
      <w:proofErr w:type="spellStart"/>
      <w:r w:rsidRPr="003D20AA">
        <w:rPr>
          <w:rFonts w:cs="Arial"/>
          <w:b/>
          <w:color w:val="000000" w:themeColor="text1"/>
          <w:lang w:val="es-CO"/>
        </w:rPr>
        <w:t>Take</w:t>
      </w:r>
      <w:proofErr w:type="spellEnd"/>
      <w:r w:rsidRPr="003D20AA">
        <w:rPr>
          <w:rFonts w:cs="Arial"/>
          <w:b/>
          <w:color w:val="000000" w:themeColor="text1"/>
          <w:lang w:val="es-CO"/>
        </w:rPr>
        <w:t xml:space="preserve"> </w:t>
      </w:r>
      <w:proofErr w:type="spellStart"/>
      <w:r w:rsidRPr="003D20AA">
        <w:rPr>
          <w:rFonts w:cs="Arial"/>
          <w:b/>
          <w:color w:val="000000" w:themeColor="text1"/>
          <w:lang w:val="es-CO"/>
        </w:rPr>
        <w:t>or</w:t>
      </w:r>
      <w:proofErr w:type="spellEnd"/>
      <w:r w:rsidRPr="003D20AA">
        <w:rPr>
          <w:rFonts w:cs="Arial"/>
          <w:b/>
          <w:color w:val="000000" w:themeColor="text1"/>
          <w:lang w:val="es-CO"/>
        </w:rPr>
        <w:t xml:space="preserve"> </w:t>
      </w:r>
      <w:proofErr w:type="spellStart"/>
      <w:r w:rsidRPr="003D20AA">
        <w:rPr>
          <w:rFonts w:cs="Arial"/>
          <w:b/>
          <w:color w:val="000000" w:themeColor="text1"/>
          <w:lang w:val="es-CO"/>
        </w:rPr>
        <w:t>Pay</w:t>
      </w:r>
      <w:proofErr w:type="spellEnd"/>
      <w:r w:rsidRPr="003D20AA">
        <w:rPr>
          <w:rFonts w:cs="Arial"/>
          <w:b/>
          <w:color w:val="000000" w:themeColor="text1"/>
          <w:lang w:val="es-CO"/>
        </w:rPr>
        <w:t xml:space="preserve"> suscritos antes de la entrada en vigencia de la Resolución CREG 089 de 2013,</w:t>
      </w:r>
      <w:r w:rsidRPr="003D20AA">
        <w:rPr>
          <w:rFonts w:cs="Arial"/>
          <w:bCs w:val="0"/>
          <w:color w:val="000000" w:themeColor="text1"/>
          <w:lang w:val="es-CO"/>
        </w:rPr>
        <w:t xml:space="preserve"> continuarán rigiendo hasta la fecha de terminación pactada en los mismos.</w:t>
      </w:r>
      <w:r w:rsidRPr="003D20AA">
        <w:rPr>
          <w:rFonts w:cs="Arial"/>
          <w:b/>
          <w:color w:val="000000" w:themeColor="text1"/>
          <w:lang w:val="es-CO"/>
        </w:rPr>
        <w:t xml:space="preserve"> Sin perjuicio de lo anterior,</w:t>
      </w:r>
      <w:r w:rsidRPr="003D20AA">
        <w:rPr>
          <w:rFonts w:cs="Arial"/>
          <w:bCs w:val="0"/>
          <w:color w:val="000000" w:themeColor="text1"/>
          <w:lang w:val="es-CO"/>
        </w:rPr>
        <w:t xml:space="preserve"> </w:t>
      </w:r>
      <w:r w:rsidRPr="000A17B3">
        <w:rPr>
          <w:rFonts w:cs="Arial"/>
          <w:b/>
          <w:color w:val="000000" w:themeColor="text1"/>
          <w:lang w:val="es-CO"/>
        </w:rPr>
        <w:t>las partes no podrán prorrogar su vigencia</w:t>
      </w:r>
      <w:r w:rsidR="00675803" w:rsidRPr="000A17B3">
        <w:rPr>
          <w:rFonts w:cs="Arial"/>
          <w:b/>
          <w:color w:val="000000" w:themeColor="text1"/>
          <w:lang w:val="es-CO"/>
        </w:rPr>
        <w:t xml:space="preserve"> </w:t>
      </w:r>
      <w:r w:rsidR="00675803" w:rsidRPr="00295053">
        <w:rPr>
          <w:rFonts w:cs="Arial"/>
          <w:b/>
          <w:color w:val="000000" w:themeColor="text1"/>
          <w:lang w:val="es-CO"/>
        </w:rPr>
        <w:t xml:space="preserve">sin excepción </w:t>
      </w:r>
      <w:r w:rsidR="00FB1E7A">
        <w:rPr>
          <w:rFonts w:cs="Arial"/>
          <w:b/>
          <w:color w:val="000000" w:themeColor="text1"/>
          <w:lang w:val="es-CO"/>
        </w:rPr>
        <w:t>al</w:t>
      </w:r>
      <w:r w:rsidR="00675803" w:rsidRPr="00295053">
        <w:rPr>
          <w:rFonts w:cs="Arial"/>
          <w:b/>
          <w:color w:val="000000" w:themeColor="text1"/>
          <w:lang w:val="es-CO"/>
        </w:rPr>
        <w:t>guna</w:t>
      </w:r>
      <w:r w:rsidR="00EC2EE4" w:rsidRPr="003D20AA">
        <w:rPr>
          <w:rFonts w:cs="Arial"/>
          <w:bCs w:val="0"/>
          <w:color w:val="000000" w:themeColor="text1"/>
          <w:lang w:val="es-CO"/>
        </w:rPr>
        <w:t>.</w:t>
      </w:r>
      <w:r w:rsidRPr="003D20AA">
        <w:rPr>
          <w:rFonts w:cs="Arial"/>
          <w:bCs w:val="0"/>
          <w:color w:val="000000" w:themeColor="text1"/>
          <w:lang w:val="es-CO"/>
        </w:rPr>
        <w:t xml:space="preserve"> </w:t>
      </w:r>
    </w:p>
    <w:p w14:paraId="3E53873C" w14:textId="77777777" w:rsidR="0006302B" w:rsidRPr="003D20AA" w:rsidRDefault="0006302B" w:rsidP="0006302B">
      <w:pPr>
        <w:pStyle w:val="ARTICULOS"/>
        <w:numPr>
          <w:ilvl w:val="0"/>
          <w:numId w:val="0"/>
        </w:numPr>
        <w:tabs>
          <w:tab w:val="clear" w:pos="1559"/>
          <w:tab w:val="left" w:pos="1560"/>
        </w:tabs>
        <w:rPr>
          <w:rFonts w:cs="Arial"/>
          <w:color w:val="000000" w:themeColor="text1"/>
          <w:lang w:val="es-CO"/>
        </w:rPr>
      </w:pPr>
    </w:p>
    <w:p w14:paraId="09EA8DCB" w14:textId="75C414F3" w:rsidR="0006302B" w:rsidRPr="003D20AA" w:rsidRDefault="005C726B" w:rsidP="002D5416">
      <w:pPr>
        <w:pStyle w:val="ARTICULOS"/>
        <w:numPr>
          <w:ilvl w:val="0"/>
          <w:numId w:val="0"/>
        </w:numPr>
        <w:tabs>
          <w:tab w:val="clear" w:pos="1559"/>
          <w:tab w:val="left" w:pos="1560"/>
        </w:tabs>
        <w:rPr>
          <w:rFonts w:cs="Arial"/>
          <w:b/>
          <w:bCs w:val="0"/>
          <w:color w:val="000000" w:themeColor="text1"/>
          <w:lang w:val="es-CO"/>
        </w:rPr>
      </w:pPr>
      <w:r w:rsidRPr="003D20AA">
        <w:rPr>
          <w:rFonts w:cs="Arial"/>
          <w:b/>
          <w:lang w:val="es-CO"/>
        </w:rPr>
        <w:t xml:space="preserve">Parágrafo 2. </w:t>
      </w:r>
      <w:r w:rsidR="0006302B" w:rsidRPr="003D20AA">
        <w:rPr>
          <w:rFonts w:cs="Arial"/>
          <w:b/>
          <w:bCs w:val="0"/>
          <w:color w:val="000000" w:themeColor="text1"/>
          <w:lang w:val="es-CO"/>
        </w:rPr>
        <w:t>Los productores-comercializadores cuya participación en un contrato de asociación o en un contrato de exploración y producción finalice en una fecha anterior a un 30 de noviembre</w:t>
      </w:r>
      <w:r w:rsidR="00EA3AD8" w:rsidRPr="003D20AA">
        <w:rPr>
          <w:rFonts w:cs="Arial"/>
          <w:b/>
          <w:bCs w:val="0"/>
          <w:color w:val="000000" w:themeColor="text1"/>
          <w:lang w:val="es-CO"/>
        </w:rPr>
        <w:t>,</w:t>
      </w:r>
      <w:r w:rsidR="0006302B" w:rsidRPr="003D20AA">
        <w:rPr>
          <w:rFonts w:cs="Arial"/>
          <w:b/>
          <w:bCs w:val="0"/>
          <w:color w:val="000000" w:themeColor="text1"/>
          <w:lang w:val="es-CO"/>
        </w:rPr>
        <w:t xml:space="preserve"> podrán comercializar el gas natural que les corresponde </w:t>
      </w:r>
      <w:r w:rsidR="0006302B" w:rsidRPr="003D20AA">
        <w:rPr>
          <w:b/>
          <w:bCs w:val="0"/>
          <w:color w:val="000000" w:themeColor="text1"/>
          <w:lang w:val="es-CO"/>
        </w:rPr>
        <w:t>mediante negociaciones directas</w:t>
      </w:r>
      <w:r w:rsidR="0006302B" w:rsidRPr="003D20AA">
        <w:rPr>
          <w:rFonts w:cs="Arial"/>
          <w:b/>
          <w:bCs w:val="0"/>
          <w:color w:val="000000" w:themeColor="text1"/>
          <w:lang w:val="es-CO"/>
        </w:rPr>
        <w:t xml:space="preserve"> con </w:t>
      </w:r>
      <w:r w:rsidR="0006302B" w:rsidRPr="003D20AA">
        <w:rPr>
          <w:rFonts w:cs="Arial"/>
          <w:b/>
          <w:bCs w:val="0"/>
          <w:color w:val="000000" w:themeColor="text1"/>
          <w:lang w:val="es-CO"/>
        </w:rPr>
        <w:lastRenderedPageBreak/>
        <w:t xml:space="preserve">otros productores-comercializadores o con los compradores a los que se hace referencia en el </w:t>
      </w:r>
      <w:r w:rsidR="002112DC">
        <w:rPr>
          <w:rFonts w:cs="Arial"/>
          <w:b/>
          <w:bCs w:val="0"/>
          <w:color w:val="000000" w:themeColor="text1"/>
          <w:lang w:val="es-CO"/>
        </w:rPr>
        <w:t>a</w:t>
      </w:r>
      <w:r w:rsidR="00660387">
        <w:rPr>
          <w:rFonts w:cs="Arial"/>
          <w:b/>
          <w:bCs w:val="0"/>
          <w:color w:val="000000" w:themeColor="text1"/>
          <w:lang w:val="es-CO"/>
        </w:rPr>
        <w:t>rtículo 17</w:t>
      </w:r>
      <w:r w:rsidR="0006302B" w:rsidRPr="003D20AA">
        <w:rPr>
          <w:rFonts w:cs="Arial"/>
          <w:b/>
          <w:bCs w:val="0"/>
          <w:color w:val="000000" w:themeColor="text1"/>
          <w:lang w:val="es-CO"/>
        </w:rPr>
        <w:t xml:space="preserve"> de esta Resolución. Estas negociaciones deberán tener como fecha de inicio de la obligación de entrega el </w:t>
      </w:r>
      <w:r w:rsidR="00ED05E1" w:rsidRPr="003D20AA">
        <w:rPr>
          <w:rFonts w:cs="Arial"/>
          <w:b/>
          <w:bCs w:val="0"/>
          <w:color w:val="000000" w:themeColor="text1"/>
          <w:lang w:val="es-CO"/>
        </w:rPr>
        <w:t>1 de diciembre</w:t>
      </w:r>
      <w:r w:rsidR="0006302B" w:rsidRPr="003D20AA">
        <w:rPr>
          <w:rFonts w:cs="Arial"/>
          <w:b/>
          <w:bCs w:val="0"/>
          <w:color w:val="000000" w:themeColor="text1"/>
          <w:lang w:val="es-CO"/>
        </w:rPr>
        <w:t xml:space="preserve"> inmediatamente anterior a la fecha de finalización de la participación en el respectivo contrato de asociación o de exploración y producción, y deberán tener como fecha de terminación de la obligación de entrega la fecha de finalización de la participación en el respectivo contrato de asociación o de exploración y producción. En este caso, no aplica</w:t>
      </w:r>
      <w:r w:rsidR="00CD7745" w:rsidRPr="003D20AA">
        <w:rPr>
          <w:rFonts w:cs="Arial"/>
          <w:b/>
          <w:bCs w:val="0"/>
          <w:color w:val="000000" w:themeColor="text1"/>
          <w:lang w:val="es-CO"/>
        </w:rPr>
        <w:t>rá</w:t>
      </w:r>
      <w:r w:rsidR="0006302B" w:rsidRPr="003D20AA">
        <w:rPr>
          <w:rFonts w:cs="Arial"/>
          <w:b/>
          <w:bCs w:val="0"/>
          <w:color w:val="000000" w:themeColor="text1"/>
          <w:lang w:val="es-CO"/>
        </w:rPr>
        <w:t xml:space="preserve"> las disposiciones </w:t>
      </w:r>
      <w:r w:rsidR="00CD7745" w:rsidRPr="003D20AA">
        <w:rPr>
          <w:rFonts w:cs="Arial"/>
          <w:b/>
          <w:bCs w:val="0"/>
          <w:color w:val="000000" w:themeColor="text1"/>
          <w:lang w:val="es-CO"/>
        </w:rPr>
        <w:t xml:space="preserve">sobre comercialización conjunta de que trata </w:t>
      </w:r>
      <w:r w:rsidR="0006302B" w:rsidRPr="003D20AA">
        <w:rPr>
          <w:rFonts w:cs="Arial"/>
          <w:b/>
          <w:bCs w:val="0"/>
          <w:color w:val="000000" w:themeColor="text1"/>
          <w:lang w:val="es-CO"/>
        </w:rPr>
        <w:t>la Resolución CREG 093 de 2006 o aquella que la modifique, complemente o sustituya.</w:t>
      </w:r>
    </w:p>
    <w:p w14:paraId="064E5C7F" w14:textId="77777777" w:rsidR="0006302B" w:rsidRPr="003D20AA" w:rsidRDefault="0006302B" w:rsidP="0006302B">
      <w:pPr>
        <w:pStyle w:val="ARTICULOS"/>
        <w:numPr>
          <w:ilvl w:val="0"/>
          <w:numId w:val="0"/>
        </w:numPr>
        <w:rPr>
          <w:rFonts w:cs="Arial"/>
          <w:color w:val="000000" w:themeColor="text1"/>
          <w:lang w:val="es-CO"/>
        </w:rPr>
      </w:pPr>
    </w:p>
    <w:p w14:paraId="073F2D03" w14:textId="5DCD04E4" w:rsidR="0006302B" w:rsidRPr="003D20AA" w:rsidRDefault="0006302B" w:rsidP="0006302B">
      <w:pPr>
        <w:pStyle w:val="ARTICULOS"/>
        <w:numPr>
          <w:ilvl w:val="0"/>
          <w:numId w:val="0"/>
        </w:numPr>
        <w:rPr>
          <w:rFonts w:cs="Arial"/>
          <w:color w:val="000000" w:themeColor="text1"/>
          <w:lang w:val="es-CO"/>
        </w:rPr>
      </w:pPr>
      <w:r w:rsidRPr="003D20AA">
        <w:rPr>
          <w:rFonts w:cs="Arial"/>
          <w:b/>
          <w:color w:val="000000" w:themeColor="text1"/>
          <w:lang w:val="es-CO"/>
        </w:rPr>
        <w:t xml:space="preserve">Parágrafo </w:t>
      </w:r>
      <w:r w:rsidR="005C726B" w:rsidRPr="003D20AA">
        <w:rPr>
          <w:rFonts w:cs="Arial"/>
          <w:b/>
          <w:color w:val="000000" w:themeColor="text1"/>
          <w:lang w:val="es-CO"/>
        </w:rPr>
        <w:t>3</w:t>
      </w:r>
      <w:r w:rsidRPr="003D20AA">
        <w:rPr>
          <w:rFonts w:cs="Arial"/>
          <w:b/>
          <w:color w:val="000000" w:themeColor="text1"/>
          <w:lang w:val="es-CO"/>
        </w:rPr>
        <w:t xml:space="preserve">. </w:t>
      </w:r>
      <w:r w:rsidRPr="003D20AA">
        <w:rPr>
          <w:rFonts w:cs="Arial"/>
          <w:color w:val="000000" w:themeColor="text1"/>
          <w:lang w:val="es-CO"/>
        </w:rPr>
        <w:t>A</w:t>
      </w:r>
      <w:r w:rsidRPr="003D20AA">
        <w:rPr>
          <w:rFonts w:cs="Arial"/>
          <w:b/>
          <w:color w:val="000000" w:themeColor="text1"/>
          <w:lang w:val="es-CO"/>
        </w:rPr>
        <w:t xml:space="preserve"> </w:t>
      </w:r>
      <w:r w:rsidRPr="003D20AA">
        <w:rPr>
          <w:rFonts w:cs="Arial"/>
          <w:color w:val="000000" w:themeColor="text1"/>
          <w:lang w:val="es-CO"/>
        </w:rPr>
        <w:t>partir de la entrada en vigencia de la presente Resolución</w:t>
      </w:r>
      <w:r w:rsidR="00EA3AD8" w:rsidRPr="003D20AA">
        <w:rPr>
          <w:rFonts w:cs="Arial"/>
          <w:color w:val="000000" w:themeColor="text1"/>
          <w:lang w:val="es-CO"/>
        </w:rPr>
        <w:t>,</w:t>
      </w:r>
      <w:r w:rsidRPr="003D20AA">
        <w:rPr>
          <w:rFonts w:cs="Arial"/>
          <w:color w:val="000000" w:themeColor="text1"/>
          <w:lang w:val="es-CO"/>
        </w:rPr>
        <w:t xml:space="preserve"> en ningún caso podrán pactarse </w:t>
      </w:r>
      <w:r w:rsidR="00816AE3" w:rsidRPr="003D20AA">
        <w:rPr>
          <w:rFonts w:cs="Arial"/>
          <w:b/>
          <w:bCs w:val="0"/>
          <w:color w:val="000000" w:themeColor="text1"/>
          <w:lang w:val="es-CO"/>
        </w:rPr>
        <w:t>modalidades</w:t>
      </w:r>
      <w:r w:rsidR="00816AE3" w:rsidRPr="003D20AA">
        <w:rPr>
          <w:rFonts w:cs="Arial"/>
          <w:color w:val="000000" w:themeColor="text1"/>
          <w:lang w:val="es-CO"/>
        </w:rPr>
        <w:t xml:space="preserve"> </w:t>
      </w:r>
      <w:r w:rsidR="00593EB0" w:rsidRPr="003D20AA">
        <w:rPr>
          <w:rFonts w:cs="Arial"/>
          <w:color w:val="000000" w:themeColor="text1"/>
          <w:lang w:val="es-CO"/>
        </w:rPr>
        <w:t xml:space="preserve">de contratos y/o condiciones </w:t>
      </w:r>
      <w:r w:rsidRPr="003D20AA">
        <w:rPr>
          <w:rFonts w:cs="Arial"/>
          <w:color w:val="000000" w:themeColor="text1"/>
          <w:lang w:val="es-CO"/>
        </w:rPr>
        <w:t>diferentes a las contempladas en el presente artículo</w:t>
      </w:r>
      <w:r w:rsidR="00593EB0" w:rsidRPr="003D20AA">
        <w:rPr>
          <w:rFonts w:cs="Arial"/>
          <w:color w:val="000000" w:themeColor="text1"/>
          <w:lang w:val="es-CO"/>
        </w:rPr>
        <w:t xml:space="preserve">, </w:t>
      </w:r>
      <w:r w:rsidR="00593EB0" w:rsidRPr="003D20AA">
        <w:rPr>
          <w:rFonts w:cs="Arial"/>
          <w:b/>
          <w:bCs w:val="0"/>
          <w:color w:val="000000" w:themeColor="text1"/>
          <w:lang w:val="es-CO"/>
        </w:rPr>
        <w:t xml:space="preserve">excepto para lo estipulado en el parágrafo del </w:t>
      </w:r>
      <w:r w:rsidR="008A12F3">
        <w:rPr>
          <w:rFonts w:cs="Arial"/>
          <w:b/>
          <w:bCs w:val="0"/>
          <w:color w:val="000000" w:themeColor="text1"/>
          <w:lang w:val="es-CO"/>
        </w:rPr>
        <w:t>a</w:t>
      </w:r>
      <w:r w:rsidR="00593EB0" w:rsidRPr="003D20AA">
        <w:rPr>
          <w:rFonts w:cs="Arial"/>
          <w:b/>
          <w:bCs w:val="0"/>
          <w:color w:val="000000" w:themeColor="text1"/>
          <w:lang w:val="es-CO"/>
        </w:rPr>
        <w:t>rtículo 20 de la presente Resolución. Asimismo</w:t>
      </w:r>
      <w:r w:rsidR="00593EB0" w:rsidRPr="003D20AA">
        <w:rPr>
          <w:rFonts w:cs="Arial"/>
          <w:color w:val="000000" w:themeColor="text1"/>
          <w:lang w:val="es-CO"/>
        </w:rPr>
        <w:t>,</w:t>
      </w:r>
      <w:r w:rsidRPr="003D20AA">
        <w:rPr>
          <w:rFonts w:cs="Arial"/>
          <w:color w:val="000000" w:themeColor="text1"/>
          <w:lang w:val="es-CO"/>
        </w:rPr>
        <w:t xml:space="preserve"> en ningún caso, se podrán pactar periodos de compensación para cantidades </w:t>
      </w:r>
      <w:r w:rsidR="00E51C30" w:rsidRPr="003D20AA">
        <w:rPr>
          <w:rFonts w:cs="Arial"/>
          <w:b/>
          <w:bCs w:val="0"/>
          <w:color w:val="000000" w:themeColor="text1"/>
          <w:lang w:val="es-CO"/>
        </w:rPr>
        <w:t>a facturar</w:t>
      </w:r>
      <w:r w:rsidR="00E51C30" w:rsidRPr="003D20AA">
        <w:rPr>
          <w:rFonts w:cs="Arial"/>
          <w:color w:val="000000" w:themeColor="text1"/>
          <w:lang w:val="es-CO"/>
        </w:rPr>
        <w:t xml:space="preserve"> </w:t>
      </w:r>
      <w:r w:rsidR="00EC2EE4" w:rsidRPr="003D20AA">
        <w:rPr>
          <w:rFonts w:cs="Arial"/>
          <w:color w:val="000000" w:themeColor="text1"/>
          <w:lang w:val="es-CO"/>
        </w:rPr>
        <w:t xml:space="preserve">que </w:t>
      </w:r>
      <w:r w:rsidRPr="003D20AA">
        <w:rPr>
          <w:rFonts w:cs="Arial"/>
          <w:color w:val="000000" w:themeColor="text1"/>
          <w:lang w:val="es-CO"/>
        </w:rPr>
        <w:t xml:space="preserve">no </w:t>
      </w:r>
      <w:r w:rsidR="00EC2EE4" w:rsidRPr="003D20AA">
        <w:rPr>
          <w:rFonts w:cs="Arial"/>
          <w:color w:val="000000" w:themeColor="text1"/>
          <w:lang w:val="es-CO"/>
        </w:rPr>
        <w:t xml:space="preserve">fueron </w:t>
      </w:r>
      <w:r w:rsidRPr="003D20AA">
        <w:rPr>
          <w:rFonts w:cs="Arial"/>
          <w:color w:val="000000" w:themeColor="text1"/>
          <w:lang w:val="es-CO"/>
        </w:rPr>
        <w:t>consumidas</w:t>
      </w:r>
      <w:r w:rsidR="00593EB0" w:rsidRPr="003D20AA">
        <w:rPr>
          <w:rFonts w:cs="Arial"/>
          <w:color w:val="000000" w:themeColor="text1"/>
          <w:lang w:val="es-CO"/>
        </w:rPr>
        <w:t xml:space="preserve"> </w:t>
      </w:r>
      <w:r w:rsidR="00593EB0" w:rsidRPr="003D20AA">
        <w:rPr>
          <w:rFonts w:cs="Arial"/>
          <w:b/>
          <w:bCs w:val="0"/>
          <w:color w:val="000000" w:themeColor="text1"/>
          <w:lang w:val="es-CO"/>
        </w:rPr>
        <w:t>en el mismo mes de</w:t>
      </w:r>
      <w:r w:rsidR="00EC2EE4" w:rsidRPr="003D20AA">
        <w:rPr>
          <w:rFonts w:cs="Arial"/>
          <w:b/>
          <w:bCs w:val="0"/>
          <w:color w:val="000000" w:themeColor="text1"/>
          <w:lang w:val="es-CO"/>
        </w:rPr>
        <w:t>l suministro a ser facturado</w:t>
      </w:r>
      <w:r w:rsidRPr="003D20AA">
        <w:rPr>
          <w:rFonts w:cs="Arial"/>
          <w:color w:val="000000" w:themeColor="text1"/>
          <w:lang w:val="es-CO"/>
        </w:rPr>
        <w:t>.</w:t>
      </w:r>
      <w:r w:rsidR="003F14E2" w:rsidRPr="003D20AA">
        <w:rPr>
          <w:rFonts w:cs="Arial"/>
          <w:color w:val="000000" w:themeColor="text1"/>
          <w:lang w:val="es-CO"/>
        </w:rPr>
        <w:t xml:space="preserve"> </w:t>
      </w:r>
    </w:p>
    <w:p w14:paraId="1DAE7A66" w14:textId="77777777" w:rsidR="0006302B" w:rsidRPr="003D20AA" w:rsidRDefault="0006302B" w:rsidP="0006302B">
      <w:pPr>
        <w:pStyle w:val="ARTICULOS"/>
        <w:numPr>
          <w:ilvl w:val="0"/>
          <w:numId w:val="0"/>
        </w:numPr>
        <w:rPr>
          <w:rFonts w:cs="Arial"/>
          <w:color w:val="000000" w:themeColor="text1"/>
          <w:lang w:val="es-CO"/>
        </w:rPr>
      </w:pPr>
    </w:p>
    <w:p w14:paraId="499A5845" w14:textId="3C0131B3" w:rsidR="0006302B" w:rsidRPr="003D20AA" w:rsidRDefault="0006302B" w:rsidP="0006302B">
      <w:pPr>
        <w:pStyle w:val="ARTICULOS"/>
        <w:numPr>
          <w:ilvl w:val="0"/>
          <w:numId w:val="0"/>
        </w:numPr>
        <w:rPr>
          <w:rFonts w:cs="Arial"/>
          <w:b/>
          <w:bCs w:val="0"/>
          <w:color w:val="000000" w:themeColor="text1"/>
          <w:lang w:val="es-CO"/>
        </w:rPr>
      </w:pPr>
      <w:r w:rsidRPr="003D20AA">
        <w:rPr>
          <w:rFonts w:cs="Arial"/>
          <w:b/>
          <w:color w:val="000000" w:themeColor="text1"/>
          <w:lang w:val="es-CO"/>
        </w:rPr>
        <w:t xml:space="preserve">Parágrafo </w:t>
      </w:r>
      <w:r w:rsidR="005C726B" w:rsidRPr="003D20AA">
        <w:rPr>
          <w:rFonts w:cs="Arial"/>
          <w:b/>
          <w:color w:val="000000" w:themeColor="text1"/>
          <w:lang w:val="es-CO"/>
        </w:rPr>
        <w:t>4</w:t>
      </w:r>
      <w:r w:rsidRPr="003D20AA">
        <w:rPr>
          <w:rFonts w:cs="Arial"/>
          <w:b/>
          <w:color w:val="000000" w:themeColor="text1"/>
          <w:lang w:val="es-CO"/>
        </w:rPr>
        <w:t>.</w:t>
      </w:r>
      <w:r w:rsidRPr="003D20AA">
        <w:rPr>
          <w:rFonts w:cs="Arial"/>
          <w:color w:val="000000" w:themeColor="text1"/>
          <w:lang w:val="es-CO"/>
        </w:rPr>
        <w:t xml:space="preserve"> Los contratos que se pacten en el mercado primario deberán</w:t>
      </w:r>
      <w:r w:rsidRPr="003D20AA">
        <w:rPr>
          <w:rFonts w:cs="Arial"/>
          <w:b/>
          <w:bCs w:val="0"/>
          <w:color w:val="000000" w:themeColor="text1"/>
          <w:lang w:val="es-CO"/>
        </w:rPr>
        <w:t xml:space="preserve"> constar por escrito</w:t>
      </w:r>
      <w:r w:rsidR="008F15E0" w:rsidRPr="003D20AA">
        <w:rPr>
          <w:rFonts w:cs="Arial"/>
          <w:b/>
          <w:bCs w:val="0"/>
          <w:color w:val="000000" w:themeColor="text1"/>
          <w:lang w:val="es-CO"/>
        </w:rPr>
        <w:t>,</w:t>
      </w:r>
      <w:r w:rsidRPr="003D20AA">
        <w:rPr>
          <w:rFonts w:cs="Arial"/>
          <w:b/>
          <w:bCs w:val="0"/>
          <w:color w:val="000000" w:themeColor="text1"/>
          <w:lang w:val="es-CO"/>
        </w:rPr>
        <w:t xml:space="preserve"> y</w:t>
      </w:r>
      <w:r w:rsidR="00994DE7" w:rsidRPr="003D20AA">
        <w:rPr>
          <w:rFonts w:cs="Arial"/>
          <w:b/>
          <w:bCs w:val="0"/>
          <w:color w:val="000000" w:themeColor="text1"/>
          <w:lang w:val="es-CO"/>
        </w:rPr>
        <w:t xml:space="preserve"> deberán corresponder</w:t>
      </w:r>
      <w:r w:rsidRPr="003D20AA">
        <w:rPr>
          <w:rFonts w:cs="Arial"/>
          <w:b/>
          <w:bCs w:val="0"/>
          <w:color w:val="000000" w:themeColor="text1"/>
          <w:lang w:val="es-CO"/>
        </w:rPr>
        <w:t xml:space="preserve"> íntegra y exclusivamente a una de las modalidades contractuales establecidas en el presente artículo</w:t>
      </w:r>
      <w:r w:rsidR="00EC2EE4" w:rsidRPr="003D20AA">
        <w:rPr>
          <w:rFonts w:cs="Arial"/>
          <w:b/>
          <w:bCs w:val="0"/>
          <w:color w:val="000000" w:themeColor="text1"/>
          <w:lang w:val="es-CO"/>
        </w:rPr>
        <w:t xml:space="preserve">, con </w:t>
      </w:r>
      <w:r w:rsidR="007C6661" w:rsidRPr="003D20AA">
        <w:rPr>
          <w:rFonts w:cs="Arial"/>
          <w:b/>
          <w:bCs w:val="0"/>
          <w:color w:val="000000" w:themeColor="text1"/>
          <w:lang w:val="es-CO"/>
        </w:rPr>
        <w:t>excepción</w:t>
      </w:r>
      <w:r w:rsidR="00EC2EE4" w:rsidRPr="003D20AA">
        <w:rPr>
          <w:rFonts w:cs="Arial"/>
          <w:b/>
          <w:bCs w:val="0"/>
          <w:color w:val="000000" w:themeColor="text1"/>
          <w:lang w:val="es-CO"/>
        </w:rPr>
        <w:t xml:space="preserve"> de los </w:t>
      </w:r>
      <w:r w:rsidR="007C6661">
        <w:rPr>
          <w:rFonts w:cs="Arial"/>
          <w:b/>
          <w:bCs w:val="0"/>
          <w:color w:val="000000" w:themeColor="text1"/>
          <w:lang w:val="es-CO"/>
        </w:rPr>
        <w:t>suscritos</w:t>
      </w:r>
      <w:r w:rsidR="007C6661" w:rsidRPr="003D20AA">
        <w:rPr>
          <w:rFonts w:cs="Arial"/>
          <w:b/>
          <w:bCs w:val="0"/>
          <w:color w:val="000000" w:themeColor="text1"/>
          <w:lang w:val="es-CO"/>
        </w:rPr>
        <w:t xml:space="preserve"> </w:t>
      </w:r>
      <w:r w:rsidR="00EC2EE4" w:rsidRPr="003D20AA">
        <w:rPr>
          <w:rFonts w:cs="Arial"/>
          <w:b/>
          <w:bCs w:val="0"/>
          <w:color w:val="000000" w:themeColor="text1"/>
          <w:lang w:val="es-CO"/>
        </w:rPr>
        <w:t xml:space="preserve">en aplicación del parágrafo del </w:t>
      </w:r>
      <w:r w:rsidR="007C6661">
        <w:rPr>
          <w:rFonts w:cs="Arial"/>
          <w:b/>
          <w:bCs w:val="0"/>
          <w:color w:val="000000" w:themeColor="text1"/>
          <w:lang w:val="es-CO"/>
        </w:rPr>
        <w:t>a</w:t>
      </w:r>
      <w:r w:rsidR="00EC2EE4" w:rsidRPr="003D20AA">
        <w:rPr>
          <w:rFonts w:cs="Arial"/>
          <w:b/>
          <w:bCs w:val="0"/>
          <w:color w:val="000000" w:themeColor="text1"/>
          <w:lang w:val="es-CO"/>
        </w:rPr>
        <w:t>rtículo 20 de la presente resolución</w:t>
      </w:r>
      <w:r w:rsidRPr="003D20AA">
        <w:rPr>
          <w:rFonts w:cs="Arial"/>
          <w:b/>
          <w:bCs w:val="0"/>
          <w:color w:val="000000" w:themeColor="text1"/>
          <w:lang w:val="es-CO"/>
        </w:rPr>
        <w:t xml:space="preserve">. </w:t>
      </w:r>
    </w:p>
    <w:p w14:paraId="41393844" w14:textId="77777777" w:rsidR="0006302B" w:rsidRPr="003D20AA" w:rsidRDefault="0006302B" w:rsidP="0006302B">
      <w:pPr>
        <w:pStyle w:val="ARTICULOS"/>
        <w:numPr>
          <w:ilvl w:val="0"/>
          <w:numId w:val="0"/>
        </w:numPr>
        <w:rPr>
          <w:rFonts w:cs="Arial"/>
          <w:color w:val="000000" w:themeColor="text1"/>
          <w:lang w:val="es-CO"/>
        </w:rPr>
      </w:pPr>
    </w:p>
    <w:p w14:paraId="4B306371" w14:textId="2F63638A" w:rsidR="0006302B" w:rsidRPr="003D20AA" w:rsidRDefault="0006302B" w:rsidP="0006302B">
      <w:pPr>
        <w:pStyle w:val="ARTICULOS"/>
        <w:numPr>
          <w:ilvl w:val="0"/>
          <w:numId w:val="0"/>
        </w:numPr>
        <w:rPr>
          <w:rFonts w:cs="Arial"/>
          <w:color w:val="000000" w:themeColor="text1"/>
          <w:lang w:val="es-CO"/>
        </w:rPr>
      </w:pPr>
      <w:r w:rsidRPr="003D20AA">
        <w:rPr>
          <w:rFonts w:cs="Arial"/>
          <w:b/>
          <w:color w:val="000000" w:themeColor="text1"/>
          <w:lang w:val="es-CO"/>
        </w:rPr>
        <w:t xml:space="preserve">Parágrafo </w:t>
      </w:r>
      <w:r w:rsidR="005C726B" w:rsidRPr="003D20AA">
        <w:rPr>
          <w:rFonts w:cs="Arial"/>
          <w:b/>
          <w:color w:val="000000" w:themeColor="text1"/>
          <w:lang w:val="es-CO"/>
        </w:rPr>
        <w:t>5</w:t>
      </w:r>
      <w:r w:rsidRPr="003D20AA">
        <w:rPr>
          <w:rFonts w:cs="Arial"/>
          <w:b/>
          <w:color w:val="000000" w:themeColor="text1"/>
          <w:lang w:val="es-CO"/>
        </w:rPr>
        <w:t xml:space="preserve">. </w:t>
      </w:r>
      <w:r w:rsidRPr="003D20AA">
        <w:rPr>
          <w:rFonts w:cs="Arial"/>
          <w:color w:val="000000" w:themeColor="text1"/>
          <w:lang w:val="es-CO"/>
        </w:rPr>
        <w:t>Todos los contratos del mercado primario serán de entrega física.</w:t>
      </w:r>
    </w:p>
    <w:p w14:paraId="1A63BE9E" w14:textId="77777777" w:rsidR="0006302B" w:rsidRPr="003D20AA" w:rsidRDefault="0006302B" w:rsidP="0006302B">
      <w:pPr>
        <w:pStyle w:val="ARTICULOS"/>
        <w:numPr>
          <w:ilvl w:val="0"/>
          <w:numId w:val="0"/>
        </w:numPr>
        <w:rPr>
          <w:rFonts w:cs="Arial"/>
          <w:color w:val="000000" w:themeColor="text1"/>
          <w:sz w:val="16"/>
          <w:lang w:val="es-CO"/>
        </w:rPr>
      </w:pPr>
    </w:p>
    <w:p w14:paraId="7F9481B2" w14:textId="60BA238D" w:rsidR="0006302B" w:rsidRPr="003D20AA" w:rsidRDefault="0006302B" w:rsidP="0006302B">
      <w:pPr>
        <w:ind w:left="0"/>
        <w:jc w:val="both"/>
        <w:outlineLvl w:val="0"/>
        <w:rPr>
          <w:rFonts w:cs="Arial"/>
          <w:b/>
          <w:color w:val="000000" w:themeColor="text1"/>
          <w:lang w:val="es-CO"/>
        </w:rPr>
      </w:pPr>
      <w:r w:rsidRPr="003D20AA">
        <w:rPr>
          <w:rFonts w:ascii="Bookman Old Style" w:hAnsi="Bookman Old Style" w:cs="Arial"/>
          <w:b/>
          <w:color w:val="000000" w:themeColor="text1"/>
          <w:lang w:val="es-CO"/>
        </w:rPr>
        <w:t xml:space="preserve">Parágrafo </w:t>
      </w:r>
      <w:r w:rsidR="005C726B" w:rsidRPr="003D20AA">
        <w:rPr>
          <w:rFonts w:ascii="Bookman Old Style" w:hAnsi="Bookman Old Style" w:cs="Arial"/>
          <w:b/>
          <w:color w:val="000000" w:themeColor="text1"/>
          <w:lang w:val="es-CO"/>
        </w:rPr>
        <w:t>6</w:t>
      </w:r>
      <w:r w:rsidRPr="003D20AA">
        <w:rPr>
          <w:rFonts w:ascii="Bookman Old Style" w:hAnsi="Bookman Old Style" w:cs="Arial"/>
          <w:b/>
          <w:color w:val="000000" w:themeColor="text1"/>
          <w:lang w:val="es-CO"/>
        </w:rPr>
        <w:t>.</w:t>
      </w:r>
      <w:r w:rsidRPr="003D20AA">
        <w:rPr>
          <w:rFonts w:cs="Arial"/>
          <w:b/>
          <w:color w:val="000000" w:themeColor="text1"/>
          <w:lang w:val="es-CO"/>
        </w:rPr>
        <w:t xml:space="preserve"> </w:t>
      </w:r>
      <w:r w:rsidRPr="003D20AA">
        <w:rPr>
          <w:rFonts w:ascii="Bookman Old Style" w:hAnsi="Bookman Old Style"/>
          <w:b/>
        </w:rPr>
        <w:t>Los Participantes del Mercado Mayorista de Gas Natural podrán solicitar a la CREG la inclusión de modalidades contractuales adicionales a las establecidas en la presente Resolución</w:t>
      </w:r>
      <w:r w:rsidR="00EC2EE4" w:rsidRPr="003D20AA">
        <w:rPr>
          <w:rFonts w:ascii="Bookman Old Style" w:hAnsi="Bookman Old Style"/>
          <w:b/>
        </w:rPr>
        <w:t xml:space="preserve"> para el mercado primario</w:t>
      </w:r>
      <w:r w:rsidRPr="003D20AA">
        <w:rPr>
          <w:rFonts w:ascii="Bookman Old Style" w:hAnsi="Bookman Old Style"/>
          <w:b/>
        </w:rPr>
        <w:t>, y la CREG procederá a su análisis y</w:t>
      </w:r>
      <w:r w:rsidR="00D10DB8" w:rsidRPr="003D20AA">
        <w:rPr>
          <w:rFonts w:ascii="Bookman Old Style" w:hAnsi="Bookman Old Style"/>
          <w:b/>
        </w:rPr>
        <w:t>,</w:t>
      </w:r>
      <w:r w:rsidRPr="003D20AA">
        <w:rPr>
          <w:rFonts w:ascii="Bookman Old Style" w:hAnsi="Bookman Old Style"/>
          <w:b/>
        </w:rPr>
        <w:t xml:space="preserve"> de encontrarlo necesario y pertinente</w:t>
      </w:r>
      <w:r w:rsidR="00D10DB8" w:rsidRPr="003D20AA">
        <w:rPr>
          <w:rFonts w:ascii="Bookman Old Style" w:hAnsi="Bookman Old Style"/>
          <w:b/>
        </w:rPr>
        <w:t>,</w:t>
      </w:r>
      <w:r w:rsidRPr="003D20AA">
        <w:rPr>
          <w:rFonts w:ascii="Bookman Old Style" w:hAnsi="Bookman Old Style"/>
          <w:b/>
        </w:rPr>
        <w:t xml:space="preserve"> procederá a su aprobación mediante Resolución aparte</w:t>
      </w:r>
      <w:r w:rsidR="00675803">
        <w:rPr>
          <w:rFonts w:ascii="Bookman Old Style" w:hAnsi="Bookman Old Style"/>
          <w:b/>
        </w:rPr>
        <w:t xml:space="preserve"> siguiendo los procedimientos pertinentes que se desarrollan para las regulaciones de iniciativa CREG</w:t>
      </w:r>
      <w:r w:rsidRPr="003D20AA">
        <w:rPr>
          <w:rFonts w:ascii="Bookman Old Style" w:hAnsi="Bookman Old Style"/>
          <w:b/>
        </w:rPr>
        <w:t>. Est</w:t>
      </w:r>
      <w:r w:rsidR="00994DE7" w:rsidRPr="003D20AA">
        <w:rPr>
          <w:rFonts w:ascii="Bookman Old Style" w:hAnsi="Bookman Old Style"/>
          <w:b/>
        </w:rPr>
        <w:t>a</w:t>
      </w:r>
      <w:r w:rsidRPr="003D20AA">
        <w:rPr>
          <w:rFonts w:ascii="Bookman Old Style" w:hAnsi="Bookman Old Style"/>
          <w:b/>
        </w:rPr>
        <w:t>s nuev</w:t>
      </w:r>
      <w:r w:rsidR="00994DE7" w:rsidRPr="003D20AA">
        <w:rPr>
          <w:rFonts w:ascii="Bookman Old Style" w:hAnsi="Bookman Old Style"/>
          <w:b/>
        </w:rPr>
        <w:t>a</w:t>
      </w:r>
      <w:r w:rsidRPr="003D20AA">
        <w:rPr>
          <w:rFonts w:ascii="Bookman Old Style" w:hAnsi="Bookman Old Style"/>
          <w:b/>
        </w:rPr>
        <w:t>s</w:t>
      </w:r>
      <w:r w:rsidR="00994DE7" w:rsidRPr="003D20AA">
        <w:rPr>
          <w:rFonts w:ascii="Bookman Old Style" w:hAnsi="Bookman Old Style"/>
          <w:b/>
        </w:rPr>
        <w:t xml:space="preserve"> modalidades</w:t>
      </w:r>
      <w:r w:rsidRPr="003D20AA">
        <w:rPr>
          <w:rFonts w:ascii="Bookman Old Style" w:hAnsi="Bookman Old Style"/>
          <w:b/>
        </w:rPr>
        <w:t xml:space="preserve"> de contratos deberán cumplir con los requisitos mínimos de que trata el Capítulo II del Título III de la presente Resolución</w:t>
      </w:r>
      <w:r w:rsidR="008F15E0" w:rsidRPr="003D20AA">
        <w:rPr>
          <w:rFonts w:ascii="Bookman Old Style" w:hAnsi="Bookman Old Style"/>
          <w:b/>
        </w:rPr>
        <w:t>.</w:t>
      </w:r>
    </w:p>
    <w:p w14:paraId="7F4082BF" w14:textId="77777777" w:rsidR="0006302B" w:rsidRPr="003D20AA" w:rsidRDefault="0006302B" w:rsidP="0006302B">
      <w:pPr>
        <w:ind w:left="0"/>
        <w:jc w:val="both"/>
        <w:outlineLvl w:val="0"/>
        <w:rPr>
          <w:rFonts w:cs="Arial"/>
          <w:color w:val="000000" w:themeColor="text1"/>
          <w:lang w:val="es-CO"/>
        </w:rPr>
      </w:pPr>
    </w:p>
    <w:p w14:paraId="68E4C79B" w14:textId="7A8D58F1" w:rsidR="0006302B" w:rsidRPr="003D20AA" w:rsidRDefault="0006302B" w:rsidP="0006302B">
      <w:pPr>
        <w:ind w:left="0"/>
        <w:jc w:val="both"/>
        <w:outlineLvl w:val="0"/>
        <w:rPr>
          <w:rFonts w:ascii="Bookman Old Style" w:hAnsi="Bookman Old Style" w:cs="Arial"/>
          <w:color w:val="000000" w:themeColor="text1"/>
          <w:lang w:val="es-CO"/>
        </w:rPr>
      </w:pPr>
      <w:r w:rsidRPr="003D20AA">
        <w:rPr>
          <w:rFonts w:ascii="Bookman Old Style" w:hAnsi="Bookman Old Style" w:cs="Arial"/>
          <w:b/>
          <w:bCs/>
          <w:color w:val="000000" w:themeColor="text1"/>
          <w:lang w:val="es-CO"/>
        </w:rPr>
        <w:t xml:space="preserve">Parágrafo </w:t>
      </w:r>
      <w:r w:rsidR="005C726B" w:rsidRPr="003D20AA">
        <w:rPr>
          <w:rFonts w:ascii="Bookman Old Style" w:hAnsi="Bookman Old Style" w:cs="Arial"/>
          <w:b/>
          <w:bCs/>
          <w:color w:val="000000" w:themeColor="text1"/>
          <w:lang w:val="es-CO"/>
        </w:rPr>
        <w:t>7</w:t>
      </w:r>
      <w:r w:rsidRPr="003D20AA">
        <w:rPr>
          <w:rFonts w:ascii="Bookman Old Style" w:hAnsi="Bookman Old Style" w:cs="Arial"/>
          <w:b/>
          <w:bCs/>
          <w:color w:val="000000" w:themeColor="text1"/>
          <w:lang w:val="es-CO"/>
        </w:rPr>
        <w:t xml:space="preserve">. Los vendedores señalados en el </w:t>
      </w:r>
      <w:r w:rsidR="00F777B3">
        <w:rPr>
          <w:rFonts w:ascii="Bookman Old Style" w:hAnsi="Bookman Old Style" w:cs="Arial"/>
          <w:b/>
          <w:bCs/>
          <w:color w:val="000000" w:themeColor="text1"/>
          <w:lang w:val="es-CO"/>
        </w:rPr>
        <w:t>a</w:t>
      </w:r>
      <w:r w:rsidRPr="003D20AA">
        <w:rPr>
          <w:rFonts w:ascii="Bookman Old Style" w:hAnsi="Bookman Old Style" w:cs="Arial"/>
          <w:b/>
          <w:bCs/>
          <w:color w:val="000000" w:themeColor="text1"/>
          <w:lang w:val="es-CO"/>
        </w:rPr>
        <w:t xml:space="preserve">rtículo 16 de la presente Resolución, deberán contar con Respaldo Físico para pactar los contratos de suministro </w:t>
      </w:r>
      <w:r w:rsidR="002013C6" w:rsidRPr="003D20AA">
        <w:rPr>
          <w:rFonts w:ascii="Bookman Old Style" w:hAnsi="Bookman Old Style" w:cs="Arial"/>
          <w:b/>
          <w:bCs/>
          <w:color w:val="000000" w:themeColor="text1"/>
          <w:lang w:val="es-CO"/>
        </w:rPr>
        <w:t>de cantidades con</w:t>
      </w:r>
      <w:r w:rsidR="00FA2923" w:rsidRPr="003D20AA">
        <w:rPr>
          <w:rFonts w:ascii="Bookman Old Style" w:hAnsi="Bookman Old Style" w:cs="Arial"/>
          <w:b/>
          <w:bCs/>
          <w:color w:val="000000" w:themeColor="text1"/>
          <w:lang w:val="es-CO"/>
        </w:rPr>
        <w:t xml:space="preserve"> garant</w:t>
      </w:r>
      <w:r w:rsidR="002013C6" w:rsidRPr="003D20AA">
        <w:rPr>
          <w:rFonts w:ascii="Bookman Old Style" w:hAnsi="Bookman Old Style" w:cs="Arial"/>
          <w:b/>
          <w:bCs/>
          <w:color w:val="000000" w:themeColor="text1"/>
          <w:lang w:val="es-CO"/>
        </w:rPr>
        <w:t>ía de</w:t>
      </w:r>
      <w:r w:rsidR="00FA2923" w:rsidRPr="003D20AA">
        <w:rPr>
          <w:rFonts w:ascii="Bookman Old Style" w:hAnsi="Bookman Old Style" w:cs="Arial"/>
          <w:b/>
          <w:bCs/>
          <w:color w:val="000000" w:themeColor="text1"/>
          <w:lang w:val="es-CO"/>
        </w:rPr>
        <w:t xml:space="preserve"> firmeza</w:t>
      </w:r>
      <w:r w:rsidR="00EC2EE4" w:rsidRPr="003D20AA">
        <w:rPr>
          <w:rFonts w:ascii="Bookman Old Style" w:hAnsi="Bookman Old Style" w:cs="Arial"/>
          <w:b/>
          <w:bCs/>
          <w:color w:val="000000" w:themeColor="text1"/>
          <w:lang w:val="es-CO"/>
        </w:rPr>
        <w:t>,</w:t>
      </w:r>
      <w:r w:rsidR="002013C6" w:rsidRPr="003D20AA">
        <w:rPr>
          <w:rFonts w:ascii="Bookman Old Style" w:hAnsi="Bookman Old Style" w:cs="Arial"/>
          <w:b/>
          <w:bCs/>
          <w:color w:val="000000" w:themeColor="text1"/>
          <w:lang w:val="es-CO"/>
        </w:rPr>
        <w:t xml:space="preserve"> incluidos los acordados en aplicación del parágrafo del </w:t>
      </w:r>
      <w:r w:rsidR="00171832">
        <w:rPr>
          <w:rFonts w:ascii="Bookman Old Style" w:hAnsi="Bookman Old Style" w:cs="Arial"/>
          <w:b/>
          <w:bCs/>
          <w:color w:val="000000" w:themeColor="text1"/>
          <w:lang w:val="es-CO"/>
        </w:rPr>
        <w:t>a</w:t>
      </w:r>
      <w:r w:rsidR="002013C6" w:rsidRPr="003D20AA">
        <w:rPr>
          <w:rFonts w:ascii="Bookman Old Style" w:hAnsi="Bookman Old Style" w:cs="Arial"/>
          <w:b/>
          <w:bCs/>
          <w:color w:val="000000" w:themeColor="text1"/>
          <w:lang w:val="es-CO"/>
        </w:rPr>
        <w:t>rtículo 20 de la presente resolución</w:t>
      </w:r>
      <w:r w:rsidR="008F15E0" w:rsidRPr="003D20AA">
        <w:rPr>
          <w:rFonts w:ascii="Bookman Old Style" w:hAnsi="Bookman Old Style" w:cs="Arial"/>
          <w:b/>
          <w:bCs/>
          <w:color w:val="000000" w:themeColor="text1"/>
          <w:lang w:val="es-CO"/>
        </w:rPr>
        <w:t>,</w:t>
      </w:r>
      <w:r w:rsidRPr="003D20AA">
        <w:rPr>
          <w:rFonts w:ascii="Bookman Old Style" w:hAnsi="Bookman Old Style" w:cs="Arial"/>
          <w:b/>
          <w:bCs/>
          <w:color w:val="000000" w:themeColor="text1"/>
          <w:lang w:val="es-CO"/>
        </w:rPr>
        <w:t xml:space="preserve"> y así deberá declararlo en los mismos.</w:t>
      </w:r>
    </w:p>
    <w:p w14:paraId="2BCA66A4" w14:textId="77777777" w:rsidR="0006302B" w:rsidRDefault="0006302B" w:rsidP="0006302B">
      <w:pPr>
        <w:pStyle w:val="ARTICULOS"/>
        <w:numPr>
          <w:ilvl w:val="0"/>
          <w:numId w:val="0"/>
        </w:numPr>
        <w:rPr>
          <w:rFonts w:cs="Arial"/>
          <w:color w:val="000000" w:themeColor="text1"/>
          <w:lang w:val="es-CO"/>
        </w:rPr>
      </w:pPr>
    </w:p>
    <w:p w14:paraId="61927E01" w14:textId="77777777" w:rsidR="00F821B5" w:rsidRPr="003D20AA" w:rsidRDefault="00F821B5" w:rsidP="0006302B">
      <w:pPr>
        <w:pStyle w:val="ARTICULOS"/>
        <w:numPr>
          <w:ilvl w:val="0"/>
          <w:numId w:val="0"/>
        </w:numPr>
        <w:rPr>
          <w:rFonts w:cs="Arial"/>
          <w:color w:val="000000" w:themeColor="text1"/>
          <w:lang w:val="es-CO"/>
        </w:rPr>
      </w:pPr>
    </w:p>
    <w:p w14:paraId="0ED0798C"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Capítulo II</w:t>
      </w:r>
    </w:p>
    <w:p w14:paraId="6ED3ACC6"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E7F78">
        <w:rPr>
          <w:rFonts w:ascii="Bookman Old Style" w:hAnsi="Bookman Old Style" w:cs="Arial"/>
          <w:b/>
          <w:bCs/>
          <w:color w:val="000000" w:themeColor="text1"/>
          <w:lang w:val="es-CO"/>
        </w:rPr>
        <w:t>Requisitos Mínimos de los contratos de suministro</w:t>
      </w:r>
      <w:r w:rsidRPr="0013707D">
        <w:rPr>
          <w:rFonts w:ascii="Bookman Old Style" w:hAnsi="Bookman Old Style" w:cs="Arial"/>
          <w:b/>
          <w:bCs/>
          <w:color w:val="000000" w:themeColor="text1"/>
          <w:lang w:val="es-CO"/>
        </w:rPr>
        <w:t xml:space="preserve"> </w:t>
      </w:r>
    </w:p>
    <w:p w14:paraId="49981B9E" w14:textId="77777777" w:rsidR="0006302B" w:rsidRPr="0013707D" w:rsidRDefault="0006302B" w:rsidP="0006302B">
      <w:pPr>
        <w:pStyle w:val="ARTICULOS"/>
        <w:keepNext/>
        <w:numPr>
          <w:ilvl w:val="0"/>
          <w:numId w:val="0"/>
        </w:numPr>
        <w:rPr>
          <w:rFonts w:cs="Arial"/>
          <w:color w:val="000000" w:themeColor="text1"/>
          <w:lang w:val="es-CO"/>
        </w:rPr>
      </w:pPr>
    </w:p>
    <w:p w14:paraId="5DDDB166" w14:textId="5531B313" w:rsidR="00F92DEE" w:rsidRPr="003D20AA" w:rsidRDefault="0006302B" w:rsidP="00F92DEE">
      <w:pPr>
        <w:pStyle w:val="ARTICULOS"/>
        <w:tabs>
          <w:tab w:val="clear" w:pos="1559"/>
          <w:tab w:val="left" w:pos="1560"/>
        </w:tabs>
        <w:outlineLvl w:val="0"/>
        <w:rPr>
          <w:rFonts w:cs="Arial"/>
          <w:color w:val="000000" w:themeColor="text1"/>
          <w:lang w:val="es-CO"/>
        </w:rPr>
      </w:pPr>
      <w:bookmarkStart w:id="29" w:name="_Ref334521040"/>
      <w:bookmarkStart w:id="30" w:name="_Ref355712251"/>
      <w:r w:rsidRPr="003D20AA">
        <w:rPr>
          <w:rFonts w:cs="Arial"/>
          <w:b/>
          <w:color w:val="000000" w:themeColor="text1"/>
          <w:lang w:val="es-CO"/>
        </w:rPr>
        <w:t>Requisitos Mínimos de los Contratos de Suministro.</w:t>
      </w:r>
      <w:r w:rsidRPr="003D20AA">
        <w:rPr>
          <w:rFonts w:cs="Arial"/>
          <w:color w:val="000000" w:themeColor="text1"/>
          <w:lang w:val="es-CO"/>
        </w:rPr>
        <w:t xml:space="preserve"> Los contratos referidos en el </w:t>
      </w:r>
      <w:r w:rsidR="00171832">
        <w:rPr>
          <w:rFonts w:cs="Arial"/>
          <w:color w:val="000000" w:themeColor="text1"/>
          <w:lang w:val="es-CO"/>
        </w:rPr>
        <w:t>a</w:t>
      </w:r>
      <w:r w:rsidRPr="003D20AA">
        <w:rPr>
          <w:rFonts w:cs="Arial"/>
          <w:color w:val="000000" w:themeColor="text1"/>
          <w:lang w:val="es-CO"/>
        </w:rPr>
        <w:t>rtículo 8 de la presente Resolución, con excepción de los contratos de contingencia y de los contratos con interrupciones, deberán cumplir los requisitos mínimos que se establecen en el presente capítulo</w:t>
      </w:r>
      <w:r w:rsidR="008F15E0" w:rsidRPr="003D20AA">
        <w:rPr>
          <w:rFonts w:cs="Arial"/>
          <w:color w:val="000000" w:themeColor="text1"/>
          <w:lang w:val="es-CO"/>
        </w:rPr>
        <w:t>,</w:t>
      </w:r>
      <w:r w:rsidRPr="003D20AA">
        <w:rPr>
          <w:rFonts w:cs="Arial"/>
          <w:color w:val="000000" w:themeColor="text1"/>
          <w:lang w:val="es-CO"/>
        </w:rPr>
        <w:t xml:space="preserve"> y los mismos deberán estar en su clausulado.</w:t>
      </w:r>
      <w:bookmarkEnd w:id="29"/>
      <w:bookmarkEnd w:id="30"/>
      <w:r w:rsidR="00F92DEE" w:rsidRPr="003D20AA">
        <w:rPr>
          <w:rFonts w:cs="Arial"/>
          <w:color w:val="000000" w:themeColor="text1"/>
          <w:lang w:val="es-CO"/>
        </w:rPr>
        <w:t xml:space="preserve"> </w:t>
      </w:r>
      <w:r w:rsidR="00F92DEE" w:rsidRPr="003D20AA">
        <w:rPr>
          <w:rFonts w:cs="Arial"/>
          <w:b/>
          <w:bCs w:val="0"/>
          <w:color w:val="000000" w:themeColor="text1"/>
          <w:lang w:val="es-CO"/>
        </w:rPr>
        <w:t xml:space="preserve">Del mismo modo, los mismos </w:t>
      </w:r>
      <w:r w:rsidR="00F92DEE" w:rsidRPr="003D20AA">
        <w:rPr>
          <w:rFonts w:cs="Arial"/>
          <w:b/>
          <w:bCs w:val="0"/>
          <w:color w:val="000000" w:themeColor="text1"/>
          <w:lang w:val="es-CO"/>
        </w:rPr>
        <w:lastRenderedPageBreak/>
        <w:t xml:space="preserve">requisitos mínimos deberán ser aplicados </w:t>
      </w:r>
      <w:r w:rsidR="00131659" w:rsidRPr="003D20AA">
        <w:rPr>
          <w:rFonts w:cs="Arial"/>
          <w:b/>
          <w:bCs w:val="0"/>
          <w:color w:val="000000" w:themeColor="text1"/>
          <w:lang w:val="es-CO"/>
        </w:rPr>
        <w:t xml:space="preserve">para las cantidades de gas contempladas </w:t>
      </w:r>
      <w:r w:rsidR="00F92DEE" w:rsidRPr="003D20AA">
        <w:rPr>
          <w:rFonts w:cs="Arial"/>
          <w:b/>
          <w:bCs w:val="0"/>
          <w:color w:val="000000" w:themeColor="text1"/>
          <w:lang w:val="es-CO"/>
        </w:rPr>
        <w:t xml:space="preserve">en aquellos contratos a suscribir en virtud de lo contemplado en el parágrafo del </w:t>
      </w:r>
      <w:r w:rsidR="002112DC">
        <w:rPr>
          <w:rFonts w:cs="Arial"/>
          <w:b/>
          <w:bCs w:val="0"/>
          <w:color w:val="000000" w:themeColor="text1"/>
          <w:lang w:val="es-CO"/>
        </w:rPr>
        <w:t>a</w:t>
      </w:r>
      <w:r w:rsidR="00F92DEE" w:rsidRPr="003D20AA">
        <w:rPr>
          <w:rFonts w:cs="Arial"/>
          <w:b/>
          <w:bCs w:val="0"/>
          <w:color w:val="000000" w:themeColor="text1"/>
          <w:lang w:val="es-CO"/>
        </w:rPr>
        <w:t xml:space="preserve">rtículo 20 de la presente resolución, </w:t>
      </w:r>
      <w:r w:rsidR="008B151A">
        <w:rPr>
          <w:rFonts w:cs="Arial"/>
          <w:b/>
          <w:bCs w:val="0"/>
          <w:color w:val="000000" w:themeColor="text1"/>
          <w:lang w:val="es-CO"/>
        </w:rPr>
        <w:t xml:space="preserve">en que se pacten parcial o totalmente cantidades de tipo firme o que garantiza firmeza, </w:t>
      </w:r>
      <w:r w:rsidR="00131659" w:rsidRPr="003D20AA">
        <w:rPr>
          <w:rFonts w:cs="Arial"/>
          <w:b/>
          <w:bCs w:val="0"/>
          <w:color w:val="000000" w:themeColor="text1"/>
          <w:lang w:val="es-CO"/>
        </w:rPr>
        <w:t>sobre las que se garantiza el servicio de suministro, sin interrupciones, durante un período determinado, excepto en los días establecidos para mantenimiento y labores programadas.</w:t>
      </w:r>
    </w:p>
    <w:p w14:paraId="1F5C15D5" w14:textId="77777777" w:rsidR="0006302B" w:rsidRPr="0013707D" w:rsidRDefault="0006302B" w:rsidP="0006302B">
      <w:pPr>
        <w:pStyle w:val="ARTICULOS"/>
        <w:numPr>
          <w:ilvl w:val="0"/>
          <w:numId w:val="0"/>
        </w:numPr>
        <w:rPr>
          <w:rFonts w:cs="Arial"/>
          <w:color w:val="000000" w:themeColor="text1"/>
          <w:lang w:val="es-CO"/>
        </w:rPr>
      </w:pPr>
    </w:p>
    <w:p w14:paraId="2ABE428E" w14:textId="7891CA53" w:rsidR="0006302B" w:rsidRPr="001C0C4B" w:rsidRDefault="0006302B" w:rsidP="0006302B">
      <w:pPr>
        <w:pStyle w:val="ARTICULOS"/>
        <w:numPr>
          <w:ilvl w:val="0"/>
          <w:numId w:val="0"/>
        </w:numPr>
        <w:rPr>
          <w:rFonts w:cs="Arial"/>
          <w:strike/>
          <w:color w:val="000000" w:themeColor="text1"/>
          <w:lang w:val="es-CO"/>
        </w:rPr>
      </w:pPr>
      <w:r w:rsidRPr="0013707D">
        <w:rPr>
          <w:rFonts w:cs="Arial"/>
          <w:b/>
          <w:color w:val="000000" w:themeColor="text1"/>
          <w:lang w:val="es-CO"/>
        </w:rPr>
        <w:t>Parágrafo.</w:t>
      </w:r>
      <w:r w:rsidRPr="0013707D">
        <w:rPr>
          <w:rFonts w:cs="Arial"/>
          <w:color w:val="000000" w:themeColor="text1"/>
          <w:lang w:val="es-CO"/>
        </w:rPr>
        <w:t xml:space="preserve"> En el caso de los contratos de contingencia y de los contratos </w:t>
      </w:r>
      <w:r w:rsidRPr="00FF59D0">
        <w:rPr>
          <w:rFonts w:cs="Arial"/>
          <w:color w:val="000000" w:themeColor="text1"/>
          <w:lang w:val="es-CO"/>
        </w:rPr>
        <w:t>con interrupciones</w:t>
      </w:r>
      <w:r w:rsidR="008F15E0">
        <w:rPr>
          <w:rFonts w:cs="Arial"/>
          <w:color w:val="000000" w:themeColor="text1"/>
          <w:lang w:val="es-CO"/>
        </w:rPr>
        <w:t>,</w:t>
      </w:r>
      <w:r w:rsidRPr="0013707D">
        <w:rPr>
          <w:rFonts w:cs="Arial"/>
          <w:color w:val="000000" w:themeColor="text1"/>
          <w:lang w:val="es-CO"/>
        </w:rPr>
        <w:t xml:space="preserve"> las partes tendrán la potestad de determinar su contenido sin contrariar, en forma alguna, la definición establecida en el</w:t>
      </w:r>
      <w:r w:rsidR="00DD53A4">
        <w:rPr>
          <w:rFonts w:cs="Arial"/>
          <w:color w:val="000000" w:themeColor="text1"/>
          <w:lang w:val="es-CO"/>
        </w:rPr>
        <w:t xml:space="preserve"> artículo 3</w:t>
      </w:r>
      <w:r w:rsidRPr="0013707D">
        <w:rPr>
          <w:rFonts w:cs="Arial"/>
          <w:color w:val="000000" w:themeColor="text1"/>
          <w:lang w:val="es-CO"/>
        </w:rPr>
        <w:t xml:space="preserve"> de la presente Resolución para la respectiva modalidad contractual. </w:t>
      </w:r>
    </w:p>
    <w:p w14:paraId="600C0193" w14:textId="77777777" w:rsidR="0006302B" w:rsidRPr="0013707D" w:rsidRDefault="0006302B" w:rsidP="0006302B">
      <w:pPr>
        <w:pStyle w:val="ARTICULOS"/>
        <w:numPr>
          <w:ilvl w:val="0"/>
          <w:numId w:val="0"/>
        </w:numPr>
        <w:rPr>
          <w:rFonts w:cs="Arial"/>
          <w:color w:val="000000" w:themeColor="text1"/>
          <w:lang w:val="es-CO"/>
        </w:rPr>
      </w:pPr>
    </w:p>
    <w:p w14:paraId="47A542E3" w14:textId="3C91BECE" w:rsidR="0006302B" w:rsidRPr="0013707D" w:rsidRDefault="0006302B" w:rsidP="0006302B">
      <w:pPr>
        <w:pStyle w:val="ARTICULOS"/>
        <w:tabs>
          <w:tab w:val="clear" w:pos="1559"/>
          <w:tab w:val="left" w:pos="1560"/>
        </w:tabs>
        <w:outlineLvl w:val="0"/>
        <w:rPr>
          <w:rFonts w:cs="Arial"/>
          <w:color w:val="000000" w:themeColor="text1"/>
          <w:lang w:val="es-CO"/>
        </w:rPr>
      </w:pPr>
      <w:bookmarkStart w:id="31" w:name="_Ref330309544"/>
      <w:r w:rsidRPr="0013707D">
        <w:rPr>
          <w:rFonts w:cs="Arial"/>
          <w:b/>
          <w:color w:val="000000" w:themeColor="text1"/>
          <w:lang w:val="es-CO"/>
        </w:rPr>
        <w:t xml:space="preserve">Eventos de fuerza mayor, caso fortuito o causa extraña. </w:t>
      </w:r>
      <w:r w:rsidRPr="0013707D">
        <w:rPr>
          <w:rFonts w:cs="Arial"/>
          <w:color w:val="000000" w:themeColor="text1"/>
          <w:lang w:val="es-CO"/>
        </w:rPr>
        <w:t xml:space="preserve">En la ejecución de los contratos referidos </w:t>
      </w:r>
      <w:r w:rsidRPr="00B86837">
        <w:rPr>
          <w:rFonts w:cs="Arial"/>
          <w:color w:val="000000" w:themeColor="text1"/>
          <w:lang w:val="es-CO"/>
        </w:rPr>
        <w:t>en el</w:t>
      </w:r>
      <w:r w:rsidR="00DD53A4">
        <w:rPr>
          <w:rFonts w:cs="Arial"/>
          <w:color w:val="000000" w:themeColor="text1"/>
          <w:lang w:val="es-CO"/>
        </w:rPr>
        <w:t xml:space="preserve"> artículo 8</w:t>
      </w:r>
      <w:r w:rsidRPr="00B86837">
        <w:rPr>
          <w:rFonts w:cs="Arial"/>
          <w:color w:val="000000" w:themeColor="text1"/>
          <w:lang w:val="es-CO"/>
        </w:rPr>
        <w:t xml:space="preserve"> de</w:t>
      </w:r>
      <w:r w:rsidRPr="0013707D">
        <w:rPr>
          <w:rFonts w:cs="Arial"/>
          <w:color w:val="000000" w:themeColor="text1"/>
          <w:lang w:val="es-CO"/>
        </w:rPr>
        <w:t xml:space="preserve"> la presente Resolución, con excepción de los contratos de contingencia y de los contratos </w:t>
      </w:r>
      <w:r w:rsidRPr="00FF59D0">
        <w:rPr>
          <w:rFonts w:cs="Arial"/>
          <w:color w:val="000000" w:themeColor="text1"/>
          <w:lang w:val="es-CO"/>
        </w:rPr>
        <w:t>con interrupciones</w:t>
      </w:r>
      <w:r w:rsidRPr="0013707D">
        <w:rPr>
          <w:rFonts w:cs="Arial"/>
          <w:color w:val="000000" w:themeColor="text1"/>
          <w:lang w:val="es-CO"/>
        </w:rPr>
        <w:t>, ninguna de las partes será responsable frente a la otra por el incumplimiento de las obligaciones contraídas por ellas, incluyendo demoras, daños por pérdidas, reclamos o demandas de cualquier naturaleza, cuando dicho incumplimiento, parcial o total, se produzca por causas y circunstancias que se deban a un evento de fuerza mayor, caso fortuito o causa extraña, según lo definido por la ley colombiana.</w:t>
      </w:r>
      <w:bookmarkEnd w:id="31"/>
    </w:p>
    <w:p w14:paraId="2A03DA2E" w14:textId="77777777" w:rsidR="0006302B" w:rsidRPr="0013707D" w:rsidRDefault="0006302B" w:rsidP="0006302B">
      <w:pPr>
        <w:pStyle w:val="Default"/>
        <w:jc w:val="both"/>
        <w:rPr>
          <w:rFonts w:ascii="Bookman Old Style" w:eastAsia="Times New Roman" w:hAnsi="Bookman Old Style" w:cs="Arial"/>
          <w:bCs/>
          <w:color w:val="000000" w:themeColor="text1"/>
          <w:lang w:eastAsia="x-none"/>
        </w:rPr>
      </w:pPr>
    </w:p>
    <w:p w14:paraId="70D5D6C6" w14:textId="77777777" w:rsidR="0006302B" w:rsidRPr="0013707D" w:rsidRDefault="0006302B" w:rsidP="0006302B">
      <w:pPr>
        <w:pStyle w:val="Default"/>
        <w:jc w:val="both"/>
        <w:rPr>
          <w:rFonts w:ascii="Bookman Old Style" w:eastAsia="Times New Roman" w:hAnsi="Bookman Old Style" w:cs="Arial"/>
          <w:bCs/>
          <w:color w:val="000000" w:themeColor="text1"/>
          <w:lang w:eastAsia="x-none"/>
        </w:rPr>
      </w:pPr>
      <w:r w:rsidRPr="0013707D">
        <w:rPr>
          <w:rFonts w:ascii="Bookman Old Style" w:eastAsia="Times New Roman" w:hAnsi="Bookman Old Style" w:cs="Arial"/>
          <w:bCs/>
          <w:color w:val="000000" w:themeColor="text1"/>
          <w:lang w:eastAsia="x-none"/>
        </w:rPr>
        <w:t>La ocurrencia de un evento de fuerza mayor, caso fortuito o causa extraña no exonerará ni liberará a las partes, en ningún caso, del cumplimiento de las obligaciones causadas con anterioridad a la ocurrencia de los hechos a los que se refiere este artículo.</w:t>
      </w:r>
    </w:p>
    <w:p w14:paraId="569D4F62"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6BFB3A57" w14:textId="77777777" w:rsidR="0006302B" w:rsidRPr="0013707D" w:rsidRDefault="0006302B" w:rsidP="0006302B">
      <w:pPr>
        <w:pStyle w:val="ARTICULOS"/>
        <w:numPr>
          <w:ilvl w:val="0"/>
          <w:numId w:val="0"/>
        </w:numPr>
        <w:rPr>
          <w:rFonts w:cs="Arial"/>
          <w:color w:val="000000" w:themeColor="text1"/>
          <w:lang w:val="es-CO"/>
        </w:rPr>
      </w:pPr>
      <w:r w:rsidRPr="0013707D">
        <w:rPr>
          <w:rFonts w:cs="Arial"/>
          <w:color w:val="000000" w:themeColor="text1"/>
          <w:lang w:val="es-CO"/>
        </w:rPr>
        <w:t>En caso de que ocurra un evento de fuerza mayor, caso fortuito o causa extraña se deberá proceder de la siguiente forma:</w:t>
      </w:r>
    </w:p>
    <w:p w14:paraId="1FFA1059"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5751D9CF" w14:textId="77777777" w:rsidR="0006302B" w:rsidRPr="0013707D" w:rsidRDefault="0006302B" w:rsidP="0006302B">
      <w:pPr>
        <w:pStyle w:val="ARTICULOS"/>
        <w:numPr>
          <w:ilvl w:val="1"/>
          <w:numId w:val="7"/>
        </w:numPr>
        <w:ind w:left="567" w:hanging="567"/>
        <w:rPr>
          <w:color w:val="000000" w:themeColor="text1"/>
          <w:lang w:val="es-CO"/>
        </w:rPr>
      </w:pPr>
      <w:r w:rsidRPr="0013707D">
        <w:rPr>
          <w:color w:val="000000" w:themeColor="text1"/>
          <w:lang w:val="es-CO"/>
        </w:rPr>
        <w:t>La parte afectada directamente por el evento de fuerza mayor, caso fortuito o causa extraña notificará por escrito a la otra parte el acaecimiento del hecho, dentro de las veinticuatro (24) horas siguientes, invocando las circunstancias constitutivas del evento de fuerza mayor, caso fortuito o causa extraña.</w:t>
      </w:r>
    </w:p>
    <w:p w14:paraId="7A1DABDE" w14:textId="77777777" w:rsidR="0006302B" w:rsidRPr="0013707D" w:rsidRDefault="0006302B" w:rsidP="0006302B">
      <w:pPr>
        <w:pStyle w:val="ARTICULOS"/>
        <w:numPr>
          <w:ilvl w:val="0"/>
          <w:numId w:val="0"/>
        </w:numPr>
        <w:rPr>
          <w:color w:val="000000" w:themeColor="text1"/>
          <w:lang w:val="es-CO"/>
        </w:rPr>
      </w:pPr>
    </w:p>
    <w:p w14:paraId="5F576366" w14:textId="713764D8" w:rsidR="0006302B" w:rsidRPr="0013707D" w:rsidRDefault="0006302B" w:rsidP="0006302B">
      <w:pPr>
        <w:pStyle w:val="ARTICULOS"/>
        <w:numPr>
          <w:ilvl w:val="1"/>
          <w:numId w:val="7"/>
        </w:numPr>
        <w:ind w:left="567" w:hanging="567"/>
        <w:rPr>
          <w:color w:val="000000" w:themeColor="text1"/>
          <w:lang w:val="es-CO"/>
        </w:rPr>
      </w:pPr>
      <w:r w:rsidRPr="0013707D">
        <w:rPr>
          <w:color w:val="000000" w:themeColor="text1"/>
          <w:lang w:val="es-CO"/>
        </w:rPr>
        <w:t>La parte afectada directamente por el evento de fuerza mayor</w:t>
      </w:r>
      <w:r>
        <w:rPr>
          <w:color w:val="000000" w:themeColor="text1"/>
          <w:lang w:val="es-CO"/>
        </w:rPr>
        <w:t>,</w:t>
      </w:r>
      <w:r w:rsidRPr="0013707D">
        <w:rPr>
          <w:color w:val="000000" w:themeColor="text1"/>
          <w:lang w:val="es-CO"/>
        </w:rPr>
        <w:t xml:space="preserve"> caso fortuito o causa extraña</w:t>
      </w:r>
      <w:r w:rsidR="008F15E0">
        <w:rPr>
          <w:color w:val="000000" w:themeColor="text1"/>
          <w:lang w:val="es-CO"/>
        </w:rPr>
        <w:t>,</w:t>
      </w:r>
      <w:r w:rsidRPr="0013707D">
        <w:rPr>
          <w:color w:val="000000" w:themeColor="text1"/>
          <w:lang w:val="es-CO"/>
        </w:rPr>
        <w:t xml:space="preserve"> entregará por escrito a la otra parte, dentro de los cinco (5) días calendario siguientes al acaecimiento del hecho, toda la información necesaria para demostrar la ocurrencia </w:t>
      </w:r>
      <w:r w:rsidR="00375BDA" w:rsidRPr="0013707D">
        <w:rPr>
          <w:color w:val="000000" w:themeColor="text1"/>
          <w:lang w:val="es-CO"/>
        </w:rPr>
        <w:t>de este</w:t>
      </w:r>
      <w:r w:rsidRPr="0013707D">
        <w:rPr>
          <w:color w:val="000000" w:themeColor="text1"/>
          <w:lang w:val="es-CO"/>
        </w:rPr>
        <w:t xml:space="preserve"> y los efectos del evento en la prestación del servicio para la otra parte.</w:t>
      </w:r>
    </w:p>
    <w:p w14:paraId="368D34B8" w14:textId="77777777" w:rsidR="0006302B" w:rsidRPr="0013707D" w:rsidRDefault="0006302B" w:rsidP="0006302B">
      <w:pPr>
        <w:pStyle w:val="ARTICULOS"/>
        <w:numPr>
          <w:ilvl w:val="0"/>
          <w:numId w:val="0"/>
        </w:numPr>
        <w:ind w:left="567"/>
        <w:rPr>
          <w:color w:val="000000" w:themeColor="text1"/>
          <w:lang w:val="es-CO"/>
        </w:rPr>
      </w:pPr>
    </w:p>
    <w:p w14:paraId="622C4990" w14:textId="77777777" w:rsidR="0006302B" w:rsidRPr="0013707D" w:rsidRDefault="0006302B" w:rsidP="0006302B">
      <w:pPr>
        <w:pStyle w:val="ARTICULOS"/>
        <w:numPr>
          <w:ilvl w:val="1"/>
          <w:numId w:val="7"/>
        </w:numPr>
        <w:ind w:left="567" w:hanging="567"/>
        <w:rPr>
          <w:color w:val="000000" w:themeColor="text1"/>
          <w:lang w:val="es-CO"/>
        </w:rPr>
      </w:pPr>
      <w:r w:rsidRPr="0013707D">
        <w:rPr>
          <w:color w:val="000000" w:themeColor="text1"/>
          <w:lang w:val="es-CO"/>
        </w:rPr>
        <w:t>Una vez que la parte afectada directamente por el evento de fuerza mayor, caso fortuito o causa extraña haya hecho la notificación, se suspenderá el cumplimiento de la obligación de entregar o de aceptar la entrega, a partir del acaecimiento del respectivo hecho y hasta el momento en que haya cesado la causa eximente de responsabilidad y superado el evento, y se considerará que ninguna de las partes ha incumplido.</w:t>
      </w:r>
    </w:p>
    <w:p w14:paraId="580F0788" w14:textId="77777777" w:rsidR="0006302B" w:rsidRPr="0013707D" w:rsidRDefault="0006302B" w:rsidP="0006302B">
      <w:pPr>
        <w:pStyle w:val="ARTICULOS"/>
        <w:numPr>
          <w:ilvl w:val="0"/>
          <w:numId w:val="0"/>
        </w:numPr>
        <w:ind w:left="567"/>
        <w:rPr>
          <w:color w:val="000000" w:themeColor="text1"/>
          <w:lang w:val="es-CO"/>
        </w:rPr>
      </w:pPr>
    </w:p>
    <w:p w14:paraId="53A0CDAA" w14:textId="6D491006" w:rsidR="0006302B" w:rsidRPr="0013707D" w:rsidRDefault="0006302B" w:rsidP="0006302B">
      <w:pPr>
        <w:pStyle w:val="ARTICULOS"/>
        <w:numPr>
          <w:ilvl w:val="1"/>
          <w:numId w:val="7"/>
        </w:numPr>
        <w:ind w:left="567" w:hanging="567"/>
        <w:rPr>
          <w:color w:val="000000" w:themeColor="text1"/>
          <w:lang w:val="es-CO"/>
        </w:rPr>
      </w:pPr>
      <w:r w:rsidRPr="0013707D">
        <w:rPr>
          <w:color w:val="000000" w:themeColor="text1"/>
          <w:lang w:val="es-CO"/>
        </w:rPr>
        <w:t>Si dentro de los diez (10) días hábiles siguientes al recibo de la notificación</w:t>
      </w:r>
      <w:r>
        <w:rPr>
          <w:color w:val="000000" w:themeColor="text1"/>
          <w:lang w:val="es-CO"/>
        </w:rPr>
        <w:t>,</w:t>
      </w:r>
      <w:r w:rsidRPr="0013707D">
        <w:rPr>
          <w:color w:val="000000" w:themeColor="text1"/>
          <w:lang w:val="es-CO"/>
        </w:rPr>
        <w:t xml:space="preserve"> la parte no afectada directamente rechaza por escrito la existencia de un </w:t>
      </w:r>
      <w:r w:rsidRPr="0013707D">
        <w:rPr>
          <w:color w:val="000000" w:themeColor="text1"/>
          <w:lang w:val="es-CO"/>
        </w:rPr>
        <w:lastRenderedPageBreak/>
        <w:t>evento de fuerza mayor, caso fortuito o causa extraña</w:t>
      </w:r>
      <w:r w:rsidR="008F15E0">
        <w:rPr>
          <w:color w:val="000000" w:themeColor="text1"/>
          <w:lang w:val="es-CO"/>
        </w:rPr>
        <w:t>,</w:t>
      </w:r>
      <w:r w:rsidRPr="0013707D">
        <w:rPr>
          <w:color w:val="000000" w:themeColor="text1"/>
          <w:lang w:val="es-CO"/>
        </w:rPr>
        <w:t xml:space="preserve"> se procederá de acuerdo con los mecanismos de solución de controversias previstos en el respectivo contrato, sin perjuicio de suspender el cumplimiento de las obligaciones afectadas. Si dentro del plazo de los diez (10) días hábiles mencionados la parte no afectada directamente no manifiesta por escrito el rechazo de la fuerza mayor, caso fortuito o causa extraña</w:t>
      </w:r>
      <w:r w:rsidR="008F15E0">
        <w:rPr>
          <w:color w:val="000000" w:themeColor="text1"/>
          <w:lang w:val="es-CO"/>
        </w:rPr>
        <w:t>,</w:t>
      </w:r>
      <w:r w:rsidRPr="0013707D">
        <w:rPr>
          <w:color w:val="000000" w:themeColor="text1"/>
          <w:lang w:val="es-CO"/>
        </w:rPr>
        <w:t xml:space="preserve"> se entenderá que ha aceptado la existencia de la eximente de responsabilidad mientras duren los hechos constitutivos de la misma.</w:t>
      </w:r>
    </w:p>
    <w:p w14:paraId="5AFEC3C1" w14:textId="77777777" w:rsidR="0006302B" w:rsidRPr="0013707D" w:rsidRDefault="0006302B" w:rsidP="0006302B">
      <w:pPr>
        <w:pStyle w:val="ARTICULOS"/>
        <w:numPr>
          <w:ilvl w:val="0"/>
          <w:numId w:val="0"/>
        </w:numPr>
        <w:ind w:left="567"/>
        <w:rPr>
          <w:color w:val="000000" w:themeColor="text1"/>
          <w:lang w:val="es-CO"/>
        </w:rPr>
      </w:pPr>
    </w:p>
    <w:p w14:paraId="7AA8AA83" w14:textId="77777777" w:rsidR="0006302B" w:rsidRPr="0013707D" w:rsidRDefault="0006302B" w:rsidP="0006302B">
      <w:pPr>
        <w:pStyle w:val="ARTICULOS"/>
        <w:numPr>
          <w:ilvl w:val="1"/>
          <w:numId w:val="7"/>
        </w:numPr>
        <w:ind w:left="567" w:hanging="567"/>
        <w:rPr>
          <w:color w:val="000000" w:themeColor="text1"/>
          <w:lang w:val="es-CO"/>
        </w:rPr>
      </w:pPr>
      <w:bookmarkStart w:id="32" w:name="_Ref401757682"/>
      <w:r w:rsidRPr="0013707D">
        <w:rPr>
          <w:color w:val="000000" w:themeColor="text1"/>
          <w:lang w:val="es-CO"/>
        </w:rPr>
        <w:t>La parte que invoque la ocurrencia de un evento de fuerza mayor, caso fortuito o causa extraña deberá realizar sus mejores esfuerzos para subsanar la causa que dio lugar a su declaratoria, e informará por escrito a la otra parte, dentro de las veinticuatro (24) horas siguientes a la superación del evento, la fecha y hora en que fue superado. El cumplimiento de las obligaciones suspendidas se reiniciará el día de gas siguiente a la notificación de la superación del evento, siempre y cuando dicha notificación sea recibida por la parte no afectada directamente al menos dos (2) horas antes del inicio del ciclo de nominación para el siguiente día de gas. En caso contrario</w:t>
      </w:r>
      <w:r>
        <w:rPr>
          <w:color w:val="000000" w:themeColor="text1"/>
          <w:lang w:val="es-CO"/>
        </w:rPr>
        <w:t>,</w:t>
      </w:r>
      <w:r w:rsidRPr="0013707D">
        <w:rPr>
          <w:color w:val="000000" w:themeColor="text1"/>
          <w:lang w:val="es-CO"/>
        </w:rPr>
        <w:t xml:space="preserve"> las obligaciones suspendidas se reiniciarán el segundo día de gas siguiente</w:t>
      </w:r>
      <w:r>
        <w:rPr>
          <w:color w:val="000000" w:themeColor="text1"/>
          <w:lang w:val="es-CO"/>
        </w:rPr>
        <w:t xml:space="preserve"> a</w:t>
      </w:r>
      <w:r w:rsidRPr="0013707D">
        <w:rPr>
          <w:color w:val="000000" w:themeColor="text1"/>
          <w:lang w:val="es-CO"/>
        </w:rPr>
        <w:t xml:space="preserve"> la notificación.</w:t>
      </w:r>
      <w:bookmarkEnd w:id="32"/>
    </w:p>
    <w:p w14:paraId="33A256E8" w14:textId="77777777" w:rsidR="0006302B" w:rsidRPr="0013707D" w:rsidRDefault="0006302B" w:rsidP="0006302B">
      <w:pPr>
        <w:pStyle w:val="ARTICULOS"/>
        <w:numPr>
          <w:ilvl w:val="0"/>
          <w:numId w:val="0"/>
        </w:numPr>
        <w:tabs>
          <w:tab w:val="left" w:pos="1701"/>
        </w:tabs>
        <w:rPr>
          <w:rFonts w:cs="Arial"/>
          <w:color w:val="000000" w:themeColor="text1"/>
          <w:lang w:val="es-CO"/>
        </w:rPr>
      </w:pPr>
    </w:p>
    <w:p w14:paraId="75ECCABC" w14:textId="386328AC"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Parágrafo 1.</w:t>
      </w:r>
      <w:r w:rsidRPr="0013707D">
        <w:rPr>
          <w:rFonts w:cs="Arial"/>
          <w:color w:val="000000" w:themeColor="text1"/>
          <w:lang w:val="es-CO"/>
        </w:rPr>
        <w:t xml:space="preserve"> La obligación de los compradores de pagar el servicio de suministro del gas contratado se suspenderá </w:t>
      </w:r>
      <w:r w:rsidRPr="001E7F78">
        <w:rPr>
          <w:rFonts w:cs="Arial"/>
          <w:b/>
          <w:bCs w:val="0"/>
          <w:color w:val="000000" w:themeColor="text1"/>
          <w:lang w:val="es-CO"/>
        </w:rPr>
        <w:t xml:space="preserve">durante </w:t>
      </w:r>
      <w:r>
        <w:rPr>
          <w:rFonts w:cs="Arial"/>
          <w:b/>
          <w:bCs w:val="0"/>
          <w:color w:val="000000" w:themeColor="text1"/>
          <w:lang w:val="es-CO"/>
        </w:rPr>
        <w:t xml:space="preserve">la ocurrencia de </w:t>
      </w:r>
      <w:r w:rsidRPr="001E7F78">
        <w:rPr>
          <w:rFonts w:cs="Arial"/>
          <w:b/>
          <w:bCs w:val="0"/>
          <w:color w:val="000000" w:themeColor="text1"/>
          <w:lang w:val="es-CO"/>
        </w:rPr>
        <w:t xml:space="preserve">los </w:t>
      </w:r>
      <w:r w:rsidRPr="001E7F78">
        <w:rPr>
          <w:b/>
          <w:bCs w:val="0"/>
          <w:color w:val="000000" w:themeColor="text1"/>
          <w:lang w:val="es-CO"/>
        </w:rPr>
        <w:t>eventos eximentes de responsabilidad</w:t>
      </w:r>
      <w:r>
        <w:rPr>
          <w:b/>
          <w:bCs w:val="0"/>
          <w:color w:val="000000" w:themeColor="text1"/>
          <w:lang w:val="es-CO"/>
        </w:rPr>
        <w:t xml:space="preserve">, como lo son </w:t>
      </w:r>
      <w:r w:rsidR="0082196A">
        <w:rPr>
          <w:b/>
          <w:bCs w:val="0"/>
          <w:color w:val="000000" w:themeColor="text1"/>
          <w:lang w:val="es-CO"/>
        </w:rPr>
        <w:t>los originados por</w:t>
      </w:r>
      <w:r>
        <w:rPr>
          <w:b/>
          <w:bCs w:val="0"/>
          <w:color w:val="000000" w:themeColor="text1"/>
          <w:lang w:val="es-CO"/>
        </w:rPr>
        <w:t xml:space="preserve"> fuerza mayor, el caso fortuito y la causa extraña</w:t>
      </w:r>
      <w:r w:rsidRPr="0013707D">
        <w:rPr>
          <w:rFonts w:cs="Arial"/>
          <w:color w:val="000000" w:themeColor="text1"/>
          <w:lang w:val="es-CO"/>
        </w:rPr>
        <w:t>. En caso de que no se afecte la capacidad total de suministro</w:t>
      </w:r>
      <w:r>
        <w:rPr>
          <w:rFonts w:cs="Arial"/>
          <w:color w:val="000000" w:themeColor="text1"/>
          <w:lang w:val="es-CO"/>
        </w:rPr>
        <w:t>,</w:t>
      </w:r>
      <w:r w:rsidRPr="0013707D">
        <w:rPr>
          <w:rFonts w:cs="Arial"/>
          <w:color w:val="000000" w:themeColor="text1"/>
          <w:lang w:val="es-CO"/>
        </w:rPr>
        <w:t xml:space="preserve"> el comprador deberá pagar la cantidad que efectivamente le fue entregada. </w:t>
      </w:r>
    </w:p>
    <w:p w14:paraId="182A80F1" w14:textId="77777777" w:rsidR="0006302B" w:rsidRPr="0013707D" w:rsidRDefault="0006302B" w:rsidP="0006302B">
      <w:pPr>
        <w:pStyle w:val="ARTICULOS"/>
        <w:numPr>
          <w:ilvl w:val="0"/>
          <w:numId w:val="0"/>
        </w:numPr>
        <w:tabs>
          <w:tab w:val="left" w:pos="1701"/>
        </w:tabs>
        <w:rPr>
          <w:rFonts w:cs="Arial"/>
          <w:color w:val="000000" w:themeColor="text1"/>
          <w:lang w:val="es-CO"/>
        </w:rPr>
      </w:pPr>
    </w:p>
    <w:p w14:paraId="31A14DBB" w14:textId="2EAC70FF" w:rsidR="0006302B" w:rsidRPr="0013707D" w:rsidRDefault="0006302B" w:rsidP="0006302B">
      <w:pPr>
        <w:pStyle w:val="ARTICULOS"/>
        <w:numPr>
          <w:ilvl w:val="0"/>
          <w:numId w:val="0"/>
        </w:numPr>
        <w:tabs>
          <w:tab w:val="left" w:pos="1701"/>
        </w:tabs>
        <w:rPr>
          <w:rFonts w:cs="Arial"/>
          <w:color w:val="000000" w:themeColor="text1"/>
          <w:lang w:val="es-CO"/>
        </w:rPr>
      </w:pPr>
      <w:r w:rsidRPr="0013707D">
        <w:rPr>
          <w:rFonts w:cs="Arial"/>
          <w:b/>
          <w:color w:val="000000" w:themeColor="text1"/>
          <w:lang w:val="es-CO"/>
        </w:rPr>
        <w:t xml:space="preserve">Parágrafo 2. </w:t>
      </w:r>
      <w:r w:rsidRPr="0013707D">
        <w:rPr>
          <w:rFonts w:cs="Arial"/>
          <w:color w:val="000000" w:themeColor="text1"/>
          <w:lang w:val="es-CO"/>
        </w:rPr>
        <w:t xml:space="preserve">Las obligaciones suspendidas por la ocurrencia de un evento de fuerza mayor, </w:t>
      </w:r>
      <w:r w:rsidRPr="009602D5">
        <w:rPr>
          <w:rFonts w:cs="Arial"/>
          <w:color w:val="000000" w:themeColor="text1"/>
          <w:lang w:val="es-CO"/>
        </w:rPr>
        <w:t xml:space="preserve">caso fortuito o causa extraña se podrán reiniciar antes del período establecido en el </w:t>
      </w:r>
      <w:r w:rsidRPr="00D66B65">
        <w:rPr>
          <w:rFonts w:cs="Arial"/>
          <w:color w:val="000000" w:themeColor="text1"/>
          <w:lang w:val="es-CO"/>
        </w:rPr>
        <w:t xml:space="preserve">numeral </w:t>
      </w:r>
      <w:r>
        <w:rPr>
          <w:rFonts w:cs="Arial"/>
          <w:color w:val="000000" w:themeColor="text1"/>
          <w:lang w:val="es-CO"/>
        </w:rPr>
        <w:t>4</w:t>
      </w:r>
      <w:r w:rsidRPr="00D66B65">
        <w:rPr>
          <w:rFonts w:cs="Arial"/>
          <w:color w:val="000000" w:themeColor="text1"/>
          <w:lang w:val="es-CO"/>
        </w:rPr>
        <w:t xml:space="preserve"> de este artículo</w:t>
      </w:r>
      <w:r w:rsidR="008F15E0">
        <w:rPr>
          <w:rFonts w:cs="Arial"/>
          <w:color w:val="000000" w:themeColor="text1"/>
          <w:lang w:val="es-CO"/>
        </w:rPr>
        <w:t>,</w:t>
      </w:r>
      <w:r w:rsidRPr="009602D5">
        <w:rPr>
          <w:rFonts w:cs="Arial"/>
          <w:color w:val="000000" w:themeColor="text1"/>
          <w:lang w:val="es-CO"/>
        </w:rPr>
        <w:t xml:space="preserve"> si las partes así lo convienen.</w:t>
      </w:r>
    </w:p>
    <w:p w14:paraId="142FD0E8" w14:textId="77777777" w:rsidR="0006302B" w:rsidRPr="0013707D" w:rsidRDefault="0006302B" w:rsidP="0006302B">
      <w:pPr>
        <w:pStyle w:val="ARTICULOS"/>
        <w:numPr>
          <w:ilvl w:val="0"/>
          <w:numId w:val="0"/>
        </w:numPr>
        <w:tabs>
          <w:tab w:val="left" w:pos="1701"/>
        </w:tabs>
        <w:rPr>
          <w:rFonts w:cs="Arial"/>
          <w:color w:val="000000" w:themeColor="text1"/>
          <w:lang w:val="es-CO"/>
        </w:rPr>
      </w:pPr>
    </w:p>
    <w:p w14:paraId="096E232F" w14:textId="4E435E9F" w:rsidR="0006302B" w:rsidRPr="0013707D" w:rsidRDefault="0006302B" w:rsidP="0006302B">
      <w:pPr>
        <w:pStyle w:val="ARTICULOS"/>
        <w:tabs>
          <w:tab w:val="clear" w:pos="1559"/>
          <w:tab w:val="left" w:pos="1560"/>
        </w:tabs>
        <w:outlineLvl w:val="0"/>
        <w:rPr>
          <w:rFonts w:cs="Arial"/>
          <w:b/>
          <w:color w:val="000000" w:themeColor="text1"/>
          <w:lang w:val="es-CO"/>
        </w:rPr>
      </w:pPr>
      <w:bookmarkStart w:id="33" w:name="_Ref334521083"/>
      <w:r w:rsidRPr="0013707D">
        <w:rPr>
          <w:rFonts w:cs="Arial"/>
          <w:b/>
          <w:color w:val="000000" w:themeColor="text1"/>
          <w:lang w:val="es-CO"/>
        </w:rPr>
        <w:t xml:space="preserve">Eventos eximentes de responsabilidad. </w:t>
      </w:r>
      <w:r w:rsidRPr="0013707D">
        <w:rPr>
          <w:rFonts w:cs="Arial"/>
          <w:color w:val="000000" w:themeColor="text1"/>
          <w:lang w:val="es-CO"/>
        </w:rPr>
        <w:t>Por evento eximente de responsabilidad se entenderá lo establecido en el</w:t>
      </w:r>
      <w:r w:rsidR="00DD53A4">
        <w:rPr>
          <w:rFonts w:cs="Arial"/>
          <w:color w:val="000000" w:themeColor="text1"/>
          <w:lang w:val="es-CO"/>
        </w:rPr>
        <w:t xml:space="preserve"> artículo 3</w:t>
      </w:r>
      <w:r w:rsidRPr="0013707D">
        <w:rPr>
          <w:rFonts w:cs="Arial"/>
          <w:color w:val="000000" w:themeColor="text1"/>
          <w:lang w:val="es-CO"/>
        </w:rPr>
        <w:t xml:space="preserve"> de la presente Resolución.</w:t>
      </w:r>
      <w:bookmarkEnd w:id="33"/>
    </w:p>
    <w:p w14:paraId="61487FD0" w14:textId="77777777" w:rsidR="0006302B" w:rsidRPr="0013707D" w:rsidRDefault="0006302B" w:rsidP="0006302B">
      <w:pPr>
        <w:pStyle w:val="ARTICULOS"/>
        <w:numPr>
          <w:ilvl w:val="0"/>
          <w:numId w:val="0"/>
        </w:numPr>
        <w:tabs>
          <w:tab w:val="clear" w:pos="1559"/>
          <w:tab w:val="left" w:pos="1560"/>
        </w:tabs>
        <w:rPr>
          <w:rFonts w:cs="Arial"/>
          <w:b/>
          <w:color w:val="000000" w:themeColor="text1"/>
          <w:lang w:val="es-CO"/>
        </w:rPr>
      </w:pPr>
    </w:p>
    <w:p w14:paraId="355C422E" w14:textId="3E4FF8E8" w:rsidR="0006302B"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color w:val="000000" w:themeColor="text1"/>
          <w:lang w:val="es-CO"/>
        </w:rPr>
        <w:t xml:space="preserve">En los contratos a </w:t>
      </w:r>
      <w:r w:rsidR="008F15E0">
        <w:rPr>
          <w:rFonts w:cs="Arial"/>
          <w:color w:val="000000" w:themeColor="text1"/>
          <w:lang w:val="es-CO"/>
        </w:rPr>
        <w:t xml:space="preserve">los </w:t>
      </w:r>
      <w:r w:rsidRPr="0013707D">
        <w:rPr>
          <w:rFonts w:cs="Arial"/>
          <w:color w:val="000000" w:themeColor="text1"/>
          <w:lang w:val="es-CO"/>
        </w:rPr>
        <w:t xml:space="preserve">que se </w:t>
      </w:r>
      <w:r w:rsidRPr="00980A80">
        <w:rPr>
          <w:rFonts w:cs="Arial"/>
          <w:color w:val="000000" w:themeColor="text1"/>
          <w:lang w:val="es-CO"/>
        </w:rPr>
        <w:t>refiere el</w:t>
      </w:r>
      <w:r w:rsidR="00DD53A4">
        <w:rPr>
          <w:rFonts w:cs="Arial"/>
          <w:color w:val="000000" w:themeColor="text1"/>
          <w:lang w:val="es-CO"/>
        </w:rPr>
        <w:t xml:space="preserve"> artículo 8</w:t>
      </w:r>
      <w:r w:rsidRPr="00980A80">
        <w:rPr>
          <w:rFonts w:cs="Arial"/>
          <w:color w:val="000000" w:themeColor="text1"/>
          <w:lang w:val="es-CO"/>
        </w:rPr>
        <w:t xml:space="preserve"> de la presente Resolución, con excepción de los contratos de suministro de contingencia</w:t>
      </w:r>
      <w:r w:rsidRPr="0013707D">
        <w:rPr>
          <w:rFonts w:cs="Arial"/>
          <w:color w:val="000000" w:themeColor="text1"/>
          <w:lang w:val="es-CO"/>
        </w:rPr>
        <w:t xml:space="preserve"> y de los </w:t>
      </w:r>
      <w:r w:rsidRPr="00FF59D0">
        <w:rPr>
          <w:rFonts w:cs="Arial"/>
          <w:color w:val="000000" w:themeColor="text1"/>
          <w:lang w:val="es-CO"/>
        </w:rPr>
        <w:t>contratos con interrupciones</w:t>
      </w:r>
      <w:r w:rsidRPr="0013707D">
        <w:rPr>
          <w:rFonts w:cs="Arial"/>
          <w:color w:val="000000" w:themeColor="text1"/>
          <w:lang w:val="es-CO"/>
        </w:rPr>
        <w:t>, únicamente podrán ser pactados los siguientes eventos eximentes de responsabilidad:</w:t>
      </w:r>
    </w:p>
    <w:p w14:paraId="2F639C9A"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1B7B9B23" w14:textId="77777777" w:rsidR="0006302B" w:rsidRPr="0013707D" w:rsidRDefault="0006302B" w:rsidP="0006302B">
      <w:pPr>
        <w:pStyle w:val="ARTICULOS"/>
        <w:numPr>
          <w:ilvl w:val="1"/>
          <w:numId w:val="8"/>
        </w:numPr>
        <w:ind w:left="567" w:hanging="567"/>
        <w:rPr>
          <w:color w:val="000000" w:themeColor="text1"/>
          <w:lang w:val="es-CO"/>
        </w:rPr>
      </w:pPr>
      <w:bookmarkStart w:id="34" w:name="_Ref330889076"/>
      <w:r w:rsidRPr="0013707D">
        <w:rPr>
          <w:color w:val="000000" w:themeColor="text1"/>
          <w:lang w:val="es-CO"/>
        </w:rPr>
        <w:t>La imposibilidad parcial o total para la operación y funcionamiento de las instalaciones o infraestructura para la producción, manejo, entrega o recibo del gas, así como de las conexiones o las instalaciones de cualquiera de las partes, por actos malintencionados de terceros ajenos al control y manejo directo de cualquiera de las partes y sin su culpa, tales como los ataques o sabotajes terroristas o guerrilleros o las alteraciones graves del orden público, que directa o indirectamente contribuyan o resulten en la imposibilidad de alguna de las partes para cumplir con sus obligaciones.</w:t>
      </w:r>
      <w:bookmarkEnd w:id="34"/>
    </w:p>
    <w:p w14:paraId="6FFB435C" w14:textId="77777777" w:rsidR="0006302B" w:rsidRPr="0013707D" w:rsidRDefault="0006302B" w:rsidP="0006302B">
      <w:pPr>
        <w:pStyle w:val="ARTICULOS"/>
        <w:numPr>
          <w:ilvl w:val="0"/>
          <w:numId w:val="0"/>
        </w:numPr>
        <w:ind w:left="567"/>
        <w:rPr>
          <w:color w:val="000000" w:themeColor="text1"/>
          <w:lang w:val="es-CO"/>
        </w:rPr>
      </w:pPr>
    </w:p>
    <w:p w14:paraId="155422BA" w14:textId="2245FE54" w:rsidR="0006302B" w:rsidRPr="003D20AA" w:rsidRDefault="00DC0993" w:rsidP="0006302B">
      <w:pPr>
        <w:pStyle w:val="ARTICULOS"/>
        <w:numPr>
          <w:ilvl w:val="1"/>
          <w:numId w:val="8"/>
        </w:numPr>
        <w:ind w:left="567" w:hanging="567"/>
        <w:rPr>
          <w:color w:val="000000" w:themeColor="text1"/>
          <w:lang w:val="es-CO"/>
        </w:rPr>
      </w:pPr>
      <w:bookmarkStart w:id="35" w:name="_Ref330889079"/>
      <w:r>
        <w:rPr>
          <w:color w:val="000000" w:themeColor="text1"/>
          <w:lang w:val="es-CO"/>
        </w:rPr>
        <w:t xml:space="preserve">Cesación de actividades de una de las partes, atribuida a una situación de ilegalidad que imposibilite el cumplimiento de sus obligaciones a cualquiera </w:t>
      </w:r>
      <w:r>
        <w:rPr>
          <w:color w:val="000000" w:themeColor="text1"/>
          <w:lang w:val="es-CO"/>
        </w:rPr>
        <w:lastRenderedPageBreak/>
        <w:t>de las partes</w:t>
      </w:r>
      <w:r w:rsidR="0006302B" w:rsidRPr="0013707D">
        <w:rPr>
          <w:color w:val="000000" w:themeColor="text1"/>
          <w:lang w:val="es-CO"/>
        </w:rPr>
        <w:t>.</w:t>
      </w:r>
      <w:bookmarkEnd w:id="35"/>
    </w:p>
    <w:p w14:paraId="57C4E840" w14:textId="77777777" w:rsidR="0006302B" w:rsidRPr="003D20AA" w:rsidRDefault="0006302B" w:rsidP="0006302B">
      <w:pPr>
        <w:pStyle w:val="ARTICULOS"/>
        <w:numPr>
          <w:ilvl w:val="0"/>
          <w:numId w:val="0"/>
        </w:numPr>
        <w:ind w:left="567"/>
        <w:rPr>
          <w:color w:val="000000" w:themeColor="text1"/>
          <w:lang w:val="es-CO"/>
        </w:rPr>
      </w:pPr>
    </w:p>
    <w:p w14:paraId="380EBF4F" w14:textId="0D238462" w:rsidR="0006302B" w:rsidRPr="003D20AA" w:rsidRDefault="00EF0F82" w:rsidP="0006302B">
      <w:pPr>
        <w:pStyle w:val="ARTICULOS"/>
        <w:numPr>
          <w:ilvl w:val="1"/>
          <w:numId w:val="8"/>
        </w:numPr>
        <w:ind w:left="567" w:hanging="567"/>
        <w:rPr>
          <w:color w:val="000000" w:themeColor="text1"/>
          <w:lang w:val="es-CO"/>
        </w:rPr>
      </w:pPr>
      <w:r w:rsidRPr="00295053">
        <w:rPr>
          <w:b/>
          <w:bCs w:val="0"/>
          <w:color w:val="000000" w:themeColor="text1"/>
          <w:lang w:val="es-CO"/>
        </w:rPr>
        <w:t>Excepto en los contratos de duración semanal o mensual</w:t>
      </w:r>
      <w:r>
        <w:rPr>
          <w:color w:val="000000" w:themeColor="text1"/>
          <w:lang w:val="es-CO"/>
        </w:rPr>
        <w:t>, l</w:t>
      </w:r>
      <w:r w:rsidR="0006302B" w:rsidRPr="003D20AA">
        <w:rPr>
          <w:color w:val="000000" w:themeColor="text1"/>
          <w:lang w:val="es-CO"/>
        </w:rPr>
        <w:t>as suspensiones por labores programadas para reparaciones técnicas o mantenimientos periódicos</w:t>
      </w:r>
      <w:r w:rsidR="007C51F8" w:rsidRPr="003D20AA">
        <w:rPr>
          <w:color w:val="000000" w:themeColor="text1"/>
          <w:lang w:val="es-CO"/>
        </w:rPr>
        <w:t xml:space="preserve"> </w:t>
      </w:r>
      <w:r w:rsidR="007C51F8" w:rsidRPr="003D20AA">
        <w:rPr>
          <w:b/>
          <w:bCs w:val="0"/>
          <w:lang w:val="es-CO"/>
        </w:rPr>
        <w:t>de fuentes de suministro</w:t>
      </w:r>
      <w:r w:rsidR="006B26DD" w:rsidRPr="003D20AA">
        <w:rPr>
          <w:b/>
          <w:bCs w:val="0"/>
          <w:lang w:val="es-CO"/>
        </w:rPr>
        <w:t xml:space="preserve"> nacionales</w:t>
      </w:r>
      <w:r w:rsidR="0006302B" w:rsidRPr="003D20AA">
        <w:rPr>
          <w:color w:val="000000" w:themeColor="text1"/>
          <w:lang w:val="es-CO"/>
        </w:rPr>
        <w:t>, siempre que de ello se dé aviso amplio y oportuno conforme al protocolo al que se hace referencia en el parágrafo 3 de este artículo. Las suspensiones por este concepto estarán sujetas a lo establecido en el</w:t>
      </w:r>
      <w:r w:rsidR="00DD53A4">
        <w:rPr>
          <w:color w:val="000000" w:themeColor="text1"/>
          <w:lang w:val="es-CO"/>
        </w:rPr>
        <w:t xml:space="preserve"> artículo 12</w:t>
      </w:r>
      <w:r w:rsidR="0006302B" w:rsidRPr="003D20AA">
        <w:rPr>
          <w:color w:val="000000" w:themeColor="text1"/>
          <w:lang w:val="es-CO"/>
        </w:rPr>
        <w:t xml:space="preserve"> de la presente Resolución.</w:t>
      </w:r>
    </w:p>
    <w:p w14:paraId="28CE0E4C" w14:textId="77777777" w:rsidR="0006302B" w:rsidRPr="003D20AA" w:rsidRDefault="0006302B" w:rsidP="0006302B">
      <w:pPr>
        <w:pStyle w:val="ARTICULOS"/>
        <w:numPr>
          <w:ilvl w:val="0"/>
          <w:numId w:val="0"/>
        </w:numPr>
        <w:rPr>
          <w:color w:val="000000" w:themeColor="text1"/>
          <w:lang w:val="es-CO"/>
        </w:rPr>
      </w:pPr>
    </w:p>
    <w:p w14:paraId="6AE4DDEE" w14:textId="0B6A1C2A" w:rsidR="00A82289" w:rsidRPr="007109A4" w:rsidRDefault="00A82289" w:rsidP="00A82289">
      <w:pPr>
        <w:pStyle w:val="ARTICULOS"/>
        <w:numPr>
          <w:ilvl w:val="1"/>
          <w:numId w:val="8"/>
        </w:numPr>
        <w:ind w:left="567" w:hanging="567"/>
        <w:rPr>
          <w:color w:val="000000" w:themeColor="text1"/>
          <w:lang w:val="es-CO"/>
        </w:rPr>
      </w:pPr>
      <w:r w:rsidRPr="007109A4">
        <w:rPr>
          <w:color w:val="000000" w:themeColor="text1"/>
          <w:lang w:val="es-CO"/>
        </w:rPr>
        <w:t xml:space="preserve">Cuando por causas imputables a una de las partes del contrato no se haya realizado el registro de que trata el literal b) del numeral 1.2 del </w:t>
      </w:r>
      <w:r>
        <w:rPr>
          <w:rFonts w:cs="Arial"/>
          <w:color w:val="000000" w:themeColor="text1"/>
          <w:lang w:val="es-CO"/>
        </w:rPr>
        <w:fldChar w:fldCharType="begin"/>
      </w:r>
      <w:r>
        <w:rPr>
          <w:rFonts w:cs="Arial"/>
          <w:color w:val="000000" w:themeColor="text1"/>
          <w:lang w:val="es-CO"/>
        </w:rPr>
        <w:instrText xml:space="preserve"> REF _Ref55316068 \h </w:instrText>
      </w:r>
      <w:r>
        <w:rPr>
          <w:rFonts w:cs="Arial"/>
          <w:color w:val="000000" w:themeColor="text1"/>
          <w:lang w:val="es-CO"/>
        </w:rPr>
      </w:r>
      <w:r>
        <w:rPr>
          <w:rFonts w:cs="Arial"/>
          <w:color w:val="000000" w:themeColor="text1"/>
          <w:lang w:val="es-CO"/>
        </w:rPr>
        <w:fldChar w:fldCharType="separate"/>
      </w:r>
      <w:r w:rsidR="00636B6A" w:rsidRPr="007E56EE">
        <w:rPr>
          <w:color w:val="000000" w:themeColor="text1"/>
        </w:rPr>
        <w:t xml:space="preserve">Anexo </w:t>
      </w:r>
      <w:r w:rsidR="00636B6A">
        <w:rPr>
          <w:noProof/>
          <w:color w:val="000000" w:themeColor="text1"/>
        </w:rPr>
        <w:t>1</w:t>
      </w:r>
      <w:r>
        <w:rPr>
          <w:rFonts w:cs="Arial"/>
          <w:color w:val="000000" w:themeColor="text1"/>
          <w:lang w:val="es-CO"/>
        </w:rPr>
        <w:fldChar w:fldCharType="end"/>
      </w:r>
      <w:r w:rsidRPr="007109A4">
        <w:rPr>
          <w:color w:val="000000" w:themeColor="text1"/>
          <w:lang w:val="es-CO"/>
        </w:rPr>
        <w:t>. En este caso la no entrega del gas natural debido a la inexistencia del registro serán consideradas como eventos eximentes de responsabilidad para la otra parte.</w:t>
      </w:r>
    </w:p>
    <w:p w14:paraId="55F5E266" w14:textId="77777777" w:rsidR="00A82289" w:rsidRDefault="00A82289" w:rsidP="00295053">
      <w:pPr>
        <w:pStyle w:val="Prrafodelista"/>
        <w:rPr>
          <w:b/>
          <w:color w:val="000000" w:themeColor="text1"/>
        </w:rPr>
      </w:pPr>
    </w:p>
    <w:p w14:paraId="291340E1" w14:textId="43AA33E7" w:rsidR="00DC0993" w:rsidRPr="007056E7" w:rsidRDefault="007056E7" w:rsidP="007056E7">
      <w:pPr>
        <w:pStyle w:val="ARTICULOS"/>
        <w:numPr>
          <w:ilvl w:val="1"/>
          <w:numId w:val="8"/>
        </w:numPr>
        <w:ind w:left="567" w:hanging="567"/>
        <w:rPr>
          <w:b/>
          <w:bCs w:val="0"/>
          <w:color w:val="000000" w:themeColor="text1"/>
          <w:lang w:val="es-CO"/>
        </w:rPr>
      </w:pPr>
      <w:r>
        <w:rPr>
          <w:b/>
          <w:bCs w:val="0"/>
          <w:color w:val="000000" w:themeColor="text1"/>
          <w:lang w:val="es-CO"/>
        </w:rPr>
        <w:t>Los eventos en la capacidad de transporte que impliquen l</w:t>
      </w:r>
      <w:r w:rsidR="0006302B" w:rsidRPr="003D20AA">
        <w:rPr>
          <w:b/>
          <w:bCs w:val="0"/>
          <w:color w:val="000000" w:themeColor="text1"/>
          <w:lang w:val="es-CO"/>
        </w:rPr>
        <w:t xml:space="preserve">as suspensiones </w:t>
      </w:r>
      <w:r w:rsidR="002E2EE0" w:rsidRPr="003D20AA">
        <w:rPr>
          <w:rFonts w:cs="Arial"/>
          <w:b/>
          <w:bCs w:val="0"/>
          <w:color w:val="000000" w:themeColor="text1"/>
          <w:lang w:val="es-CO"/>
        </w:rPr>
        <w:t>por</w:t>
      </w:r>
      <w:r w:rsidR="002E2EE0" w:rsidRPr="003D20AA">
        <w:rPr>
          <w:b/>
          <w:bCs w:val="0"/>
          <w:color w:val="000000" w:themeColor="text1"/>
          <w:lang w:val="es-CO"/>
        </w:rPr>
        <w:t xml:space="preserve"> </w:t>
      </w:r>
      <w:r w:rsidR="00535857">
        <w:rPr>
          <w:b/>
          <w:bCs w:val="0"/>
          <w:color w:val="000000" w:themeColor="text1"/>
          <w:lang w:val="es-CO"/>
        </w:rPr>
        <w:t>ocasión de la ocurrencia de eventos de fuerza mayor, caso fortuito o causa extraña</w:t>
      </w:r>
      <w:r w:rsidR="00670618">
        <w:rPr>
          <w:b/>
          <w:bCs w:val="0"/>
          <w:color w:val="000000" w:themeColor="text1"/>
          <w:lang w:val="es-CO"/>
        </w:rPr>
        <w:t xml:space="preserve">, eventos eximentes </w:t>
      </w:r>
      <w:r w:rsidR="00535857">
        <w:rPr>
          <w:b/>
          <w:bCs w:val="0"/>
          <w:color w:val="000000" w:themeColor="text1"/>
          <w:lang w:val="es-CO"/>
        </w:rPr>
        <w:t xml:space="preserve">y </w:t>
      </w:r>
      <w:r w:rsidR="0006302B" w:rsidRPr="003D20AA">
        <w:rPr>
          <w:b/>
          <w:bCs w:val="0"/>
          <w:color w:val="000000" w:themeColor="text1"/>
          <w:lang w:val="es-CO"/>
        </w:rPr>
        <w:t>labores programadas para reparaciones técnicas o mantenimientos periódicos de la infraestructura de transporte</w:t>
      </w:r>
      <w:r w:rsidR="00477698" w:rsidRPr="003D20AA">
        <w:rPr>
          <w:b/>
          <w:bCs w:val="0"/>
          <w:color w:val="000000" w:themeColor="text1"/>
          <w:lang w:val="es-CO"/>
        </w:rPr>
        <w:t xml:space="preserve">, incluida la infraestructura de importación y la infraestructura de regasificación, </w:t>
      </w:r>
      <w:r w:rsidR="00002570" w:rsidRPr="003D20AA">
        <w:rPr>
          <w:b/>
          <w:bCs w:val="0"/>
          <w:color w:val="000000" w:themeColor="text1"/>
          <w:lang w:val="es-CO"/>
        </w:rPr>
        <w:t xml:space="preserve"> que contiene el punto de entrada que sirve como punto de entrega del respectivo contrato de suministro</w:t>
      </w:r>
      <w:r w:rsidR="008F15E0" w:rsidRPr="003D20AA">
        <w:rPr>
          <w:b/>
          <w:bCs w:val="0"/>
          <w:color w:val="000000" w:themeColor="text1"/>
          <w:lang w:val="es-CO"/>
        </w:rPr>
        <w:t>,</w:t>
      </w:r>
      <w:r w:rsidR="0006302B" w:rsidRPr="003D20AA">
        <w:rPr>
          <w:b/>
          <w:bCs w:val="0"/>
          <w:color w:val="000000" w:themeColor="text1"/>
          <w:lang w:val="es-CO"/>
        </w:rPr>
        <w:t xml:space="preserve"> siempre que de ello se dé aviso amplio y oportuno conforme al protocolo al que se hace referencia en el parágrafo 3 de este artículo</w:t>
      </w:r>
      <w:r w:rsidR="008F15E0" w:rsidRPr="003D20AA">
        <w:rPr>
          <w:b/>
          <w:bCs w:val="0"/>
          <w:color w:val="000000" w:themeColor="text1"/>
          <w:lang w:val="es-CO"/>
        </w:rPr>
        <w:t>,</w:t>
      </w:r>
      <w:r w:rsidR="0006302B" w:rsidRPr="003D20AA">
        <w:rPr>
          <w:b/>
          <w:bCs w:val="0"/>
          <w:color w:val="000000" w:themeColor="text1"/>
          <w:lang w:val="es-CO"/>
        </w:rPr>
        <w:t xml:space="preserve"> y el parágrafo 3 del </w:t>
      </w:r>
      <w:r w:rsidR="00BE1428">
        <w:rPr>
          <w:b/>
          <w:bCs w:val="0"/>
          <w:color w:val="000000" w:themeColor="text1"/>
          <w:lang w:val="es-CO"/>
        </w:rPr>
        <w:t>a</w:t>
      </w:r>
      <w:r w:rsidR="0006302B" w:rsidRPr="003D20AA">
        <w:rPr>
          <w:b/>
          <w:bCs w:val="0"/>
          <w:color w:val="000000" w:themeColor="text1"/>
          <w:lang w:val="es-CO"/>
        </w:rPr>
        <w:t>rtículo 11 de la Resolución CREG 185 de 2020</w:t>
      </w:r>
      <w:r w:rsidR="008F15E0" w:rsidRPr="003D20AA">
        <w:rPr>
          <w:b/>
          <w:bCs w:val="0"/>
          <w:color w:val="000000" w:themeColor="text1"/>
          <w:lang w:val="es-CO"/>
        </w:rPr>
        <w:t>,</w:t>
      </w:r>
      <w:r w:rsidR="0006302B" w:rsidRPr="003D20AA">
        <w:rPr>
          <w:b/>
          <w:bCs w:val="0"/>
          <w:color w:val="000000" w:themeColor="text1"/>
          <w:lang w:val="es-CO"/>
        </w:rPr>
        <w:t xml:space="preserve"> o aquellas que la modifiquen o sustituyan.</w:t>
      </w:r>
    </w:p>
    <w:p w14:paraId="187E48A2" w14:textId="77777777" w:rsidR="00DC0993" w:rsidRDefault="00DC0993" w:rsidP="002E2EE0">
      <w:pPr>
        <w:pStyle w:val="Prrafodelista"/>
        <w:rPr>
          <w:b/>
          <w:bCs/>
          <w:color w:val="000000" w:themeColor="text1"/>
        </w:rPr>
      </w:pPr>
    </w:p>
    <w:p w14:paraId="084A0237" w14:textId="77777777" w:rsidR="00DC0993" w:rsidRPr="003D20AA" w:rsidRDefault="00DC0993" w:rsidP="002E2EE0">
      <w:pPr>
        <w:pStyle w:val="Prrafodelista"/>
        <w:rPr>
          <w:b/>
          <w:bCs/>
          <w:color w:val="000000" w:themeColor="text1"/>
        </w:rPr>
      </w:pPr>
    </w:p>
    <w:p w14:paraId="4D577F1A" w14:textId="64BD85EA" w:rsidR="0006302B" w:rsidRPr="0013707D" w:rsidRDefault="0006302B" w:rsidP="0006302B">
      <w:pPr>
        <w:widowControl w:val="0"/>
        <w:ind w:left="0"/>
        <w:jc w:val="both"/>
        <w:rPr>
          <w:rFonts w:ascii="Bookman Old Style" w:hAnsi="Bookman Old Style" w:cs="Arial"/>
          <w:b/>
          <w:color w:val="000000" w:themeColor="text1"/>
          <w:lang w:val="es-CO"/>
        </w:rPr>
      </w:pPr>
      <w:r w:rsidRPr="0013707D">
        <w:rPr>
          <w:rFonts w:ascii="Bookman Old Style" w:hAnsi="Bookman Old Style" w:cs="Arial"/>
          <w:b/>
          <w:color w:val="000000" w:themeColor="text1"/>
          <w:lang w:val="es-CO"/>
        </w:rPr>
        <w:t xml:space="preserve">Parágrafo 1. </w:t>
      </w:r>
      <w:r w:rsidRPr="0013707D">
        <w:rPr>
          <w:rFonts w:ascii="Bookman Old Style" w:hAnsi="Bookman Old Style" w:cs="Arial"/>
          <w:color w:val="000000" w:themeColor="text1"/>
          <w:lang w:val="es-CO"/>
        </w:rPr>
        <w:t xml:space="preserve">La obligación de los compradores de pagar el servicio de suministro del gas contratado se suspenderá durante los eventos eximentes de responsabilidad. En caso de que no se afecte la </w:t>
      </w:r>
      <w:r>
        <w:rPr>
          <w:rFonts w:ascii="Bookman Old Style" w:hAnsi="Bookman Old Style" w:cs="Arial"/>
          <w:color w:val="000000" w:themeColor="text1"/>
          <w:lang w:val="es-CO"/>
        </w:rPr>
        <w:t xml:space="preserve">entrega </w:t>
      </w:r>
      <w:r w:rsidRPr="0013707D">
        <w:rPr>
          <w:rFonts w:ascii="Bookman Old Style" w:hAnsi="Bookman Old Style" w:cs="Arial"/>
          <w:color w:val="000000" w:themeColor="text1"/>
          <w:lang w:val="es-CO"/>
        </w:rPr>
        <w:t>total de suministro</w:t>
      </w:r>
      <w:r w:rsidR="008F15E0">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el comprador deberá pagar la cantidad que efectivamente le fue entregada. </w:t>
      </w:r>
    </w:p>
    <w:p w14:paraId="30B3E489" w14:textId="77777777" w:rsidR="0006302B" w:rsidRPr="0013707D" w:rsidRDefault="0006302B" w:rsidP="0006302B">
      <w:pPr>
        <w:widowControl w:val="0"/>
        <w:ind w:left="0"/>
        <w:jc w:val="both"/>
        <w:rPr>
          <w:rFonts w:ascii="Bookman Old Style" w:hAnsi="Bookman Old Style" w:cs="Arial"/>
          <w:b/>
          <w:color w:val="000000" w:themeColor="text1"/>
          <w:lang w:val="es-CO"/>
        </w:rPr>
      </w:pPr>
    </w:p>
    <w:p w14:paraId="00531851" w14:textId="2EAAE800" w:rsidR="0006302B" w:rsidRPr="0013707D" w:rsidRDefault="0006302B" w:rsidP="0006302B">
      <w:pPr>
        <w:widowControl w:val="0"/>
        <w:ind w:left="0"/>
        <w:jc w:val="both"/>
        <w:rPr>
          <w:rFonts w:ascii="Bookman Old Style" w:hAnsi="Bookman Old Style" w:cs="Arial"/>
          <w:b/>
          <w:color w:val="000000" w:themeColor="text1"/>
          <w:lang w:val="es-CO"/>
        </w:rPr>
      </w:pPr>
      <w:r w:rsidRPr="002305BC">
        <w:rPr>
          <w:rFonts w:ascii="Bookman Old Style" w:hAnsi="Bookman Old Style" w:cs="Arial"/>
          <w:b/>
          <w:color w:val="000000" w:themeColor="text1"/>
          <w:lang w:val="es-CO"/>
        </w:rPr>
        <w:t xml:space="preserve">Parágrafo 2. </w:t>
      </w:r>
      <w:r w:rsidRPr="002305BC">
        <w:rPr>
          <w:rFonts w:ascii="Bookman Old Style" w:hAnsi="Bookman Old Style" w:cs="Arial"/>
          <w:color w:val="000000" w:themeColor="text1"/>
          <w:lang w:val="es-CO"/>
        </w:rPr>
        <w:t xml:space="preserve">Para los </w:t>
      </w:r>
      <w:r w:rsidRPr="00D32FCC">
        <w:rPr>
          <w:rFonts w:ascii="Bookman Old Style" w:hAnsi="Bookman Old Style" w:cs="Arial"/>
          <w:color w:val="000000" w:themeColor="text1"/>
          <w:lang w:val="es-CO"/>
        </w:rPr>
        <w:t xml:space="preserve">eventos señalados en los numerales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_Ref330889076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1</w:t>
      </w:r>
      <w:r w:rsidRPr="00D66B65">
        <w:rPr>
          <w:rFonts w:ascii="Bookman Old Style" w:hAnsi="Bookman Old Style" w:cs="Arial"/>
          <w:color w:val="000000" w:themeColor="text1"/>
          <w:lang w:val="es-CO"/>
        </w:rPr>
        <w:fldChar w:fldCharType="end"/>
      </w:r>
      <w:r w:rsidRPr="00D66B65">
        <w:rPr>
          <w:rFonts w:ascii="Bookman Old Style" w:hAnsi="Bookman Old Style" w:cs="Arial"/>
          <w:color w:val="000000" w:themeColor="text1"/>
          <w:lang w:val="es-CO"/>
        </w:rPr>
        <w:t xml:space="preserve"> y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_Ref330889079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2</w:t>
      </w:r>
      <w:r w:rsidRPr="00D66B65">
        <w:rPr>
          <w:rFonts w:ascii="Bookman Old Style" w:hAnsi="Bookman Old Style" w:cs="Arial"/>
          <w:color w:val="000000" w:themeColor="text1"/>
          <w:lang w:val="es-CO"/>
        </w:rPr>
        <w:fldChar w:fldCharType="end"/>
      </w:r>
      <w:r w:rsidRPr="00D66B65">
        <w:rPr>
          <w:rFonts w:ascii="Bookman Old Style" w:hAnsi="Bookman Old Style" w:cs="Arial"/>
          <w:color w:val="000000" w:themeColor="text1"/>
          <w:lang w:val="es-CO"/>
        </w:rPr>
        <w:t xml:space="preserve"> del presente artículo</w:t>
      </w:r>
      <w:r w:rsidRPr="00D32FCC">
        <w:rPr>
          <w:rFonts w:ascii="Bookman Old Style" w:hAnsi="Bookman Old Style" w:cs="Arial"/>
          <w:color w:val="000000" w:themeColor="text1"/>
          <w:lang w:val="es-CO"/>
        </w:rPr>
        <w:t xml:space="preserve"> deberá seguirse el procedimiento establecido en el</w:t>
      </w:r>
      <w:r w:rsidR="00DD53A4">
        <w:rPr>
          <w:rFonts w:ascii="Bookman Old Style" w:hAnsi="Bookman Old Style" w:cs="Arial"/>
          <w:color w:val="000000" w:themeColor="text1"/>
          <w:lang w:val="es-CO"/>
        </w:rPr>
        <w:t xml:space="preserve"> artículo 10</w:t>
      </w:r>
      <w:r w:rsidRPr="00D32FCC">
        <w:rPr>
          <w:rFonts w:ascii="Bookman Old Style" w:hAnsi="Bookman Old Style" w:cs="Arial"/>
          <w:color w:val="000000" w:themeColor="text1"/>
          <w:lang w:val="es-CO"/>
        </w:rPr>
        <w:t xml:space="preserve"> de la presente Resolución. Las obligaciones suspendidas por la ocurrencia de un evento eximente de responsabilidad se podrán reiniciar antes del período establecido en el </w:t>
      </w:r>
      <w:r w:rsidRPr="00D66B65">
        <w:rPr>
          <w:rFonts w:ascii="Bookman Old Style" w:hAnsi="Bookman Old Style" w:cs="Arial"/>
          <w:color w:val="000000" w:themeColor="text1"/>
          <w:lang w:val="es-CO"/>
        </w:rPr>
        <w:t xml:space="preserve">numeral </w:t>
      </w:r>
      <w:r>
        <w:rPr>
          <w:rFonts w:ascii="Bookman Old Style" w:hAnsi="Bookman Old Style" w:cs="Arial"/>
          <w:color w:val="000000" w:themeColor="text1"/>
          <w:lang w:val="es-CO"/>
        </w:rPr>
        <w:t>4</w:t>
      </w:r>
      <w:r w:rsidRPr="00D66B65">
        <w:rPr>
          <w:rFonts w:ascii="Bookman Old Style" w:hAnsi="Bookman Old Style" w:cs="Arial"/>
          <w:color w:val="000000" w:themeColor="text1"/>
          <w:lang w:val="es-CO"/>
        </w:rPr>
        <w:t xml:space="preserve"> del</w:t>
      </w:r>
      <w:r w:rsidR="00DD53A4">
        <w:rPr>
          <w:rFonts w:ascii="Bookman Old Style" w:hAnsi="Bookman Old Style" w:cs="Arial"/>
          <w:color w:val="000000" w:themeColor="text1"/>
          <w:lang w:val="es-CO"/>
        </w:rPr>
        <w:t xml:space="preserve"> artículo 10</w:t>
      </w:r>
      <w:r w:rsidRPr="00D32FCC">
        <w:rPr>
          <w:rFonts w:ascii="Bookman Old Style" w:hAnsi="Bookman Old Style" w:cs="Arial"/>
          <w:color w:val="000000" w:themeColor="text1"/>
          <w:lang w:val="es-CO"/>
        </w:rPr>
        <w:t xml:space="preserve"> de la presente Resolución</w:t>
      </w:r>
      <w:r w:rsidR="008F15E0">
        <w:rPr>
          <w:rFonts w:ascii="Bookman Old Style" w:hAnsi="Bookman Old Style" w:cs="Arial"/>
          <w:color w:val="000000" w:themeColor="text1"/>
          <w:lang w:val="es-CO"/>
        </w:rPr>
        <w:t>,</w:t>
      </w:r>
      <w:r w:rsidRPr="00D32FCC">
        <w:rPr>
          <w:rFonts w:ascii="Bookman Old Style" w:hAnsi="Bookman Old Style" w:cs="Arial"/>
          <w:color w:val="000000" w:themeColor="text1"/>
          <w:lang w:val="es-CO"/>
        </w:rPr>
        <w:t xml:space="preserve"> si las partes así lo convienen.</w:t>
      </w:r>
    </w:p>
    <w:p w14:paraId="0ED885EA" w14:textId="77777777" w:rsidR="0006302B" w:rsidRPr="0013707D" w:rsidRDefault="0006302B" w:rsidP="0006302B">
      <w:pPr>
        <w:pStyle w:val="ARTICULOS"/>
        <w:numPr>
          <w:ilvl w:val="0"/>
          <w:numId w:val="0"/>
        </w:numPr>
        <w:rPr>
          <w:b/>
          <w:color w:val="000000" w:themeColor="text1"/>
          <w:lang w:val="es-CO"/>
        </w:rPr>
      </w:pPr>
    </w:p>
    <w:p w14:paraId="2396151D" w14:textId="5C1C1E3A" w:rsidR="0006302B" w:rsidRPr="0013707D" w:rsidRDefault="0006302B" w:rsidP="0006302B">
      <w:pPr>
        <w:pStyle w:val="ARTICULOS"/>
        <w:numPr>
          <w:ilvl w:val="0"/>
          <w:numId w:val="0"/>
        </w:numPr>
        <w:rPr>
          <w:color w:val="000000" w:themeColor="text1"/>
          <w:lang w:val="es-CO"/>
        </w:rPr>
      </w:pPr>
      <w:r w:rsidRPr="0013707D">
        <w:rPr>
          <w:b/>
          <w:color w:val="000000" w:themeColor="text1"/>
          <w:lang w:val="es-CO"/>
        </w:rPr>
        <w:t xml:space="preserve">Parágrafo 3. </w:t>
      </w:r>
      <w:r w:rsidRPr="0013707D">
        <w:rPr>
          <w:color w:val="000000" w:themeColor="text1"/>
          <w:lang w:val="es-CO"/>
        </w:rPr>
        <w:t>Los</w:t>
      </w:r>
      <w:r>
        <w:rPr>
          <w:color w:val="000000" w:themeColor="text1"/>
          <w:lang w:val="es-CO"/>
        </w:rPr>
        <w:t xml:space="preserve"> vendedores del Mercado Primario señalados en el </w:t>
      </w:r>
      <w:r w:rsidR="009C02E5">
        <w:rPr>
          <w:color w:val="000000" w:themeColor="text1"/>
          <w:lang w:val="es-CO"/>
        </w:rPr>
        <w:t>a</w:t>
      </w:r>
      <w:r>
        <w:rPr>
          <w:color w:val="000000" w:themeColor="text1"/>
          <w:lang w:val="es-CO"/>
        </w:rPr>
        <w:t xml:space="preserve">rtículo 16 de la presente resolución </w:t>
      </w:r>
      <w:r w:rsidRPr="0013707D">
        <w:rPr>
          <w:color w:val="000000" w:themeColor="text1"/>
          <w:lang w:val="es-CO"/>
        </w:rPr>
        <w:t>informarán al CNOG y coordinarán con dicho organismo las suspensiones por labores programadas para reparaciones técnicas o mantenimientos periódicos, de acuerdo con el protocolo</w:t>
      </w:r>
      <w:r>
        <w:rPr>
          <w:color w:val="000000" w:themeColor="text1"/>
          <w:lang w:val="es-CO"/>
        </w:rPr>
        <w:t xml:space="preserve"> establecido </w:t>
      </w:r>
      <w:r w:rsidRPr="0013707D">
        <w:rPr>
          <w:color w:val="000000" w:themeColor="text1"/>
          <w:lang w:val="es-CO"/>
        </w:rPr>
        <w:t xml:space="preserve">en la Resolución CREG 147 de 2015, o aquellas que la modifiquen o sustituyan. </w:t>
      </w:r>
    </w:p>
    <w:p w14:paraId="4FB4B6BB" w14:textId="77777777" w:rsidR="0006302B" w:rsidRPr="0013707D" w:rsidRDefault="0006302B" w:rsidP="0006302B">
      <w:pPr>
        <w:pStyle w:val="ARTICULOS"/>
        <w:numPr>
          <w:ilvl w:val="0"/>
          <w:numId w:val="0"/>
        </w:numPr>
        <w:tabs>
          <w:tab w:val="clear" w:pos="1559"/>
          <w:tab w:val="left" w:pos="1560"/>
        </w:tabs>
        <w:rPr>
          <w:rFonts w:cs="Arial"/>
          <w:bCs w:val="0"/>
          <w:color w:val="000000" w:themeColor="text1"/>
          <w:lang w:val="es-CO" w:eastAsia="es-ES"/>
        </w:rPr>
      </w:pPr>
    </w:p>
    <w:p w14:paraId="62D31500" w14:textId="68042CA4" w:rsidR="0006302B" w:rsidRPr="0013707D" w:rsidRDefault="0006302B" w:rsidP="0006302B">
      <w:pPr>
        <w:pStyle w:val="ARTICULOS"/>
        <w:numPr>
          <w:ilvl w:val="0"/>
          <w:numId w:val="0"/>
        </w:numPr>
        <w:tabs>
          <w:tab w:val="clear" w:pos="1559"/>
          <w:tab w:val="left" w:pos="1560"/>
        </w:tabs>
        <w:rPr>
          <w:rFonts w:cs="Arial"/>
          <w:bCs w:val="0"/>
          <w:color w:val="000000" w:themeColor="text1"/>
          <w:lang w:val="es-CO" w:eastAsia="es-ES"/>
        </w:rPr>
      </w:pPr>
      <w:r w:rsidRPr="0013707D">
        <w:rPr>
          <w:rFonts w:cs="Arial"/>
          <w:bCs w:val="0"/>
          <w:color w:val="000000" w:themeColor="text1"/>
          <w:lang w:val="es-CO" w:eastAsia="es-ES"/>
        </w:rPr>
        <w:t xml:space="preserve">Los compradores </w:t>
      </w:r>
      <w:r w:rsidRPr="004C2538">
        <w:rPr>
          <w:b/>
          <w:bCs w:val="0"/>
          <w:color w:val="000000" w:themeColor="text1"/>
          <w:lang w:val="es-CO"/>
        </w:rPr>
        <w:t xml:space="preserve">del Mercado Primario señalados en el </w:t>
      </w:r>
      <w:r w:rsidR="005F30DA">
        <w:rPr>
          <w:b/>
          <w:bCs w:val="0"/>
          <w:color w:val="000000" w:themeColor="text1"/>
          <w:lang w:val="es-CO"/>
        </w:rPr>
        <w:t>a</w:t>
      </w:r>
      <w:r w:rsidRPr="004C2538">
        <w:rPr>
          <w:b/>
          <w:bCs w:val="0"/>
          <w:color w:val="000000" w:themeColor="text1"/>
          <w:lang w:val="es-CO"/>
        </w:rPr>
        <w:t>rtículo 1</w:t>
      </w:r>
      <w:r w:rsidR="001468A5">
        <w:rPr>
          <w:b/>
          <w:bCs w:val="0"/>
          <w:color w:val="000000" w:themeColor="text1"/>
          <w:lang w:val="es-CO"/>
        </w:rPr>
        <w:t>7</w:t>
      </w:r>
      <w:r w:rsidRPr="004C2538">
        <w:rPr>
          <w:b/>
          <w:bCs w:val="0"/>
          <w:color w:val="000000" w:themeColor="text1"/>
          <w:lang w:val="es-CO"/>
        </w:rPr>
        <w:t xml:space="preserve"> de la presente resolución</w:t>
      </w:r>
      <w:r>
        <w:rPr>
          <w:color w:val="000000" w:themeColor="text1"/>
          <w:lang w:val="es-CO"/>
        </w:rPr>
        <w:t xml:space="preserve"> </w:t>
      </w:r>
      <w:r w:rsidRPr="0013707D">
        <w:rPr>
          <w:color w:val="000000" w:themeColor="text1"/>
          <w:lang w:val="es-CO"/>
        </w:rPr>
        <w:t xml:space="preserve">informarán a los </w:t>
      </w:r>
      <w:r>
        <w:rPr>
          <w:color w:val="000000" w:themeColor="text1"/>
          <w:lang w:val="es-CO"/>
        </w:rPr>
        <w:t>P</w:t>
      </w:r>
      <w:r w:rsidRPr="0013707D">
        <w:rPr>
          <w:color w:val="000000" w:themeColor="text1"/>
          <w:lang w:val="es-CO"/>
        </w:rPr>
        <w:t>roductores-comercializadores</w:t>
      </w:r>
      <w:r>
        <w:rPr>
          <w:color w:val="000000" w:themeColor="text1"/>
          <w:lang w:val="es-CO"/>
        </w:rPr>
        <w:t xml:space="preserve"> y </w:t>
      </w:r>
      <w:r w:rsidRPr="0013707D">
        <w:rPr>
          <w:color w:val="000000" w:themeColor="text1"/>
          <w:lang w:val="es-CO"/>
        </w:rPr>
        <w:t xml:space="preserve">comercializadores de gas importado las suspensiones por labores programadas para reparaciones técnicas o mantenimientos periódicos con una anticipación </w:t>
      </w:r>
      <w:r w:rsidRPr="0013707D">
        <w:rPr>
          <w:color w:val="000000" w:themeColor="text1"/>
          <w:lang w:val="es-CO"/>
        </w:rPr>
        <w:lastRenderedPageBreak/>
        <w:t>no inferior a un mes.</w:t>
      </w:r>
    </w:p>
    <w:p w14:paraId="56D97E82" w14:textId="77777777" w:rsidR="0006302B" w:rsidRPr="0013707D" w:rsidRDefault="0006302B" w:rsidP="0006302B">
      <w:pPr>
        <w:pStyle w:val="ARTICULOS"/>
        <w:numPr>
          <w:ilvl w:val="0"/>
          <w:numId w:val="0"/>
        </w:numPr>
        <w:tabs>
          <w:tab w:val="clear" w:pos="1559"/>
          <w:tab w:val="left" w:pos="1560"/>
        </w:tabs>
        <w:rPr>
          <w:rFonts w:cs="Arial"/>
          <w:bCs w:val="0"/>
          <w:color w:val="000000" w:themeColor="text1"/>
          <w:lang w:val="es-CO" w:eastAsia="es-ES"/>
        </w:rPr>
      </w:pPr>
    </w:p>
    <w:p w14:paraId="1145550A" w14:textId="3C027AC4" w:rsidR="001B6F52" w:rsidRPr="003D20AA" w:rsidRDefault="0006302B" w:rsidP="0006302B">
      <w:pPr>
        <w:pStyle w:val="ARTICULOS"/>
        <w:tabs>
          <w:tab w:val="clear" w:pos="1559"/>
          <w:tab w:val="left" w:pos="1560"/>
        </w:tabs>
        <w:outlineLvl w:val="0"/>
        <w:rPr>
          <w:rFonts w:cs="Arial"/>
          <w:b/>
          <w:color w:val="000000" w:themeColor="text1"/>
          <w:lang w:val="es-CO"/>
        </w:rPr>
      </w:pPr>
      <w:bookmarkStart w:id="36" w:name="_Ref330309707"/>
      <w:r w:rsidRPr="0013707D">
        <w:rPr>
          <w:rFonts w:cs="Arial"/>
          <w:b/>
          <w:color w:val="000000" w:themeColor="text1"/>
          <w:lang w:val="es-CO"/>
        </w:rPr>
        <w:t>Duración permisible para suspensiones del servicio.</w:t>
      </w:r>
      <w:r w:rsidRPr="0013707D">
        <w:rPr>
          <w:rFonts w:cs="Arial"/>
          <w:color w:val="000000" w:themeColor="text1"/>
          <w:lang w:val="es-CO"/>
        </w:rPr>
        <w:t xml:space="preserve"> La</w:t>
      </w:r>
      <w:r w:rsidRPr="0013707D">
        <w:rPr>
          <w:rFonts w:cs="Arial"/>
          <w:b/>
          <w:color w:val="000000" w:themeColor="text1"/>
          <w:lang w:val="es-CO"/>
        </w:rPr>
        <w:t xml:space="preserve"> </w:t>
      </w:r>
      <w:r w:rsidRPr="0013707D">
        <w:rPr>
          <w:rFonts w:cs="Arial"/>
          <w:color w:val="000000" w:themeColor="text1"/>
          <w:lang w:val="es-CO"/>
        </w:rPr>
        <w:t>máxima duración de las suspensiones del servicio por labores programadas para reparaciones técnicas o mantenimientos periódicos que se podrá pactar en los contratos a que se refiere el</w:t>
      </w:r>
      <w:r w:rsidR="00DD53A4">
        <w:rPr>
          <w:rFonts w:cs="Arial"/>
          <w:color w:val="000000" w:themeColor="text1"/>
          <w:lang w:val="es-CO"/>
        </w:rPr>
        <w:t xml:space="preserve"> artículo 8</w:t>
      </w:r>
      <w:r w:rsidRPr="00D32FCC">
        <w:rPr>
          <w:rFonts w:cs="Arial"/>
          <w:color w:val="000000" w:themeColor="text1"/>
          <w:lang w:val="es-CO"/>
        </w:rPr>
        <w:t xml:space="preserve"> de la presente Resolución, con excepción de los contratos de contingencia y</w:t>
      </w:r>
      <w:r w:rsidRPr="0013707D">
        <w:rPr>
          <w:rFonts w:cs="Arial"/>
          <w:color w:val="000000" w:themeColor="text1"/>
          <w:lang w:val="es-CO"/>
        </w:rPr>
        <w:t xml:space="preserve"> de los </w:t>
      </w:r>
      <w:r w:rsidRPr="006F1C1C">
        <w:rPr>
          <w:rFonts w:cs="Arial"/>
          <w:color w:val="000000" w:themeColor="text1"/>
          <w:lang w:val="es-CO"/>
        </w:rPr>
        <w:t>contratos con interrupciones</w:t>
      </w:r>
      <w:r w:rsidRPr="0013707D">
        <w:rPr>
          <w:rFonts w:cs="Arial"/>
          <w:color w:val="000000" w:themeColor="text1"/>
          <w:lang w:val="es-CO"/>
        </w:rPr>
        <w:t xml:space="preserve">, deberá ser la misma para cada una de las partes y, para cada una de ellas, no podrá ser superior a </w:t>
      </w:r>
      <w:r w:rsidRPr="0013707D">
        <w:rPr>
          <w:lang w:val="es-CO"/>
        </w:rPr>
        <w:t xml:space="preserve">cuatrocientas </w:t>
      </w:r>
      <w:r w:rsidRPr="003D20AA">
        <w:rPr>
          <w:lang w:val="es-CO"/>
        </w:rPr>
        <w:t>ochenta (480) horas continuas o discontinuas durante un año</w:t>
      </w:r>
      <w:bookmarkEnd w:id="36"/>
      <w:r w:rsidRPr="003D20AA">
        <w:rPr>
          <w:rFonts w:cs="Arial"/>
          <w:color w:val="000000" w:themeColor="text1"/>
          <w:lang w:val="es-CO"/>
        </w:rPr>
        <w:t>.</w:t>
      </w:r>
      <w:r w:rsidR="00F9399C" w:rsidRPr="003D20AA">
        <w:rPr>
          <w:rFonts w:cs="Arial"/>
          <w:color w:val="000000" w:themeColor="text1"/>
          <w:lang w:val="es-CO"/>
        </w:rPr>
        <w:t xml:space="preserve"> </w:t>
      </w:r>
    </w:p>
    <w:p w14:paraId="2949E9E5" w14:textId="77777777" w:rsidR="001B6F52" w:rsidRPr="003D20AA" w:rsidRDefault="001B6F52" w:rsidP="001B6F52">
      <w:pPr>
        <w:pStyle w:val="ARTICULOS"/>
        <w:numPr>
          <w:ilvl w:val="0"/>
          <w:numId w:val="0"/>
        </w:numPr>
        <w:tabs>
          <w:tab w:val="clear" w:pos="1559"/>
          <w:tab w:val="left" w:pos="1560"/>
        </w:tabs>
        <w:outlineLvl w:val="0"/>
        <w:rPr>
          <w:rFonts w:cs="Arial"/>
          <w:b/>
          <w:color w:val="000000" w:themeColor="text1"/>
          <w:lang w:val="es-CO"/>
        </w:rPr>
      </w:pPr>
    </w:p>
    <w:p w14:paraId="70D73570" w14:textId="4BBC815E" w:rsidR="0006302B" w:rsidRDefault="00F9399C" w:rsidP="002D5416">
      <w:pPr>
        <w:pStyle w:val="ARTICULOS"/>
        <w:numPr>
          <w:ilvl w:val="0"/>
          <w:numId w:val="0"/>
        </w:numPr>
        <w:tabs>
          <w:tab w:val="clear" w:pos="1559"/>
          <w:tab w:val="left" w:pos="1560"/>
        </w:tabs>
        <w:outlineLvl w:val="0"/>
        <w:rPr>
          <w:rFonts w:cs="Arial"/>
          <w:b/>
          <w:bCs w:val="0"/>
          <w:color w:val="000000" w:themeColor="text1"/>
          <w:lang w:val="es-CO"/>
        </w:rPr>
      </w:pPr>
      <w:r w:rsidRPr="003D20AA">
        <w:rPr>
          <w:rFonts w:cs="Arial"/>
          <w:b/>
          <w:bCs w:val="0"/>
          <w:color w:val="000000" w:themeColor="text1"/>
          <w:lang w:val="es-CO"/>
        </w:rPr>
        <w:t xml:space="preserve">Lo anterior no será aplicable </w:t>
      </w:r>
      <w:r w:rsidR="001B6F52" w:rsidRPr="003D20AA">
        <w:rPr>
          <w:rFonts w:cs="Arial"/>
          <w:b/>
          <w:bCs w:val="0"/>
          <w:color w:val="000000" w:themeColor="text1"/>
          <w:lang w:val="es-CO"/>
        </w:rPr>
        <w:t xml:space="preserve">en contratos firmes o que garanticen firmeza, </w:t>
      </w:r>
      <w:r w:rsidRPr="003D20AA">
        <w:rPr>
          <w:rFonts w:cs="Arial"/>
          <w:b/>
          <w:bCs w:val="0"/>
          <w:color w:val="000000" w:themeColor="text1"/>
          <w:lang w:val="es-CO"/>
        </w:rPr>
        <w:t xml:space="preserve">cuando el gas natural </w:t>
      </w:r>
      <w:r w:rsidR="001B6F52" w:rsidRPr="003D20AA">
        <w:rPr>
          <w:rFonts w:cs="Arial"/>
          <w:b/>
          <w:bCs w:val="0"/>
          <w:color w:val="000000" w:themeColor="text1"/>
          <w:lang w:val="es-CO"/>
        </w:rPr>
        <w:t xml:space="preserve">a suministrar </w:t>
      </w:r>
      <w:r w:rsidR="009C2C73" w:rsidRPr="003D20AA">
        <w:rPr>
          <w:rFonts w:cs="Arial"/>
          <w:b/>
          <w:bCs w:val="0"/>
          <w:color w:val="000000" w:themeColor="text1"/>
          <w:lang w:val="es-CO"/>
        </w:rPr>
        <w:t>sea gas natural obtenido en el</w:t>
      </w:r>
      <w:r w:rsidR="0024132B" w:rsidRPr="003D20AA">
        <w:rPr>
          <w:rFonts w:cs="Arial"/>
          <w:b/>
          <w:bCs w:val="0"/>
          <w:color w:val="000000" w:themeColor="text1"/>
          <w:lang w:val="es-CO"/>
        </w:rPr>
        <w:t xml:space="preserve"> exterior</w:t>
      </w:r>
      <w:r w:rsidRPr="003D20AA">
        <w:rPr>
          <w:rFonts w:cs="Arial"/>
          <w:b/>
          <w:bCs w:val="0"/>
          <w:color w:val="000000" w:themeColor="text1"/>
          <w:lang w:val="es-CO"/>
        </w:rPr>
        <w:t>.</w:t>
      </w:r>
    </w:p>
    <w:p w14:paraId="21F348BA" w14:textId="77777777" w:rsidR="00EF0F82" w:rsidRDefault="00EF0F82" w:rsidP="002D5416">
      <w:pPr>
        <w:pStyle w:val="ARTICULOS"/>
        <w:numPr>
          <w:ilvl w:val="0"/>
          <w:numId w:val="0"/>
        </w:numPr>
        <w:tabs>
          <w:tab w:val="clear" w:pos="1559"/>
          <w:tab w:val="left" w:pos="1560"/>
        </w:tabs>
        <w:outlineLvl w:val="0"/>
        <w:rPr>
          <w:rFonts w:cs="Arial"/>
          <w:b/>
          <w:bCs w:val="0"/>
          <w:color w:val="000000" w:themeColor="text1"/>
          <w:lang w:val="es-CO"/>
        </w:rPr>
      </w:pPr>
    </w:p>
    <w:p w14:paraId="6534F3E2" w14:textId="3DC2E6BE" w:rsidR="0006302B" w:rsidRPr="003D20AA" w:rsidRDefault="0006302B" w:rsidP="0006302B">
      <w:pPr>
        <w:pStyle w:val="ARTICULOS"/>
        <w:numPr>
          <w:ilvl w:val="0"/>
          <w:numId w:val="0"/>
        </w:numPr>
        <w:tabs>
          <w:tab w:val="clear" w:pos="1559"/>
          <w:tab w:val="left" w:pos="1560"/>
        </w:tabs>
        <w:rPr>
          <w:rFonts w:cs="Arial"/>
          <w:bCs w:val="0"/>
          <w:color w:val="000000" w:themeColor="text1"/>
          <w:lang w:val="es-CO"/>
        </w:rPr>
      </w:pPr>
      <w:r w:rsidRPr="003D20AA">
        <w:rPr>
          <w:rFonts w:cs="Arial"/>
          <w:b/>
          <w:color w:val="000000" w:themeColor="text1"/>
          <w:lang w:val="es-CO"/>
        </w:rPr>
        <w:t>Parágrafo 1.</w:t>
      </w:r>
      <w:r w:rsidRPr="003D20AA">
        <w:rPr>
          <w:rFonts w:cs="Arial"/>
          <w:bCs w:val="0"/>
          <w:color w:val="000000" w:themeColor="text1"/>
          <w:lang w:val="es-CO"/>
        </w:rPr>
        <w:t xml:space="preserve"> La CREG podrá reducir gradualmente la duración máxima señalada en este artículo</w:t>
      </w:r>
      <w:r w:rsidR="008F15E0" w:rsidRPr="003D20AA">
        <w:rPr>
          <w:rFonts w:cs="Arial"/>
          <w:bCs w:val="0"/>
          <w:color w:val="000000" w:themeColor="text1"/>
          <w:lang w:val="es-CO"/>
        </w:rPr>
        <w:t>,</w:t>
      </w:r>
      <w:r w:rsidRPr="003D20AA">
        <w:rPr>
          <w:rFonts w:cs="Arial"/>
          <w:bCs w:val="0"/>
          <w:color w:val="000000" w:themeColor="text1"/>
          <w:lang w:val="es-CO"/>
        </w:rPr>
        <w:t xml:space="preserve"> en la medida en que en el Mercado Mayorista haya las condiciones suficientes para reducir la duración permisible para estas interrupciones y/o se viabilice la importación de gas natural. Dichas reducciones serán aplicables a los contratos que se suscriban con posterioridad a la adopción de esa medida.</w:t>
      </w:r>
    </w:p>
    <w:p w14:paraId="3B7D120C" w14:textId="77777777" w:rsidR="0006302B" w:rsidRPr="003D20AA" w:rsidRDefault="0006302B" w:rsidP="0006302B">
      <w:pPr>
        <w:pStyle w:val="ARTICULOS"/>
        <w:numPr>
          <w:ilvl w:val="0"/>
          <w:numId w:val="0"/>
        </w:numPr>
        <w:tabs>
          <w:tab w:val="clear" w:pos="1559"/>
          <w:tab w:val="left" w:pos="1560"/>
        </w:tabs>
        <w:rPr>
          <w:rFonts w:cs="Arial"/>
          <w:color w:val="000000" w:themeColor="text1"/>
          <w:lang w:val="es-CO"/>
        </w:rPr>
      </w:pPr>
    </w:p>
    <w:p w14:paraId="482A343F" w14:textId="41F91CA9" w:rsidR="0006302B" w:rsidRPr="003D20AA" w:rsidRDefault="0006302B" w:rsidP="0006302B">
      <w:pPr>
        <w:pStyle w:val="ARTICULOS"/>
        <w:numPr>
          <w:ilvl w:val="0"/>
          <w:numId w:val="0"/>
        </w:numPr>
        <w:rPr>
          <w:rFonts w:cs="Arial"/>
          <w:bCs w:val="0"/>
          <w:color w:val="000000" w:themeColor="text1"/>
          <w:lang w:val="es-CO"/>
        </w:rPr>
      </w:pPr>
      <w:r w:rsidRPr="003D20AA">
        <w:rPr>
          <w:rFonts w:cs="Arial"/>
          <w:b/>
          <w:color w:val="000000" w:themeColor="text1"/>
          <w:lang w:val="es-CO"/>
        </w:rPr>
        <w:t>Parágrafo 2.</w:t>
      </w:r>
      <w:r w:rsidRPr="003D20AA">
        <w:rPr>
          <w:rFonts w:cs="Arial"/>
          <w:color w:val="000000" w:themeColor="text1"/>
          <w:lang w:val="es-CO"/>
        </w:rPr>
        <w:t xml:space="preserve"> No se considerará un evento eximente de responsabilidad la suspensión del servicio por labores programadas para reparaciones técnicas o mantenimientos periódicos que excedan el menor tiempo entre aquel que adopte la CREG, de conformidad con el protocolo a</w:t>
      </w:r>
      <w:r w:rsidRPr="003D20AA">
        <w:rPr>
          <w:rFonts w:cs="Arial"/>
          <w:bCs w:val="0"/>
          <w:color w:val="000000" w:themeColor="text1"/>
          <w:lang w:val="es-CO"/>
        </w:rPr>
        <w:t>l que se hace referencia en el parágrafo 3 del</w:t>
      </w:r>
      <w:r w:rsidR="00DD53A4">
        <w:rPr>
          <w:rFonts w:cs="Arial"/>
          <w:bCs w:val="0"/>
          <w:color w:val="000000" w:themeColor="text1"/>
          <w:lang w:val="es-CO"/>
        </w:rPr>
        <w:t xml:space="preserve"> artículo 11</w:t>
      </w:r>
      <w:r w:rsidRPr="003D20AA">
        <w:rPr>
          <w:rFonts w:cs="Arial"/>
          <w:color w:val="000000" w:themeColor="text1"/>
          <w:lang w:val="es-CO"/>
        </w:rPr>
        <w:t xml:space="preserve"> de la presente Resolución, y el establecido en el presente artículo. Lo anterior sin perj</w:t>
      </w:r>
      <w:r w:rsidRPr="003D20AA">
        <w:rPr>
          <w:rFonts w:cs="Arial"/>
          <w:bCs w:val="0"/>
          <w:color w:val="000000" w:themeColor="text1"/>
          <w:lang w:val="es-CO"/>
        </w:rPr>
        <w:t>uicio de las demás normas que la CREG adopte en dicho protocolo</w:t>
      </w:r>
      <w:r w:rsidRPr="003D20AA">
        <w:rPr>
          <w:rFonts w:cs="Arial"/>
          <w:b/>
          <w:color w:val="000000" w:themeColor="text1"/>
          <w:lang w:val="es-CO"/>
        </w:rPr>
        <w:t>.</w:t>
      </w:r>
    </w:p>
    <w:p w14:paraId="16231F38" w14:textId="77777777" w:rsidR="0006302B" w:rsidRPr="003D20AA" w:rsidRDefault="0006302B" w:rsidP="0006302B">
      <w:pPr>
        <w:pStyle w:val="ARTICULOS"/>
        <w:numPr>
          <w:ilvl w:val="0"/>
          <w:numId w:val="0"/>
        </w:numPr>
        <w:rPr>
          <w:rFonts w:cs="Arial"/>
          <w:bCs w:val="0"/>
          <w:color w:val="000000" w:themeColor="text1"/>
          <w:lang w:val="es-CO"/>
        </w:rPr>
      </w:pPr>
    </w:p>
    <w:p w14:paraId="5C716203" w14:textId="4C499C11" w:rsidR="0006302B" w:rsidRPr="003D20AA" w:rsidRDefault="0006302B" w:rsidP="0006302B">
      <w:pPr>
        <w:ind w:left="0"/>
        <w:jc w:val="both"/>
        <w:outlineLvl w:val="0"/>
        <w:rPr>
          <w:rFonts w:ascii="Bookman Old Style" w:hAnsi="Bookman Old Style"/>
          <w:b/>
          <w:bCs/>
        </w:rPr>
      </w:pPr>
      <w:r w:rsidRPr="003D20AA">
        <w:rPr>
          <w:rFonts w:ascii="Bookman Old Style" w:hAnsi="Bookman Old Style"/>
          <w:b/>
          <w:bCs/>
        </w:rPr>
        <w:t xml:space="preserve">Parágrafo 3. En el caso de contratos con duraciones de ejecución </w:t>
      </w:r>
      <w:r w:rsidR="001B6F52" w:rsidRPr="003D20AA">
        <w:rPr>
          <w:rFonts w:ascii="Bookman Old Style" w:hAnsi="Bookman Old Style"/>
          <w:b/>
          <w:bCs/>
        </w:rPr>
        <w:t xml:space="preserve">que no correspondan </w:t>
      </w:r>
      <w:r w:rsidRPr="003D20AA">
        <w:rPr>
          <w:rFonts w:ascii="Bookman Old Style" w:hAnsi="Bookman Old Style"/>
          <w:b/>
          <w:bCs/>
        </w:rPr>
        <w:t xml:space="preserve">a </w:t>
      </w:r>
      <w:r w:rsidR="001B6F52" w:rsidRPr="003D20AA">
        <w:rPr>
          <w:rFonts w:ascii="Bookman Old Style" w:hAnsi="Bookman Old Style"/>
          <w:b/>
          <w:bCs/>
        </w:rPr>
        <w:t xml:space="preserve">años de duración dados en </w:t>
      </w:r>
      <w:r w:rsidR="0050627A" w:rsidRPr="003D20AA">
        <w:rPr>
          <w:rFonts w:ascii="Bookman Old Style" w:hAnsi="Bookman Old Style"/>
          <w:b/>
          <w:bCs/>
        </w:rPr>
        <w:t>números enteros</w:t>
      </w:r>
      <w:r w:rsidRPr="003D20AA">
        <w:rPr>
          <w:rFonts w:ascii="Bookman Old Style" w:hAnsi="Bookman Old Style"/>
          <w:b/>
          <w:bCs/>
        </w:rPr>
        <w:t xml:space="preserve">, la máxima duración de las suspensiones del servicio por labores programadas para reparaciones técnicas o mantenimientos periódicos que se podrá pactar en los contratos de suministro se determinará </w:t>
      </w:r>
      <w:r w:rsidR="0050627A" w:rsidRPr="003D20AA">
        <w:rPr>
          <w:rFonts w:ascii="Bookman Old Style" w:hAnsi="Bookman Old Style"/>
          <w:b/>
          <w:bCs/>
        </w:rPr>
        <w:t xml:space="preserve">para la parte de la duración menor a un año, </w:t>
      </w:r>
      <w:r w:rsidRPr="003D20AA">
        <w:rPr>
          <w:rFonts w:ascii="Bookman Old Style" w:hAnsi="Bookman Old Style"/>
          <w:b/>
          <w:bCs/>
        </w:rPr>
        <w:t>en forma proporcional a la fracción del año correspondiente, con base en</w:t>
      </w:r>
      <w:r w:rsidR="001B6F52" w:rsidRPr="003D20AA">
        <w:rPr>
          <w:rFonts w:ascii="Bookman Old Style" w:hAnsi="Bookman Old Style"/>
          <w:b/>
          <w:bCs/>
        </w:rPr>
        <w:t xml:space="preserve"> la proporción obtenida respecto de</w:t>
      </w:r>
      <w:r w:rsidRPr="003D20AA">
        <w:rPr>
          <w:rFonts w:ascii="Bookman Old Style" w:hAnsi="Bookman Old Style"/>
          <w:b/>
          <w:bCs/>
        </w:rPr>
        <w:t xml:space="preserve"> las horas permitidas máximas para un año</w:t>
      </w:r>
      <w:r w:rsidR="003A0E9E" w:rsidRPr="003D20AA">
        <w:rPr>
          <w:rFonts w:ascii="Bookman Old Style" w:hAnsi="Bookman Old Style"/>
          <w:b/>
          <w:bCs/>
        </w:rPr>
        <w:t xml:space="preserve"> completo</w:t>
      </w:r>
      <w:r w:rsidRPr="003D20AA">
        <w:rPr>
          <w:rFonts w:ascii="Bookman Old Style" w:hAnsi="Bookman Old Style"/>
          <w:b/>
          <w:bCs/>
        </w:rPr>
        <w:t>.</w:t>
      </w:r>
      <w:r w:rsidRPr="003D20AA">
        <w:rPr>
          <w:rFonts w:ascii="Bookman Old Style" w:hAnsi="Bookman Old Style"/>
          <w:b/>
          <w:bCs/>
          <w:i/>
          <w:iCs/>
        </w:rPr>
        <w:t xml:space="preserve">  </w:t>
      </w:r>
    </w:p>
    <w:p w14:paraId="04C9EF8D" w14:textId="77777777" w:rsidR="0006302B" w:rsidRPr="0013707D" w:rsidRDefault="0006302B" w:rsidP="0006302B">
      <w:pPr>
        <w:pStyle w:val="ARTICULOS"/>
        <w:numPr>
          <w:ilvl w:val="0"/>
          <w:numId w:val="0"/>
        </w:numPr>
        <w:rPr>
          <w:rFonts w:cs="Arial"/>
          <w:bCs w:val="0"/>
          <w:color w:val="000000" w:themeColor="text1"/>
          <w:lang w:val="es-CO"/>
        </w:rPr>
      </w:pPr>
    </w:p>
    <w:p w14:paraId="51F79B42" w14:textId="77777777" w:rsidR="0006302B" w:rsidRPr="0013707D" w:rsidRDefault="0006302B" w:rsidP="0006302B">
      <w:pPr>
        <w:pStyle w:val="ARTICULOS"/>
        <w:tabs>
          <w:tab w:val="clear" w:pos="1559"/>
          <w:tab w:val="left" w:pos="1560"/>
        </w:tabs>
        <w:outlineLvl w:val="0"/>
        <w:rPr>
          <w:rFonts w:cs="Arial"/>
          <w:color w:val="000000" w:themeColor="text1"/>
          <w:lang w:val="es-CO"/>
        </w:rPr>
      </w:pPr>
      <w:bookmarkStart w:id="37" w:name="_Ref334521088"/>
      <w:r w:rsidRPr="0013707D">
        <w:rPr>
          <w:rFonts w:cs="Arial"/>
          <w:b/>
          <w:color w:val="000000" w:themeColor="text1"/>
          <w:lang w:val="es-CO"/>
        </w:rPr>
        <w:t xml:space="preserve">Incumplimiento. </w:t>
      </w:r>
      <w:r w:rsidRPr="0013707D">
        <w:rPr>
          <w:rFonts w:cs="Arial"/>
          <w:color w:val="000000" w:themeColor="text1"/>
          <w:lang w:val="es-CO"/>
        </w:rPr>
        <w:t xml:space="preserve">Para efectos regulatorios se considera que se incumplen los contratos de suministro, con excepción de los contratos de contingencia y de los </w:t>
      </w:r>
      <w:r w:rsidRPr="006F1C1C">
        <w:rPr>
          <w:rFonts w:cs="Arial"/>
          <w:color w:val="000000" w:themeColor="text1"/>
          <w:lang w:val="es-CO"/>
        </w:rPr>
        <w:t>contratos con interrupciones</w:t>
      </w:r>
      <w:r w:rsidRPr="0013707D">
        <w:rPr>
          <w:rFonts w:cs="Arial"/>
          <w:color w:val="000000" w:themeColor="text1"/>
          <w:lang w:val="es-CO"/>
        </w:rPr>
        <w:t>, en los siguientes casos:</w:t>
      </w:r>
      <w:bookmarkEnd w:id="37"/>
    </w:p>
    <w:p w14:paraId="230C252B" w14:textId="77777777" w:rsidR="0006302B" w:rsidRPr="0013707D" w:rsidRDefault="0006302B" w:rsidP="0006302B">
      <w:pPr>
        <w:pStyle w:val="ARTICULOS"/>
        <w:numPr>
          <w:ilvl w:val="0"/>
          <w:numId w:val="0"/>
        </w:numPr>
        <w:tabs>
          <w:tab w:val="clear" w:pos="1559"/>
          <w:tab w:val="left" w:pos="1560"/>
        </w:tabs>
        <w:rPr>
          <w:rFonts w:cs="Arial"/>
          <w:b/>
          <w:color w:val="000000" w:themeColor="text1"/>
          <w:lang w:val="es-CO"/>
        </w:rPr>
      </w:pPr>
    </w:p>
    <w:p w14:paraId="23FAB592" w14:textId="3EF507C0" w:rsidR="0006302B" w:rsidRPr="0013707D" w:rsidRDefault="0006302B" w:rsidP="0006302B">
      <w:pPr>
        <w:pStyle w:val="ARTICULOS"/>
        <w:numPr>
          <w:ilvl w:val="1"/>
          <w:numId w:val="9"/>
        </w:numPr>
        <w:ind w:left="567" w:hanging="567"/>
        <w:rPr>
          <w:color w:val="000000" w:themeColor="text1"/>
          <w:lang w:val="es-CO"/>
        </w:rPr>
      </w:pPr>
      <w:bookmarkStart w:id="38" w:name="_Ref355796737"/>
      <w:r w:rsidRPr="0013707D">
        <w:rPr>
          <w:color w:val="000000" w:themeColor="text1"/>
          <w:lang w:val="es-CO"/>
        </w:rPr>
        <w:t xml:space="preserve">En el caso de los contratos de suministro de gas natural bajo las modalidades </w:t>
      </w:r>
      <w:r w:rsidRPr="0013707D">
        <w:rPr>
          <w:rFonts w:cs="Arial"/>
          <w:color w:val="000000" w:themeColor="text1"/>
          <w:lang w:val="es-CO"/>
        </w:rPr>
        <w:t>firme</w:t>
      </w:r>
      <w:r w:rsidR="008F15E0">
        <w:rPr>
          <w:rFonts w:cs="Arial"/>
          <w:color w:val="000000" w:themeColor="text1"/>
          <w:lang w:val="es-CO"/>
        </w:rPr>
        <w:t xml:space="preserve">, </w:t>
      </w:r>
      <w:r>
        <w:rPr>
          <w:rFonts w:cs="Arial"/>
          <w:color w:val="000000" w:themeColor="text1"/>
          <w:lang w:val="es-CO"/>
        </w:rPr>
        <w:t>CF</w:t>
      </w:r>
      <w:r w:rsidRPr="0013707D">
        <w:rPr>
          <w:rFonts w:cs="Arial"/>
          <w:color w:val="000000" w:themeColor="text1"/>
          <w:lang w:val="es-CO"/>
        </w:rPr>
        <w:t>, de firmeza condicionada</w:t>
      </w:r>
      <w:r>
        <w:rPr>
          <w:rFonts w:cs="Arial"/>
          <w:color w:val="000000" w:themeColor="text1"/>
          <w:lang w:val="es-CO"/>
        </w:rPr>
        <w:t>, CFC</w:t>
      </w:r>
      <w:r w:rsidR="008F15E0">
        <w:rPr>
          <w:rFonts w:cs="Arial"/>
          <w:color w:val="000000" w:themeColor="text1"/>
          <w:lang w:val="es-CO"/>
        </w:rPr>
        <w:t>,</w:t>
      </w:r>
      <w:r w:rsidRPr="0013707D">
        <w:rPr>
          <w:rFonts w:cs="Arial"/>
          <w:color w:val="000000" w:themeColor="text1"/>
          <w:lang w:val="es-CO"/>
        </w:rPr>
        <w:t xml:space="preserve"> y de opción de compra</w:t>
      </w:r>
      <w:r>
        <w:rPr>
          <w:rFonts w:cs="Arial"/>
          <w:color w:val="000000" w:themeColor="text1"/>
          <w:lang w:val="es-CO"/>
        </w:rPr>
        <w:t xml:space="preserve"> de gas</w:t>
      </w:r>
      <w:r w:rsidR="008F15E0">
        <w:rPr>
          <w:rFonts w:cs="Arial"/>
          <w:color w:val="000000" w:themeColor="text1"/>
          <w:lang w:val="es-CO"/>
        </w:rPr>
        <w:t xml:space="preserve">, </w:t>
      </w:r>
      <w:r>
        <w:rPr>
          <w:rFonts w:cs="Arial"/>
          <w:color w:val="000000" w:themeColor="text1"/>
          <w:lang w:val="es-CO"/>
        </w:rPr>
        <w:t>OCG</w:t>
      </w:r>
      <w:r w:rsidRPr="0013707D">
        <w:rPr>
          <w:color w:val="000000" w:themeColor="text1"/>
          <w:lang w:val="es-CO"/>
        </w:rPr>
        <w:t>:</w:t>
      </w:r>
      <w:bookmarkEnd w:id="38"/>
    </w:p>
    <w:p w14:paraId="6414586F" w14:textId="77777777" w:rsidR="0006302B" w:rsidRPr="0013707D" w:rsidRDefault="0006302B" w:rsidP="0006302B">
      <w:pPr>
        <w:rPr>
          <w:rFonts w:ascii="Bookman Old Style" w:hAnsi="Bookman Old Style" w:cs="Arial"/>
          <w:color w:val="000000" w:themeColor="text1"/>
          <w:lang w:val="es-CO"/>
        </w:rPr>
      </w:pPr>
    </w:p>
    <w:p w14:paraId="7B919594" w14:textId="030B7EA4" w:rsidR="0006302B" w:rsidRPr="0013707D" w:rsidRDefault="0006302B" w:rsidP="0006302B">
      <w:pPr>
        <w:numPr>
          <w:ilvl w:val="0"/>
          <w:numId w:val="10"/>
        </w:numPr>
        <w:autoSpaceDE w:val="0"/>
        <w:autoSpaceDN w:val="0"/>
        <w:adjustRightInd w:val="0"/>
        <w:ind w:left="1134" w:hanging="567"/>
        <w:jc w:val="both"/>
        <w:rPr>
          <w:rFonts w:ascii="Bookman Old Style" w:hAnsi="Bookman Old Style" w:cs="Arial"/>
          <w:color w:val="000000" w:themeColor="text1"/>
          <w:lang w:val="es-CO"/>
        </w:rPr>
      </w:pPr>
      <w:bookmarkStart w:id="39" w:name="_Ref355796729"/>
      <w:r w:rsidRPr="0013707D">
        <w:rPr>
          <w:rFonts w:ascii="Bookman Old Style" w:hAnsi="Bookman Old Style" w:cs="Arial"/>
          <w:color w:val="000000" w:themeColor="text1"/>
          <w:lang w:val="es-CO"/>
        </w:rPr>
        <w:t>Por parte del vendedor, cuando éste incumple su obligación de entregar la cantidad de energía nominada. En todo caso la cantidad nominada deberá ser igual o inferior a la cantidad de energía contratada por el comprador.</w:t>
      </w:r>
      <w:bookmarkEnd w:id="39"/>
    </w:p>
    <w:p w14:paraId="1B244741" w14:textId="77777777" w:rsidR="0006302B" w:rsidRPr="0013707D"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59CE3F16" w14:textId="77777777" w:rsidR="0006302B" w:rsidRPr="0013707D" w:rsidRDefault="0006302B" w:rsidP="0006302B">
      <w:pPr>
        <w:numPr>
          <w:ilvl w:val="0"/>
          <w:numId w:val="1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lastRenderedPageBreak/>
        <w:t>Por parte del comprador, cuando éste incumple su obligación de pagar el gas contratado.</w:t>
      </w:r>
    </w:p>
    <w:p w14:paraId="58570ADA" w14:textId="77777777" w:rsidR="0006302B" w:rsidRPr="0013707D" w:rsidRDefault="0006302B" w:rsidP="0006302B">
      <w:pPr>
        <w:pStyle w:val="ARTICULOS"/>
        <w:numPr>
          <w:ilvl w:val="0"/>
          <w:numId w:val="0"/>
        </w:numPr>
        <w:tabs>
          <w:tab w:val="clear" w:pos="1559"/>
          <w:tab w:val="left" w:pos="1560"/>
        </w:tabs>
        <w:rPr>
          <w:rFonts w:cs="Arial"/>
          <w:b/>
          <w:color w:val="000000" w:themeColor="text1"/>
          <w:lang w:val="es-CO"/>
        </w:rPr>
      </w:pPr>
    </w:p>
    <w:p w14:paraId="1E484190" w14:textId="77777777" w:rsidR="0006302B" w:rsidRPr="0013707D" w:rsidRDefault="0006302B" w:rsidP="0006302B">
      <w:pPr>
        <w:pStyle w:val="ARTICULOS"/>
        <w:numPr>
          <w:ilvl w:val="1"/>
          <w:numId w:val="9"/>
        </w:numPr>
        <w:ind w:left="567" w:hanging="567"/>
        <w:rPr>
          <w:color w:val="000000" w:themeColor="text1"/>
          <w:lang w:val="es-CO"/>
        </w:rPr>
      </w:pPr>
      <w:r w:rsidRPr="0013707D">
        <w:rPr>
          <w:color w:val="000000" w:themeColor="text1"/>
          <w:lang w:val="es-CO"/>
        </w:rPr>
        <w:t xml:space="preserve">En el caso de los contratos de suministro firme </w:t>
      </w:r>
      <w:r w:rsidRPr="005C77B3">
        <w:rPr>
          <w:b/>
          <w:bCs w:val="0"/>
          <w:color w:val="000000" w:themeColor="text1"/>
          <w:lang w:val="es-CO"/>
        </w:rPr>
        <w:t>CF80</w:t>
      </w:r>
      <w:r>
        <w:rPr>
          <w:b/>
          <w:bCs w:val="0"/>
          <w:color w:val="000000" w:themeColor="text1"/>
          <w:lang w:val="es-CO"/>
        </w:rPr>
        <w:t xml:space="preserve"> y </w:t>
      </w:r>
      <w:r w:rsidRPr="0013707D">
        <w:rPr>
          <w:color w:val="000000" w:themeColor="text1"/>
          <w:lang w:val="es-CO"/>
        </w:rPr>
        <w:t>CF95:</w:t>
      </w:r>
    </w:p>
    <w:p w14:paraId="5507E829" w14:textId="77777777" w:rsidR="0006302B" w:rsidRPr="0013707D" w:rsidRDefault="0006302B" w:rsidP="0006302B">
      <w:pPr>
        <w:rPr>
          <w:rFonts w:ascii="Bookman Old Style" w:hAnsi="Bookman Old Style" w:cs="Arial"/>
          <w:color w:val="000000" w:themeColor="text1"/>
          <w:lang w:val="es-CO"/>
        </w:rPr>
      </w:pPr>
    </w:p>
    <w:p w14:paraId="2B62453D" w14:textId="16C32821" w:rsidR="0006302B" w:rsidRPr="0013707D" w:rsidRDefault="0006302B" w:rsidP="00A4790E">
      <w:pPr>
        <w:numPr>
          <w:ilvl w:val="0"/>
          <w:numId w:val="6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Por parte del vendedor, cuando éste incumple su obligación de entregar la cantidad de energía nominada. En todo caso la cantidad nominada deberá ser igual o inferior a la cantidad de energía contratada por el comprador;</w:t>
      </w:r>
    </w:p>
    <w:p w14:paraId="7406EE8D" w14:textId="77777777" w:rsidR="0006302B" w:rsidRPr="0013707D"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48FA9CAB" w14:textId="5A9FC1B6" w:rsidR="0006302B" w:rsidRPr="003D20AA" w:rsidRDefault="0006302B" w:rsidP="00A4790E">
      <w:pPr>
        <w:numPr>
          <w:ilvl w:val="0"/>
          <w:numId w:val="6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Por parte del comprador, cuando éste incumple su obligación de pagar </w:t>
      </w:r>
      <w:r w:rsidR="00397E2E" w:rsidRPr="0013707D">
        <w:rPr>
          <w:rFonts w:ascii="Bookman Old Style" w:hAnsi="Bookman Old Style" w:cs="Arial"/>
          <w:color w:val="000000" w:themeColor="text1"/>
          <w:lang w:val="es-CO"/>
        </w:rPr>
        <w:t>en la liquidación mensual</w:t>
      </w:r>
      <w:r w:rsidR="00397E2E">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el máximo entre el gas nominado y el componente 95% de la cantidad contratada</w:t>
      </w:r>
      <w:r>
        <w:rPr>
          <w:rFonts w:ascii="Bookman Old Style" w:hAnsi="Bookman Old Style" w:cs="Arial"/>
          <w:color w:val="000000" w:themeColor="text1"/>
          <w:lang w:val="es-CO"/>
        </w:rPr>
        <w:t xml:space="preserve"> en </w:t>
      </w:r>
      <w:r w:rsidRPr="003D20AA">
        <w:rPr>
          <w:rFonts w:ascii="Bookman Old Style" w:hAnsi="Bookman Old Style" w:cs="Arial"/>
          <w:color w:val="000000" w:themeColor="text1"/>
          <w:lang w:val="es-CO"/>
        </w:rPr>
        <w:t>el caso del CF95</w:t>
      </w:r>
      <w:r w:rsidR="008F15E0" w:rsidRPr="003D20AA">
        <w:rPr>
          <w:rFonts w:ascii="Bookman Old Style" w:hAnsi="Bookman Old Style" w:cs="Arial"/>
          <w:color w:val="000000" w:themeColor="text1"/>
          <w:lang w:val="es-CO"/>
        </w:rPr>
        <w:t>,</w:t>
      </w:r>
      <w:r w:rsidRPr="003D20AA">
        <w:rPr>
          <w:rFonts w:ascii="Bookman Old Style" w:hAnsi="Bookman Old Style" w:cs="Arial"/>
          <w:color w:val="000000" w:themeColor="text1"/>
          <w:lang w:val="es-CO"/>
        </w:rPr>
        <w:t xml:space="preserve"> </w:t>
      </w:r>
      <w:r w:rsidR="00397E2E" w:rsidRPr="003D20AA">
        <w:rPr>
          <w:rFonts w:ascii="Bookman Old Style" w:hAnsi="Bookman Old Style" w:cs="Arial"/>
          <w:b/>
          <w:bCs/>
          <w:color w:val="000000" w:themeColor="text1"/>
          <w:lang w:val="es-CO"/>
        </w:rPr>
        <w:t>o</w:t>
      </w:r>
      <w:r w:rsidRPr="003D20AA">
        <w:rPr>
          <w:rFonts w:ascii="Bookman Old Style" w:hAnsi="Bookman Old Style" w:cs="Arial"/>
          <w:b/>
          <w:bCs/>
          <w:color w:val="000000" w:themeColor="text1"/>
          <w:lang w:val="es-CO"/>
        </w:rPr>
        <w:t xml:space="preserve"> el </w:t>
      </w:r>
      <w:r w:rsidR="00397E2E" w:rsidRPr="003D20AA">
        <w:rPr>
          <w:rFonts w:ascii="Bookman Old Style" w:hAnsi="Bookman Old Style" w:cs="Arial"/>
          <w:b/>
          <w:bCs/>
          <w:color w:val="000000" w:themeColor="text1"/>
          <w:lang w:val="es-CO"/>
        </w:rPr>
        <w:t xml:space="preserve">máximo nominado y el </w:t>
      </w:r>
      <w:r w:rsidRPr="003D20AA">
        <w:rPr>
          <w:rFonts w:ascii="Bookman Old Style" w:hAnsi="Bookman Old Style" w:cs="Arial"/>
          <w:b/>
          <w:bCs/>
          <w:color w:val="000000" w:themeColor="text1"/>
          <w:lang w:val="es-CO"/>
        </w:rPr>
        <w:t>componente del 80% de la cantidad contratada en el caso del CF80</w:t>
      </w:r>
      <w:r w:rsidRPr="003D20AA">
        <w:rPr>
          <w:rFonts w:ascii="Bookman Old Style" w:hAnsi="Bookman Old Style" w:cs="Arial"/>
          <w:color w:val="000000" w:themeColor="text1"/>
          <w:lang w:val="es-CO"/>
        </w:rPr>
        <w:t>.</w:t>
      </w:r>
    </w:p>
    <w:p w14:paraId="5159394A" w14:textId="77777777" w:rsidR="0006302B" w:rsidRPr="003D20AA" w:rsidRDefault="0006302B" w:rsidP="0006302B">
      <w:pPr>
        <w:pStyle w:val="ARTICULOS"/>
        <w:numPr>
          <w:ilvl w:val="0"/>
          <w:numId w:val="0"/>
        </w:numPr>
        <w:tabs>
          <w:tab w:val="clear" w:pos="1559"/>
          <w:tab w:val="left" w:pos="1560"/>
        </w:tabs>
        <w:rPr>
          <w:rFonts w:cs="Arial"/>
          <w:b/>
          <w:color w:val="000000" w:themeColor="text1"/>
          <w:lang w:val="es-CO"/>
        </w:rPr>
      </w:pPr>
    </w:p>
    <w:p w14:paraId="66F7BEAC" w14:textId="081EB417" w:rsidR="0006302B" w:rsidRPr="003D20AA" w:rsidRDefault="0006302B" w:rsidP="0006302B">
      <w:pPr>
        <w:pStyle w:val="ARTICULOS"/>
        <w:numPr>
          <w:ilvl w:val="0"/>
          <w:numId w:val="0"/>
        </w:numPr>
        <w:tabs>
          <w:tab w:val="clear" w:pos="1559"/>
          <w:tab w:val="left" w:pos="1560"/>
        </w:tabs>
        <w:rPr>
          <w:rFonts w:cs="Arial"/>
          <w:b/>
          <w:bCs w:val="0"/>
          <w:color w:val="000000" w:themeColor="text1"/>
          <w:lang w:val="es-CO"/>
        </w:rPr>
      </w:pPr>
      <w:r w:rsidRPr="003D20AA">
        <w:rPr>
          <w:rFonts w:cs="Arial"/>
          <w:b/>
          <w:color w:val="000000" w:themeColor="text1"/>
          <w:lang w:val="es-CO"/>
        </w:rPr>
        <w:t xml:space="preserve">Parágrafo 1. </w:t>
      </w:r>
      <w:r w:rsidRPr="003D20AA">
        <w:rPr>
          <w:rFonts w:cs="Arial"/>
          <w:color w:val="000000" w:themeColor="text1"/>
          <w:lang w:val="es-CO"/>
        </w:rPr>
        <w:t xml:space="preserve">Las partes podrán definir otras circunstancias </w:t>
      </w:r>
      <w:r w:rsidR="00B02CDD" w:rsidRPr="003D20AA">
        <w:rPr>
          <w:rFonts w:cs="Arial"/>
          <w:b/>
          <w:bCs w:val="0"/>
          <w:color w:val="000000" w:themeColor="text1"/>
          <w:lang w:val="es-CO"/>
        </w:rPr>
        <w:t>adicionales</w:t>
      </w:r>
      <w:r w:rsidR="00B02CDD" w:rsidRPr="003D20AA">
        <w:rPr>
          <w:rFonts w:cs="Arial"/>
          <w:color w:val="000000" w:themeColor="text1"/>
          <w:lang w:val="es-CO"/>
        </w:rPr>
        <w:t xml:space="preserve"> </w:t>
      </w:r>
      <w:r w:rsidRPr="003D20AA">
        <w:rPr>
          <w:rFonts w:cs="Arial"/>
          <w:color w:val="000000" w:themeColor="text1"/>
          <w:lang w:val="es-CO"/>
        </w:rPr>
        <w:t>en que se configure un incumplimiento</w:t>
      </w:r>
      <w:r w:rsidRPr="003D20AA">
        <w:rPr>
          <w:rFonts w:cs="Arial"/>
          <w:b/>
          <w:bCs w:val="0"/>
          <w:color w:val="000000" w:themeColor="text1"/>
          <w:lang w:val="es-CO"/>
        </w:rPr>
        <w:t>, sin que se exima del cumplimiento de la obligación principal del contrato.</w:t>
      </w:r>
      <w:r w:rsidR="00B02CDD" w:rsidRPr="003D20AA">
        <w:rPr>
          <w:rFonts w:cs="Arial"/>
          <w:color w:val="000000" w:themeColor="text1"/>
          <w:lang w:val="es-CO"/>
        </w:rPr>
        <w:t xml:space="preserve"> </w:t>
      </w:r>
      <w:r w:rsidR="00B02CDD" w:rsidRPr="003D20AA">
        <w:rPr>
          <w:rFonts w:cs="Arial"/>
          <w:b/>
          <w:bCs w:val="0"/>
          <w:color w:val="000000" w:themeColor="text1"/>
          <w:lang w:val="es-CO"/>
        </w:rPr>
        <w:t>En todo caso no habrá incumplimiento cuando el vendedor</w:t>
      </w:r>
      <w:r w:rsidR="00C45C66" w:rsidRPr="003D20AA">
        <w:rPr>
          <w:rFonts w:cs="Arial"/>
          <w:b/>
          <w:bCs w:val="0"/>
          <w:color w:val="000000" w:themeColor="text1"/>
          <w:lang w:val="es-CO"/>
        </w:rPr>
        <w:t xml:space="preserve"> </w:t>
      </w:r>
      <w:r w:rsidR="0092401A" w:rsidRPr="003D20AA">
        <w:rPr>
          <w:rFonts w:cs="Arial"/>
          <w:b/>
          <w:bCs w:val="0"/>
          <w:color w:val="000000" w:themeColor="text1"/>
          <w:lang w:val="es-CO"/>
        </w:rPr>
        <w:t xml:space="preserve">atienda el contrato </w:t>
      </w:r>
      <w:r w:rsidR="00C45C66" w:rsidRPr="003D20AA">
        <w:rPr>
          <w:rFonts w:cs="Arial"/>
          <w:b/>
          <w:bCs w:val="0"/>
          <w:color w:val="000000" w:themeColor="text1"/>
          <w:lang w:val="es-CO"/>
        </w:rPr>
        <w:t xml:space="preserve">con el suministro de gas natural proveniente de otra fuente de suministro, propia o de un tercero, diferente a la que se previó en el contrato de suministro, siempre y cuando esto </w:t>
      </w:r>
      <w:r w:rsidR="0092401A" w:rsidRPr="003D20AA">
        <w:rPr>
          <w:rFonts w:cs="Arial"/>
          <w:b/>
          <w:bCs w:val="0"/>
          <w:color w:val="000000" w:themeColor="text1"/>
          <w:lang w:val="es-CO"/>
        </w:rPr>
        <w:t>no le implique al</w:t>
      </w:r>
      <w:r w:rsidR="0050627A" w:rsidRPr="003D20AA">
        <w:rPr>
          <w:rFonts w:cs="Arial"/>
          <w:b/>
          <w:bCs w:val="0"/>
          <w:color w:val="000000" w:themeColor="text1"/>
          <w:lang w:val="es-CO"/>
        </w:rPr>
        <w:t xml:space="preserve"> </w:t>
      </w:r>
      <w:r w:rsidR="00C45C66" w:rsidRPr="003D20AA">
        <w:rPr>
          <w:rFonts w:cs="Arial"/>
          <w:b/>
          <w:bCs w:val="0"/>
          <w:color w:val="000000" w:themeColor="text1"/>
          <w:lang w:val="es-CO"/>
        </w:rPr>
        <w:t xml:space="preserve">comprador </w:t>
      </w:r>
      <w:r w:rsidR="0092401A" w:rsidRPr="003D20AA">
        <w:rPr>
          <w:rFonts w:cs="Arial"/>
          <w:b/>
          <w:bCs w:val="0"/>
          <w:color w:val="000000" w:themeColor="text1"/>
          <w:lang w:val="es-CO"/>
        </w:rPr>
        <w:t>asumir mayores costos en las demás actividades de la cadena de prestación del servicio</w:t>
      </w:r>
      <w:r w:rsidR="00C45C66" w:rsidRPr="003D20AA">
        <w:rPr>
          <w:rFonts w:cs="Arial"/>
          <w:b/>
          <w:bCs w:val="0"/>
          <w:color w:val="000000" w:themeColor="text1"/>
          <w:lang w:val="es-CO"/>
        </w:rPr>
        <w:t xml:space="preserve">. </w:t>
      </w:r>
    </w:p>
    <w:p w14:paraId="495AB0D0" w14:textId="77777777" w:rsidR="0006302B" w:rsidRPr="003D20AA" w:rsidRDefault="0006302B" w:rsidP="0006302B">
      <w:pPr>
        <w:pStyle w:val="ARTICULOS"/>
        <w:numPr>
          <w:ilvl w:val="0"/>
          <w:numId w:val="0"/>
        </w:numPr>
        <w:tabs>
          <w:tab w:val="clear" w:pos="1559"/>
          <w:tab w:val="left" w:pos="1560"/>
        </w:tabs>
        <w:rPr>
          <w:rFonts w:cs="Arial"/>
          <w:color w:val="000000" w:themeColor="text1"/>
          <w:lang w:val="es-CO"/>
        </w:rPr>
      </w:pPr>
    </w:p>
    <w:p w14:paraId="373DFDB8" w14:textId="06106BCB" w:rsidR="0006302B" w:rsidRPr="003D20AA" w:rsidRDefault="0006302B" w:rsidP="0006302B">
      <w:pPr>
        <w:pStyle w:val="ARTICULOS"/>
        <w:numPr>
          <w:ilvl w:val="0"/>
          <w:numId w:val="0"/>
        </w:numPr>
        <w:tabs>
          <w:tab w:val="clear" w:pos="1559"/>
          <w:tab w:val="left" w:pos="1560"/>
        </w:tabs>
        <w:rPr>
          <w:rFonts w:cs="Arial"/>
          <w:color w:val="000000" w:themeColor="text1"/>
          <w:lang w:val="es-ES"/>
        </w:rPr>
      </w:pPr>
      <w:r w:rsidRPr="003D20AA">
        <w:rPr>
          <w:rFonts w:cs="Arial"/>
          <w:b/>
          <w:color w:val="000000" w:themeColor="text1"/>
          <w:lang w:val="es-CO"/>
        </w:rPr>
        <w:t>Parágrafo 2.</w:t>
      </w:r>
      <w:r w:rsidRPr="003D20AA">
        <w:rPr>
          <w:rFonts w:cs="Arial"/>
          <w:color w:val="000000" w:themeColor="text1"/>
          <w:lang w:val="es-CO"/>
        </w:rPr>
        <w:t xml:space="preserve"> </w:t>
      </w:r>
      <w:bookmarkStart w:id="40" w:name="_Hlk94273546"/>
      <w:r w:rsidRPr="003D20AA">
        <w:rPr>
          <w:rFonts w:cs="Arial"/>
          <w:b/>
          <w:bCs w:val="0"/>
          <w:color w:val="000000" w:themeColor="text1"/>
          <w:lang w:val="es-CO"/>
        </w:rPr>
        <w:t xml:space="preserve">Los Vendedores del Mercado Primario señalados en el </w:t>
      </w:r>
      <w:r w:rsidR="00836AD5">
        <w:rPr>
          <w:rFonts w:cs="Arial"/>
          <w:b/>
          <w:bCs w:val="0"/>
          <w:color w:val="000000" w:themeColor="text1"/>
          <w:lang w:val="es-CO"/>
        </w:rPr>
        <w:t>a</w:t>
      </w:r>
      <w:r w:rsidRPr="003D20AA">
        <w:rPr>
          <w:rFonts w:cs="Arial"/>
          <w:b/>
          <w:bCs w:val="0"/>
          <w:color w:val="000000" w:themeColor="text1"/>
          <w:lang w:val="es-CO"/>
        </w:rPr>
        <w:t>rtículo 16 de la presente resolución</w:t>
      </w:r>
      <w:bookmarkEnd w:id="40"/>
      <w:r w:rsidRPr="003D20AA">
        <w:rPr>
          <w:rFonts w:cs="Arial"/>
          <w:color w:val="000000" w:themeColor="text1"/>
          <w:lang w:val="es-CO"/>
        </w:rPr>
        <w:t xml:space="preserve">, deberán acotar la cantidad de energía a suministrar a las cantidades contratadas. </w:t>
      </w:r>
      <w:r w:rsidRPr="003D20AA">
        <w:rPr>
          <w:rFonts w:cs="Arial"/>
          <w:color w:val="000000" w:themeColor="text1"/>
          <w:lang w:val="es-ES"/>
        </w:rPr>
        <w:t>El suministro de cantidades de energía por encima de las contratadas podrá ser considerado por las autoridades competentes como una práctica contraria a la libre competencia.</w:t>
      </w:r>
    </w:p>
    <w:p w14:paraId="603B53BC" w14:textId="77777777" w:rsidR="0006302B" w:rsidRPr="003D20AA" w:rsidRDefault="0006302B" w:rsidP="0006302B">
      <w:pPr>
        <w:pStyle w:val="ARTICULOS"/>
        <w:numPr>
          <w:ilvl w:val="0"/>
          <w:numId w:val="0"/>
        </w:numPr>
        <w:tabs>
          <w:tab w:val="clear" w:pos="1559"/>
          <w:tab w:val="left" w:pos="1560"/>
        </w:tabs>
        <w:rPr>
          <w:rFonts w:cs="Arial"/>
          <w:color w:val="000000" w:themeColor="text1"/>
          <w:lang w:val="es-CO"/>
        </w:rPr>
      </w:pPr>
    </w:p>
    <w:p w14:paraId="5F082F9B" w14:textId="1C304FCC" w:rsidR="0006302B" w:rsidRPr="003D20AA" w:rsidRDefault="0006302B" w:rsidP="0006302B">
      <w:pPr>
        <w:pStyle w:val="ARTICULOS"/>
        <w:numPr>
          <w:ilvl w:val="0"/>
          <w:numId w:val="0"/>
        </w:numPr>
        <w:tabs>
          <w:tab w:val="clear" w:pos="1559"/>
          <w:tab w:val="left" w:pos="1560"/>
        </w:tabs>
        <w:rPr>
          <w:rFonts w:cs="Arial"/>
          <w:color w:val="000000" w:themeColor="text1"/>
          <w:lang w:val="es-CO"/>
        </w:rPr>
      </w:pPr>
      <w:r w:rsidRPr="003D20AA">
        <w:rPr>
          <w:rFonts w:cs="Arial"/>
          <w:b/>
          <w:color w:val="000000" w:themeColor="text1"/>
          <w:lang w:val="es-CO"/>
        </w:rPr>
        <w:t>Parágrafo 3.</w:t>
      </w:r>
      <w:r w:rsidR="00FB4014" w:rsidRPr="003D20AA">
        <w:rPr>
          <w:rFonts w:cs="Arial"/>
          <w:b/>
          <w:color w:val="000000" w:themeColor="text1"/>
          <w:lang w:val="es-CO"/>
        </w:rPr>
        <w:t xml:space="preserve"> El</w:t>
      </w:r>
      <w:r w:rsidR="00FB4014" w:rsidRPr="003D20AA">
        <w:rPr>
          <w:rFonts w:cs="Arial"/>
          <w:b/>
          <w:lang w:val="es-CO"/>
        </w:rPr>
        <w:t xml:space="preserve"> </w:t>
      </w:r>
      <w:r w:rsidR="0022131A" w:rsidRPr="003D20AA">
        <w:rPr>
          <w:rFonts w:cs="Arial"/>
          <w:b/>
          <w:szCs w:val="22"/>
          <w:lang w:val="es-CO"/>
        </w:rPr>
        <w:t>Gestor</w:t>
      </w:r>
      <w:r w:rsidR="00FB4014" w:rsidRPr="003D20AA">
        <w:rPr>
          <w:rFonts w:cs="Arial"/>
          <w:b/>
          <w:lang w:val="es-CO"/>
        </w:rPr>
        <w:t xml:space="preserve"> </w:t>
      </w:r>
      <w:r w:rsidR="00FB4014" w:rsidRPr="003D20AA">
        <w:rPr>
          <w:rFonts w:cs="Arial"/>
          <w:b/>
          <w:color w:val="000000" w:themeColor="text1"/>
          <w:lang w:val="es-CO"/>
        </w:rPr>
        <w:t xml:space="preserve">del Mercado verificará </w:t>
      </w:r>
      <w:r w:rsidR="00932D49" w:rsidRPr="003D20AA">
        <w:rPr>
          <w:rFonts w:cs="Arial"/>
          <w:b/>
          <w:color w:val="000000" w:themeColor="text1"/>
          <w:lang w:val="es-CO"/>
        </w:rPr>
        <w:t xml:space="preserve">por lo menos semanalmente </w:t>
      </w:r>
      <w:r w:rsidR="00FB4014" w:rsidRPr="003D20AA">
        <w:rPr>
          <w:rFonts w:cs="Arial"/>
          <w:b/>
          <w:color w:val="000000" w:themeColor="text1"/>
          <w:lang w:val="es-CO"/>
        </w:rPr>
        <w:t>que</w:t>
      </w:r>
      <w:r w:rsidRPr="003D20AA">
        <w:rPr>
          <w:rFonts w:cs="Arial"/>
          <w:color w:val="000000" w:themeColor="text1"/>
          <w:lang w:val="es-CO"/>
        </w:rPr>
        <w:t xml:space="preserve"> </w:t>
      </w:r>
      <w:r w:rsidR="00FB4014" w:rsidRPr="003D20AA">
        <w:rPr>
          <w:rFonts w:cs="Arial"/>
          <w:color w:val="000000" w:themeColor="text1"/>
          <w:lang w:val="es-CO"/>
        </w:rPr>
        <w:t>l</w:t>
      </w:r>
      <w:r w:rsidRPr="003D20AA">
        <w:rPr>
          <w:rFonts w:cs="Arial"/>
          <w:color w:val="000000" w:themeColor="text1"/>
          <w:lang w:val="es-CO"/>
        </w:rPr>
        <w:t xml:space="preserve">a cantidad de energía a suministrar por parte de </w:t>
      </w:r>
      <w:r w:rsidRPr="003D20AA">
        <w:rPr>
          <w:rFonts w:cs="Arial"/>
          <w:b/>
          <w:bCs w:val="0"/>
          <w:color w:val="000000" w:themeColor="text1"/>
          <w:lang w:val="es-CO"/>
        </w:rPr>
        <w:t>los Vendedores</w:t>
      </w:r>
      <w:r w:rsidRPr="00400E60">
        <w:rPr>
          <w:rFonts w:cs="Arial"/>
          <w:b/>
          <w:bCs w:val="0"/>
          <w:color w:val="000000" w:themeColor="text1"/>
          <w:lang w:val="es-CO"/>
        </w:rPr>
        <w:t xml:space="preserve"> del Mercado Primario señalados en el </w:t>
      </w:r>
      <w:r w:rsidR="00836AD5">
        <w:rPr>
          <w:rFonts w:cs="Arial"/>
          <w:b/>
          <w:bCs w:val="0"/>
          <w:color w:val="000000" w:themeColor="text1"/>
          <w:lang w:val="es-CO"/>
        </w:rPr>
        <w:t>a</w:t>
      </w:r>
      <w:r w:rsidRPr="00400E60">
        <w:rPr>
          <w:rFonts w:cs="Arial"/>
          <w:b/>
          <w:bCs w:val="0"/>
          <w:color w:val="000000" w:themeColor="text1"/>
          <w:lang w:val="es-CO"/>
        </w:rPr>
        <w:t>rtículo 16 de la presente resolución</w:t>
      </w:r>
      <w:r w:rsidRPr="0013707D">
        <w:rPr>
          <w:rFonts w:cs="Arial"/>
          <w:color w:val="000000" w:themeColor="text1"/>
          <w:lang w:val="es-CO"/>
        </w:rPr>
        <w:t xml:space="preserve"> y la cantidad de energía autorizada por parte de </w:t>
      </w:r>
      <w:r w:rsidRPr="003D20AA">
        <w:rPr>
          <w:rFonts w:cs="Arial"/>
          <w:color w:val="000000" w:themeColor="text1"/>
          <w:lang w:val="es-CO"/>
        </w:rPr>
        <w:t xml:space="preserve">un transportador deberán ser iguales </w:t>
      </w:r>
      <w:r w:rsidRPr="003D20AA">
        <w:rPr>
          <w:rFonts w:cs="Arial"/>
          <w:b/>
          <w:bCs w:val="0"/>
          <w:color w:val="000000" w:themeColor="text1"/>
          <w:lang w:val="es-CO"/>
        </w:rPr>
        <w:t xml:space="preserve">en los Puntos de Entrega y </w:t>
      </w:r>
      <w:r w:rsidRPr="003D20AA">
        <w:rPr>
          <w:rFonts w:cs="Arial"/>
          <w:color w:val="000000" w:themeColor="text1"/>
          <w:lang w:val="es-CO"/>
        </w:rPr>
        <w:t>en el punto de entrada del SNT</w:t>
      </w:r>
      <w:r w:rsidR="00107B0A" w:rsidRPr="003D20AA">
        <w:rPr>
          <w:rFonts w:cs="Arial"/>
          <w:color w:val="000000" w:themeColor="text1"/>
          <w:lang w:val="es-CO"/>
        </w:rPr>
        <w:t xml:space="preserve">, </w:t>
      </w:r>
      <w:r w:rsidR="00107B0A" w:rsidRPr="003D20AA">
        <w:rPr>
          <w:rFonts w:cs="Arial"/>
          <w:b/>
          <w:bCs w:val="0"/>
          <w:color w:val="000000" w:themeColor="text1"/>
          <w:lang w:val="es-CO"/>
        </w:rPr>
        <w:t xml:space="preserve">cuando la entrega del </w:t>
      </w:r>
      <w:r w:rsidR="00B02CDD" w:rsidRPr="003D20AA">
        <w:rPr>
          <w:rFonts w:cs="Arial"/>
          <w:b/>
          <w:bCs w:val="0"/>
          <w:color w:val="000000" w:themeColor="text1"/>
          <w:lang w:val="es-CO"/>
        </w:rPr>
        <w:t>gas</w:t>
      </w:r>
      <w:r w:rsidR="00107B0A" w:rsidRPr="003D20AA">
        <w:rPr>
          <w:rFonts w:cs="Arial"/>
          <w:b/>
          <w:bCs w:val="0"/>
          <w:color w:val="000000" w:themeColor="text1"/>
          <w:lang w:val="es-CO"/>
        </w:rPr>
        <w:t xml:space="preserve"> se realice en un punto de entrada al SNT</w:t>
      </w:r>
      <w:r w:rsidRPr="003D20AA">
        <w:rPr>
          <w:rFonts w:cs="Arial"/>
          <w:b/>
          <w:bCs w:val="0"/>
          <w:color w:val="000000" w:themeColor="text1"/>
          <w:lang w:val="es-CO"/>
        </w:rPr>
        <w:t xml:space="preserve">. </w:t>
      </w:r>
      <w:r w:rsidRPr="003D20AA">
        <w:rPr>
          <w:rFonts w:cs="Arial"/>
          <w:color w:val="000000" w:themeColor="text1"/>
          <w:lang w:val="es-CO"/>
        </w:rPr>
        <w:t xml:space="preserve">Cualquier reducción en la cantidad de energía a suministrar o en la cantidad de energía autorizada para dar cumplimiento a esta disposición, que obedezca a que las cantidades nominadas no sean iguales, no será considerada un incumplimiento por parte de </w:t>
      </w:r>
      <w:r w:rsidRPr="003D20AA">
        <w:rPr>
          <w:rFonts w:cs="Arial"/>
          <w:b/>
          <w:bCs w:val="0"/>
          <w:color w:val="000000" w:themeColor="text1"/>
          <w:lang w:val="es-CO"/>
        </w:rPr>
        <w:t xml:space="preserve">los Vendedores del Mercado Primario señalados en el </w:t>
      </w:r>
      <w:r w:rsidR="00507581">
        <w:rPr>
          <w:rFonts w:cs="Arial"/>
          <w:b/>
          <w:bCs w:val="0"/>
          <w:color w:val="000000" w:themeColor="text1"/>
          <w:lang w:val="es-CO"/>
        </w:rPr>
        <w:t>a</w:t>
      </w:r>
      <w:r w:rsidRPr="003D20AA">
        <w:rPr>
          <w:rFonts w:cs="Arial"/>
          <w:b/>
          <w:bCs w:val="0"/>
          <w:color w:val="000000" w:themeColor="text1"/>
          <w:lang w:val="es-CO"/>
        </w:rPr>
        <w:t>rtículo 16 de la presente resolución</w:t>
      </w:r>
      <w:r w:rsidRPr="003D20AA">
        <w:rPr>
          <w:rFonts w:cs="Arial"/>
          <w:color w:val="000000" w:themeColor="text1"/>
          <w:lang w:val="es-CO"/>
        </w:rPr>
        <w:t xml:space="preserve"> o del transportador, según corresponda.</w:t>
      </w:r>
    </w:p>
    <w:p w14:paraId="5817451E" w14:textId="77777777" w:rsidR="0006302B" w:rsidRPr="003D20AA" w:rsidRDefault="0006302B" w:rsidP="0006302B">
      <w:pPr>
        <w:pStyle w:val="ARTICULOS"/>
        <w:numPr>
          <w:ilvl w:val="0"/>
          <w:numId w:val="0"/>
        </w:numPr>
        <w:tabs>
          <w:tab w:val="clear" w:pos="1559"/>
          <w:tab w:val="left" w:pos="1560"/>
        </w:tabs>
        <w:rPr>
          <w:rFonts w:cs="Arial"/>
          <w:b/>
          <w:color w:val="000000" w:themeColor="text1"/>
          <w:lang w:val="es-CO"/>
        </w:rPr>
      </w:pPr>
    </w:p>
    <w:p w14:paraId="0FC37AC0" w14:textId="279BEA28" w:rsidR="0006302B" w:rsidRPr="003D20AA" w:rsidRDefault="0006302B" w:rsidP="0006302B">
      <w:pPr>
        <w:autoSpaceDE w:val="0"/>
        <w:autoSpaceDN w:val="0"/>
        <w:adjustRightInd w:val="0"/>
        <w:ind w:left="0"/>
        <w:jc w:val="both"/>
        <w:rPr>
          <w:rFonts w:ascii="Bookman Old Style" w:hAnsi="Bookman Old Style" w:cs="Arial"/>
          <w:bCs/>
          <w:color w:val="000000" w:themeColor="text1"/>
          <w:lang w:val="es-CO" w:eastAsia="x-none"/>
        </w:rPr>
      </w:pPr>
      <w:r w:rsidRPr="003D20AA">
        <w:rPr>
          <w:rFonts w:ascii="Bookman Old Style" w:hAnsi="Bookman Old Style" w:cs="Arial"/>
          <w:b/>
          <w:bCs/>
          <w:color w:val="000000" w:themeColor="text1"/>
          <w:lang w:val="es-CO" w:eastAsia="x-none"/>
        </w:rPr>
        <w:t>Parágrafo 4.</w:t>
      </w:r>
      <w:r w:rsidRPr="003D20AA">
        <w:rPr>
          <w:rFonts w:ascii="Bookman Old Style" w:hAnsi="Bookman Old Style"/>
          <w:bCs/>
          <w:color w:val="000000" w:themeColor="text1"/>
          <w:lang w:val="es-CO" w:eastAsia="x-none"/>
        </w:rPr>
        <w:t xml:space="preserve"> La cantidad </w:t>
      </w:r>
      <w:r w:rsidRPr="003D20AA">
        <w:rPr>
          <w:rFonts w:ascii="Bookman Old Style" w:hAnsi="Bookman Old Style" w:cs="Arial"/>
          <w:bCs/>
          <w:color w:val="000000" w:themeColor="text1"/>
          <w:lang w:val="es-CO" w:eastAsia="x-none"/>
        </w:rPr>
        <w:t xml:space="preserve">de energía nominada </w:t>
      </w:r>
      <w:r w:rsidRPr="003D20AA">
        <w:rPr>
          <w:rFonts w:ascii="Bookman Old Style" w:hAnsi="Bookman Old Style" w:cs="Arial"/>
          <w:b/>
          <w:color w:val="000000" w:themeColor="text1"/>
          <w:lang w:val="es-CO" w:eastAsia="x-none"/>
        </w:rPr>
        <w:t xml:space="preserve">por los Compradores del Mercado Primario señalados en el </w:t>
      </w:r>
      <w:r w:rsidR="00507581">
        <w:rPr>
          <w:rFonts w:ascii="Bookman Old Style" w:hAnsi="Bookman Old Style" w:cs="Arial"/>
          <w:b/>
          <w:color w:val="000000" w:themeColor="text1"/>
          <w:lang w:val="es-CO" w:eastAsia="x-none"/>
        </w:rPr>
        <w:t>a</w:t>
      </w:r>
      <w:r w:rsidRPr="003D20AA">
        <w:rPr>
          <w:rFonts w:ascii="Bookman Old Style" w:hAnsi="Bookman Old Style" w:cs="Arial"/>
          <w:b/>
          <w:color w:val="000000" w:themeColor="text1"/>
          <w:lang w:val="es-CO" w:eastAsia="x-none"/>
        </w:rPr>
        <w:t xml:space="preserve">rtículo 17 de la presente resolución, </w:t>
      </w:r>
      <w:r w:rsidRPr="003D20AA">
        <w:rPr>
          <w:rFonts w:ascii="Bookman Old Style" w:hAnsi="Bookman Old Style" w:cs="Arial"/>
          <w:bCs/>
          <w:color w:val="000000" w:themeColor="text1"/>
          <w:lang w:val="es-CO" w:eastAsia="x-none"/>
        </w:rPr>
        <w:t xml:space="preserve">debe ser igual o inferior a la cantidad de energía contratada </w:t>
      </w:r>
      <w:r w:rsidRPr="003D20AA">
        <w:rPr>
          <w:rFonts w:ascii="Bookman Old Style" w:hAnsi="Bookman Old Style" w:cs="Arial"/>
          <w:b/>
          <w:color w:val="000000" w:themeColor="text1"/>
          <w:lang w:val="es-CO" w:eastAsia="x-none"/>
        </w:rPr>
        <w:t xml:space="preserve">por los Vendedores del Mercado Primario señalados en el </w:t>
      </w:r>
      <w:r w:rsidR="008A609C">
        <w:rPr>
          <w:rFonts w:ascii="Bookman Old Style" w:hAnsi="Bookman Old Style" w:cs="Arial"/>
          <w:b/>
          <w:color w:val="000000" w:themeColor="text1"/>
          <w:lang w:val="es-CO" w:eastAsia="x-none"/>
        </w:rPr>
        <w:t>a</w:t>
      </w:r>
      <w:r w:rsidRPr="003D20AA">
        <w:rPr>
          <w:rFonts w:ascii="Bookman Old Style" w:hAnsi="Bookman Old Style" w:cs="Arial"/>
          <w:b/>
          <w:color w:val="000000" w:themeColor="text1"/>
          <w:lang w:val="es-CO" w:eastAsia="x-none"/>
        </w:rPr>
        <w:t>rtículo 16 de la presente resolución</w:t>
      </w:r>
      <w:r w:rsidRPr="003D20AA">
        <w:rPr>
          <w:rFonts w:ascii="Bookman Old Style" w:hAnsi="Bookman Old Style" w:cs="Arial"/>
          <w:bCs/>
          <w:color w:val="000000" w:themeColor="text1"/>
          <w:lang w:val="es-CO" w:eastAsia="x-none"/>
        </w:rPr>
        <w:t xml:space="preserve"> y la </w:t>
      </w:r>
      <w:r w:rsidRPr="003D20AA">
        <w:rPr>
          <w:rFonts w:ascii="Bookman Old Style" w:hAnsi="Bookman Old Style" w:cs="Arial"/>
          <w:b/>
          <w:color w:val="000000" w:themeColor="text1"/>
          <w:lang w:val="es-CO" w:eastAsia="x-none"/>
        </w:rPr>
        <w:t xml:space="preserve">capacidad de transporte </w:t>
      </w:r>
      <w:r w:rsidRPr="003D20AA">
        <w:rPr>
          <w:rFonts w:ascii="Bookman Old Style" w:hAnsi="Bookman Old Style" w:cs="Arial"/>
          <w:bCs/>
          <w:color w:val="000000" w:themeColor="text1"/>
          <w:lang w:val="es-CO" w:eastAsia="x-none"/>
        </w:rPr>
        <w:t xml:space="preserve">nominada al transportador debe ser igual o inferior a la equivalencia energética de la </w:t>
      </w:r>
      <w:r w:rsidRPr="003D20AA">
        <w:rPr>
          <w:rFonts w:ascii="Bookman Old Style" w:hAnsi="Bookman Old Style" w:cs="Arial"/>
          <w:b/>
          <w:color w:val="000000" w:themeColor="text1"/>
          <w:lang w:val="es-CO" w:eastAsia="x-none"/>
        </w:rPr>
        <w:t>cantidad de energía</w:t>
      </w:r>
      <w:r w:rsidRPr="003D20AA">
        <w:rPr>
          <w:rFonts w:ascii="Bookman Old Style" w:hAnsi="Bookman Old Style" w:cs="Arial"/>
          <w:bCs/>
          <w:color w:val="000000" w:themeColor="text1"/>
          <w:lang w:val="es-CO" w:eastAsia="x-none"/>
        </w:rPr>
        <w:t xml:space="preserve"> contratada por el remitente.</w:t>
      </w:r>
      <w:r w:rsidR="00F05DEF" w:rsidRPr="003D20AA">
        <w:rPr>
          <w:rFonts w:ascii="Bookman Old Style" w:hAnsi="Bookman Old Style" w:cs="Arial"/>
          <w:bCs/>
          <w:color w:val="000000" w:themeColor="text1"/>
          <w:lang w:val="es-CO" w:eastAsia="x-none"/>
        </w:rPr>
        <w:t xml:space="preserve"> </w:t>
      </w:r>
      <w:r w:rsidR="00F05DEF" w:rsidRPr="003D20AA">
        <w:rPr>
          <w:rFonts w:ascii="Bookman Old Style" w:hAnsi="Bookman Old Style" w:cs="Arial"/>
          <w:b/>
          <w:color w:val="000000" w:themeColor="text1"/>
          <w:lang w:val="es-CO"/>
        </w:rPr>
        <w:t xml:space="preserve">El </w:t>
      </w:r>
      <w:r w:rsidR="00F05DEF" w:rsidRPr="003D20AA">
        <w:rPr>
          <w:rFonts w:ascii="Bookman Old Style" w:hAnsi="Bookman Old Style" w:cs="Arial"/>
          <w:b/>
          <w:lang w:val="es-CO"/>
        </w:rPr>
        <w:t xml:space="preserve">Gestor </w:t>
      </w:r>
      <w:r w:rsidR="00F05DEF" w:rsidRPr="003D20AA">
        <w:rPr>
          <w:rFonts w:ascii="Bookman Old Style" w:hAnsi="Bookman Old Style" w:cs="Arial"/>
          <w:b/>
          <w:color w:val="000000" w:themeColor="text1"/>
          <w:lang w:val="es-CO"/>
        </w:rPr>
        <w:t>del Mercado verificará</w:t>
      </w:r>
      <w:r w:rsidR="00B02CDD" w:rsidRPr="003D20AA">
        <w:rPr>
          <w:rFonts w:ascii="Bookman Old Style" w:hAnsi="Bookman Old Style" w:cs="Arial"/>
          <w:b/>
          <w:color w:val="000000" w:themeColor="text1"/>
          <w:lang w:val="es-CO"/>
        </w:rPr>
        <w:t>,</w:t>
      </w:r>
      <w:r w:rsidR="00F05DEF" w:rsidRPr="003D20AA">
        <w:rPr>
          <w:rFonts w:ascii="Bookman Old Style" w:hAnsi="Bookman Old Style" w:cs="Arial"/>
          <w:b/>
          <w:color w:val="000000" w:themeColor="text1"/>
          <w:lang w:val="es-CO"/>
        </w:rPr>
        <w:t xml:space="preserve"> </w:t>
      </w:r>
      <w:r w:rsidR="00960830" w:rsidRPr="003D20AA">
        <w:rPr>
          <w:rFonts w:ascii="Bookman Old Style" w:hAnsi="Bookman Old Style" w:cs="Arial"/>
          <w:b/>
          <w:color w:val="000000" w:themeColor="text1"/>
          <w:lang w:val="es-CO"/>
        </w:rPr>
        <w:t>por lo menos semanalmente</w:t>
      </w:r>
      <w:r w:rsidR="00B02CDD" w:rsidRPr="003D20AA">
        <w:rPr>
          <w:rFonts w:ascii="Bookman Old Style" w:hAnsi="Bookman Old Style" w:cs="Arial"/>
          <w:b/>
          <w:color w:val="000000" w:themeColor="text1"/>
          <w:lang w:val="es-CO"/>
        </w:rPr>
        <w:t>,</w:t>
      </w:r>
      <w:r w:rsidR="00960830" w:rsidRPr="003D20AA">
        <w:rPr>
          <w:rFonts w:ascii="Bookman Old Style" w:hAnsi="Bookman Old Style" w:cs="Arial"/>
          <w:b/>
          <w:color w:val="000000" w:themeColor="text1"/>
          <w:lang w:val="es-CO"/>
        </w:rPr>
        <w:t xml:space="preserve"> el cumplimiento de las disposiciones anteriores, y en caso de no cumplirse, </w:t>
      </w:r>
      <w:r w:rsidR="00960830" w:rsidRPr="003D20AA">
        <w:rPr>
          <w:rFonts w:ascii="Bookman Old Style" w:hAnsi="Bookman Old Style" w:cs="Arial"/>
          <w:b/>
          <w:color w:val="000000" w:themeColor="text1"/>
          <w:lang w:val="es-CO"/>
        </w:rPr>
        <w:lastRenderedPageBreak/>
        <w:t>deberá ponerlo en conocimiento de las autoridades de vigilancia y control competentes</w:t>
      </w:r>
      <w:r w:rsidR="00960830" w:rsidRPr="003D20AA">
        <w:rPr>
          <w:rFonts w:ascii="Bookman Old Style" w:hAnsi="Bookman Old Style" w:cs="Arial"/>
          <w:bCs/>
          <w:color w:val="000000" w:themeColor="text1"/>
          <w:lang w:val="es-CO"/>
        </w:rPr>
        <w:t>.</w:t>
      </w:r>
    </w:p>
    <w:p w14:paraId="5948CBF9" w14:textId="77777777" w:rsidR="0006302B" w:rsidRPr="003D20AA" w:rsidRDefault="0006302B" w:rsidP="0006302B">
      <w:pPr>
        <w:autoSpaceDE w:val="0"/>
        <w:autoSpaceDN w:val="0"/>
        <w:adjustRightInd w:val="0"/>
        <w:ind w:left="0"/>
        <w:jc w:val="both"/>
        <w:rPr>
          <w:rFonts w:ascii="Bookman Old Style" w:hAnsi="Bookman Old Style" w:cs="Arial"/>
          <w:bCs/>
          <w:color w:val="000000" w:themeColor="text1"/>
          <w:lang w:val="es-CO" w:eastAsia="x-none"/>
        </w:rPr>
      </w:pPr>
      <w:r w:rsidRPr="003D20AA">
        <w:rPr>
          <w:rFonts w:ascii="Bookman Old Style" w:hAnsi="Bookman Old Style" w:cs="Arial"/>
          <w:bCs/>
          <w:color w:val="000000" w:themeColor="text1"/>
          <w:lang w:val="es-CO" w:eastAsia="x-none"/>
        </w:rPr>
        <w:t xml:space="preserve"> </w:t>
      </w:r>
    </w:p>
    <w:p w14:paraId="58C60073" w14:textId="3A55C1F5" w:rsidR="0006302B" w:rsidRPr="003D20AA" w:rsidRDefault="0006302B" w:rsidP="0006302B">
      <w:pPr>
        <w:pStyle w:val="ARTICULOS"/>
        <w:tabs>
          <w:tab w:val="clear" w:pos="1559"/>
          <w:tab w:val="left" w:pos="1560"/>
        </w:tabs>
        <w:outlineLvl w:val="0"/>
        <w:rPr>
          <w:rFonts w:cs="Arial"/>
          <w:b/>
          <w:color w:val="000000" w:themeColor="text1"/>
          <w:lang w:val="es-CO"/>
        </w:rPr>
      </w:pPr>
      <w:bookmarkStart w:id="41" w:name="_Ref330309556"/>
      <w:r w:rsidRPr="003D20AA">
        <w:rPr>
          <w:rFonts w:cs="Arial"/>
          <w:b/>
          <w:color w:val="000000" w:themeColor="text1"/>
          <w:lang w:val="es-CO"/>
        </w:rPr>
        <w:t xml:space="preserve">Compensaciones. </w:t>
      </w:r>
      <w:r w:rsidRPr="003D20AA">
        <w:rPr>
          <w:rFonts w:cs="Arial"/>
          <w:color w:val="000000" w:themeColor="text1"/>
          <w:lang w:val="es-CO"/>
        </w:rPr>
        <w:t>En caso de que se presente alguno de los incumplimientos definidos en el</w:t>
      </w:r>
      <w:r w:rsidR="00DD53A4">
        <w:rPr>
          <w:rFonts w:cs="Arial"/>
          <w:color w:val="000000" w:themeColor="text1"/>
          <w:lang w:val="es-CO"/>
        </w:rPr>
        <w:t xml:space="preserve"> artículo 13</w:t>
      </w:r>
      <w:r w:rsidRPr="003D20AA">
        <w:rPr>
          <w:rFonts w:cs="Arial"/>
          <w:color w:val="000000" w:themeColor="text1"/>
          <w:lang w:val="es-CO"/>
        </w:rPr>
        <w:t xml:space="preserve"> de esta Resolución, deberán pagarse únicamente las siguientes compensaciones:</w:t>
      </w:r>
      <w:bookmarkEnd w:id="41"/>
    </w:p>
    <w:p w14:paraId="3F0C1252" w14:textId="77777777" w:rsidR="0006302B" w:rsidRPr="003D20AA" w:rsidRDefault="0006302B" w:rsidP="0006302B">
      <w:pPr>
        <w:pStyle w:val="ARTICULOS"/>
        <w:numPr>
          <w:ilvl w:val="0"/>
          <w:numId w:val="0"/>
        </w:numPr>
        <w:tabs>
          <w:tab w:val="clear" w:pos="1559"/>
          <w:tab w:val="left" w:pos="1560"/>
        </w:tabs>
        <w:rPr>
          <w:rFonts w:cs="Arial"/>
          <w:b/>
          <w:color w:val="000000" w:themeColor="text1"/>
          <w:sz w:val="22"/>
          <w:szCs w:val="22"/>
          <w:lang w:val="es-CO"/>
        </w:rPr>
      </w:pPr>
    </w:p>
    <w:p w14:paraId="4D27A5C3" w14:textId="16932C3F" w:rsidR="0006302B" w:rsidRPr="003D20AA" w:rsidRDefault="0006302B" w:rsidP="0006302B">
      <w:pPr>
        <w:pStyle w:val="ARTICULOS"/>
        <w:numPr>
          <w:ilvl w:val="1"/>
          <w:numId w:val="11"/>
        </w:numPr>
        <w:ind w:left="567" w:hanging="567"/>
        <w:rPr>
          <w:color w:val="000000" w:themeColor="text1"/>
          <w:lang w:val="es-CO"/>
        </w:rPr>
      </w:pPr>
      <w:bookmarkStart w:id="42" w:name="_Ref334110955"/>
      <w:r w:rsidRPr="003D20AA">
        <w:rPr>
          <w:color w:val="000000" w:themeColor="text1"/>
          <w:lang w:val="es-CO"/>
        </w:rPr>
        <w:t xml:space="preserve">En el caso de </w:t>
      </w:r>
      <w:r w:rsidRPr="003D20AA">
        <w:rPr>
          <w:rFonts w:cs="Arial"/>
          <w:color w:val="000000" w:themeColor="text1"/>
          <w:lang w:val="es-CO"/>
        </w:rPr>
        <w:t>los contratos de suministro de gas natural bajo las modalidades firme</w:t>
      </w:r>
      <w:r w:rsidR="00664478" w:rsidRPr="003D20AA">
        <w:rPr>
          <w:rFonts w:cs="Arial"/>
          <w:color w:val="000000" w:themeColor="text1"/>
          <w:lang w:val="es-CO"/>
        </w:rPr>
        <w:t>,</w:t>
      </w:r>
      <w:r w:rsidRPr="003D20AA">
        <w:rPr>
          <w:rFonts w:cs="Arial"/>
          <w:color w:val="000000" w:themeColor="text1"/>
          <w:lang w:val="es-CO"/>
        </w:rPr>
        <w:t xml:space="preserve"> CF, de firmeza condicionada</w:t>
      </w:r>
      <w:r w:rsidR="00664478" w:rsidRPr="003D20AA">
        <w:rPr>
          <w:rFonts w:cs="Arial"/>
          <w:color w:val="000000" w:themeColor="text1"/>
          <w:lang w:val="es-CO"/>
        </w:rPr>
        <w:t xml:space="preserve">, </w:t>
      </w:r>
      <w:r w:rsidR="006C6484" w:rsidRPr="003D20AA">
        <w:rPr>
          <w:rFonts w:cs="Arial"/>
          <w:b/>
          <w:bCs w:val="0"/>
          <w:color w:val="000000" w:themeColor="text1"/>
          <w:lang w:val="es-CO"/>
        </w:rPr>
        <w:t>CFC</w:t>
      </w:r>
      <w:r w:rsidRPr="003D20AA">
        <w:rPr>
          <w:rFonts w:cs="Arial"/>
          <w:color w:val="000000" w:themeColor="text1"/>
          <w:lang w:val="es-CO"/>
        </w:rPr>
        <w:t>, de opción de compra de gas</w:t>
      </w:r>
      <w:r w:rsidR="00664478" w:rsidRPr="003D20AA">
        <w:rPr>
          <w:rFonts w:cs="Arial"/>
          <w:color w:val="000000" w:themeColor="text1"/>
          <w:lang w:val="es-CO"/>
        </w:rPr>
        <w:t xml:space="preserve">, </w:t>
      </w:r>
      <w:r w:rsidRPr="003D20AA">
        <w:rPr>
          <w:rFonts w:cs="Arial"/>
          <w:color w:val="000000" w:themeColor="text1"/>
          <w:lang w:val="es-CO"/>
        </w:rPr>
        <w:t xml:space="preserve">OCG, </w:t>
      </w:r>
      <w:r w:rsidRPr="003D20AA">
        <w:rPr>
          <w:rFonts w:cs="Arial"/>
          <w:b/>
          <w:bCs w:val="0"/>
          <w:color w:val="000000" w:themeColor="text1"/>
          <w:lang w:val="es-CO"/>
        </w:rPr>
        <w:t xml:space="preserve">firme CF80 </w:t>
      </w:r>
      <w:r w:rsidRPr="003D20AA">
        <w:rPr>
          <w:rFonts w:cs="Arial"/>
          <w:color w:val="000000" w:themeColor="text1"/>
          <w:lang w:val="es-CO"/>
        </w:rPr>
        <w:t>y firme CF95</w:t>
      </w:r>
      <w:r w:rsidRPr="003D20AA">
        <w:rPr>
          <w:color w:val="000000" w:themeColor="text1"/>
          <w:lang w:val="es-CO"/>
        </w:rPr>
        <w:t>:</w:t>
      </w:r>
      <w:bookmarkEnd w:id="42"/>
      <w:r w:rsidRPr="003D20AA">
        <w:rPr>
          <w:color w:val="000000" w:themeColor="text1"/>
          <w:lang w:val="es-CO"/>
        </w:rPr>
        <w:t xml:space="preserve"> </w:t>
      </w:r>
    </w:p>
    <w:p w14:paraId="050EF8BE" w14:textId="77777777" w:rsidR="0006302B" w:rsidRPr="00901472" w:rsidRDefault="0006302B" w:rsidP="0006302B">
      <w:pPr>
        <w:rPr>
          <w:rFonts w:ascii="Bookman Old Style" w:hAnsi="Bookman Old Style" w:cs="Arial"/>
          <w:color w:val="000000" w:themeColor="text1"/>
          <w:sz w:val="22"/>
          <w:szCs w:val="22"/>
          <w:lang w:val="es-CO"/>
        </w:rPr>
      </w:pPr>
    </w:p>
    <w:p w14:paraId="2A694EC4" w14:textId="6CB40AF5" w:rsidR="0006302B" w:rsidRPr="0013707D" w:rsidRDefault="0006302B" w:rsidP="0006302B">
      <w:pPr>
        <w:numPr>
          <w:ilvl w:val="0"/>
          <w:numId w:val="12"/>
        </w:numPr>
        <w:autoSpaceDE w:val="0"/>
        <w:autoSpaceDN w:val="0"/>
        <w:adjustRightInd w:val="0"/>
        <w:ind w:left="1134" w:hanging="567"/>
        <w:jc w:val="both"/>
        <w:rPr>
          <w:rFonts w:ascii="Bookman Old Style" w:hAnsi="Bookman Old Style" w:cs="Arial"/>
          <w:color w:val="000000" w:themeColor="text1"/>
          <w:lang w:val="es-CO"/>
        </w:rPr>
      </w:pPr>
      <w:bookmarkStart w:id="43" w:name="_Ref334110953"/>
      <w:r w:rsidRPr="0013707D">
        <w:rPr>
          <w:rFonts w:ascii="Bookman Old Style" w:hAnsi="Bookman Old Style" w:cs="Arial"/>
          <w:color w:val="000000" w:themeColor="text1"/>
          <w:lang w:val="es-CO"/>
        </w:rPr>
        <w:t xml:space="preserve">Si </w:t>
      </w:r>
      <w:r w:rsidRPr="00FC5318">
        <w:rPr>
          <w:rFonts w:ascii="Bookman Old Style" w:hAnsi="Bookman Old Style" w:cs="Arial"/>
          <w:color w:val="000000" w:themeColor="text1"/>
          <w:lang w:val="es-CO"/>
        </w:rPr>
        <w:t>el vendedor incumple sus obligaciones</w:t>
      </w:r>
      <w:r w:rsidRPr="0013707D">
        <w:rPr>
          <w:rFonts w:ascii="Bookman Old Style" w:hAnsi="Bookman Old Style" w:cs="Arial"/>
          <w:color w:val="000000" w:themeColor="text1"/>
          <w:lang w:val="es-CO"/>
        </w:rPr>
        <w:t xml:space="preserve">, conforme a lo dispuesto en </w:t>
      </w:r>
      <w:r w:rsidRPr="00D66B65">
        <w:rPr>
          <w:rFonts w:ascii="Bookman Old Style" w:hAnsi="Bookman Old Style" w:cs="Arial"/>
          <w:color w:val="000000" w:themeColor="text1"/>
          <w:lang w:val="es-CO"/>
        </w:rPr>
        <w:t xml:space="preserve">los literales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_Ref355796729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a)</w:t>
      </w:r>
      <w:r w:rsidRPr="00D66B65">
        <w:rPr>
          <w:rFonts w:ascii="Bookman Old Style" w:hAnsi="Bookman Old Style" w:cs="Arial"/>
          <w:color w:val="000000" w:themeColor="text1"/>
          <w:lang w:val="es-CO"/>
        </w:rPr>
        <w:fldChar w:fldCharType="end"/>
      </w:r>
      <w:r w:rsidRPr="00D66B65">
        <w:rPr>
          <w:rFonts w:ascii="Bookman Old Style" w:hAnsi="Bookman Old Style" w:cs="Arial"/>
          <w:color w:val="000000" w:themeColor="text1"/>
          <w:lang w:val="es-CO"/>
        </w:rPr>
        <w:t xml:space="preserve"> de los numerales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_Ref355796737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1</w:t>
      </w:r>
      <w:r w:rsidRPr="00D66B65">
        <w:rPr>
          <w:rFonts w:ascii="Bookman Old Style" w:hAnsi="Bookman Old Style" w:cs="Arial"/>
          <w:color w:val="000000" w:themeColor="text1"/>
          <w:lang w:val="es-CO"/>
        </w:rPr>
        <w:fldChar w:fldCharType="end"/>
      </w:r>
      <w:r w:rsidRPr="00D66B65">
        <w:rPr>
          <w:rFonts w:ascii="Bookman Old Style" w:hAnsi="Bookman Old Style" w:cs="Arial"/>
          <w:color w:val="000000" w:themeColor="text1"/>
          <w:lang w:val="es-CO"/>
        </w:rPr>
        <w:t xml:space="preserve"> y 2 del</w:t>
      </w:r>
      <w:r w:rsidR="00DD53A4">
        <w:rPr>
          <w:rFonts w:ascii="Bookman Old Style" w:hAnsi="Bookman Old Style" w:cs="Arial"/>
          <w:color w:val="000000" w:themeColor="text1"/>
          <w:lang w:val="es-CO"/>
        </w:rPr>
        <w:t xml:space="preserve"> artículo 13</w:t>
      </w:r>
      <w:r w:rsidRPr="0013707D">
        <w:rPr>
          <w:rFonts w:ascii="Bookman Old Style" w:hAnsi="Bookman Old Style" w:cs="Arial"/>
          <w:color w:val="000000" w:themeColor="text1"/>
          <w:lang w:val="es-CO"/>
        </w:rPr>
        <w:t xml:space="preserve"> de esta Resolución, </w:t>
      </w:r>
      <w:r>
        <w:rPr>
          <w:rFonts w:ascii="Bookman Old Style" w:hAnsi="Bookman Old Style" w:cs="Arial"/>
          <w:color w:val="000000" w:themeColor="text1"/>
          <w:lang w:val="es-CO"/>
        </w:rPr>
        <w:t xml:space="preserve">se </w:t>
      </w:r>
      <w:r w:rsidRPr="0013707D">
        <w:rPr>
          <w:rFonts w:ascii="Bookman Old Style" w:hAnsi="Bookman Old Style" w:cs="Arial"/>
          <w:color w:val="000000" w:themeColor="text1"/>
          <w:lang w:val="es-CO"/>
        </w:rPr>
        <w:t>deberá reconocer y pagar a</w:t>
      </w:r>
      <w:r>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l</w:t>
      </w:r>
      <w:r>
        <w:rPr>
          <w:rFonts w:ascii="Bookman Old Style" w:hAnsi="Bookman Old Style" w:cs="Arial"/>
          <w:color w:val="000000" w:themeColor="text1"/>
          <w:lang w:val="es-CO"/>
        </w:rPr>
        <w:t>a parte afectada</w:t>
      </w:r>
      <w:r w:rsidRPr="0013707D">
        <w:rPr>
          <w:rFonts w:ascii="Bookman Old Style" w:hAnsi="Bookman Old Style" w:cs="Arial"/>
          <w:color w:val="000000" w:themeColor="text1"/>
          <w:lang w:val="es-CO"/>
        </w:rPr>
        <w:t xml:space="preserve"> el siguiente valor, según corresponda:</w:t>
      </w:r>
      <w:bookmarkEnd w:id="43"/>
    </w:p>
    <w:p w14:paraId="24FF8275" w14:textId="77777777" w:rsidR="0006302B" w:rsidRPr="00901472" w:rsidRDefault="0006302B" w:rsidP="0006302B">
      <w:pPr>
        <w:pStyle w:val="Prrafodelista"/>
        <w:ind w:left="993"/>
        <w:contextualSpacing/>
        <w:jc w:val="both"/>
        <w:rPr>
          <w:rFonts w:ascii="Bookman Old Style" w:hAnsi="Bookman Old Style" w:cs="Arial"/>
          <w:color w:val="000000" w:themeColor="text1"/>
          <w:sz w:val="22"/>
          <w:szCs w:val="22"/>
          <w:lang w:eastAsia="es-ES"/>
        </w:rPr>
      </w:pPr>
    </w:p>
    <w:p w14:paraId="793C8064" w14:textId="58EBE932" w:rsidR="0006302B" w:rsidRPr="0013707D" w:rsidRDefault="0006302B" w:rsidP="0006302B">
      <w:pPr>
        <w:pStyle w:val="Prrafodelista"/>
        <w:numPr>
          <w:ilvl w:val="0"/>
          <w:numId w:val="14"/>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rPr>
        <w:t xml:space="preserve">Cuando el incumplimiento no conlleve la interrupción del servicio </w:t>
      </w:r>
      <w:r w:rsidRPr="000C3066">
        <w:rPr>
          <w:rFonts w:ascii="Bookman Old Style" w:hAnsi="Bookman Old Style" w:cs="Arial"/>
          <w:color w:val="000000" w:themeColor="text1"/>
          <w:sz w:val="24"/>
          <w:szCs w:val="24"/>
        </w:rPr>
        <w:t xml:space="preserve">a </w:t>
      </w:r>
      <w:r w:rsidRPr="00EE5FDA">
        <w:rPr>
          <w:rFonts w:ascii="Bookman Old Style" w:hAnsi="Bookman Old Style" w:cs="Arial"/>
          <w:color w:val="000000" w:themeColor="text1"/>
          <w:sz w:val="24"/>
          <w:szCs w:val="24"/>
        </w:rPr>
        <w:t>usuarios regulados</w:t>
      </w:r>
      <w:r w:rsidRPr="000C3066">
        <w:rPr>
          <w:rFonts w:ascii="Bookman Old Style" w:hAnsi="Bookman Old Style" w:cs="Arial"/>
          <w:color w:val="000000" w:themeColor="text1"/>
          <w:sz w:val="24"/>
          <w:szCs w:val="24"/>
        </w:rPr>
        <w:t xml:space="preserve">, el valor que resulte de aplicar lo dispuesto </w:t>
      </w:r>
      <w:r w:rsidRPr="00D66B65">
        <w:rPr>
          <w:rFonts w:ascii="Bookman Old Style" w:hAnsi="Bookman Old Style" w:cs="Arial"/>
          <w:color w:val="000000" w:themeColor="text1"/>
          <w:sz w:val="24"/>
          <w:szCs w:val="24"/>
        </w:rPr>
        <w:t xml:space="preserve">en el numeral </w:t>
      </w:r>
      <w:r w:rsidRPr="00D66B65">
        <w:rPr>
          <w:rFonts w:ascii="Bookman Old Style" w:hAnsi="Bookman Old Style" w:cs="Arial"/>
          <w:color w:val="000000" w:themeColor="text1"/>
          <w:sz w:val="24"/>
          <w:szCs w:val="24"/>
        </w:rPr>
        <w:fldChar w:fldCharType="begin"/>
      </w:r>
      <w:r w:rsidRPr="00D66B65">
        <w:rPr>
          <w:rFonts w:ascii="Bookman Old Style" w:hAnsi="Bookman Old Style" w:cs="Arial"/>
          <w:color w:val="000000" w:themeColor="text1"/>
          <w:sz w:val="24"/>
          <w:szCs w:val="24"/>
        </w:rPr>
        <w:instrText xml:space="preserve"> REF _Ref357514852 \n \h  \* MERGEFORMAT </w:instrText>
      </w:r>
      <w:r w:rsidRPr="00D66B65">
        <w:rPr>
          <w:rFonts w:ascii="Bookman Old Style" w:hAnsi="Bookman Old Style" w:cs="Arial"/>
          <w:color w:val="000000" w:themeColor="text1"/>
          <w:sz w:val="24"/>
          <w:szCs w:val="24"/>
        </w:rPr>
      </w:r>
      <w:r w:rsidRPr="00D66B65">
        <w:rPr>
          <w:rFonts w:ascii="Bookman Old Style" w:hAnsi="Bookman Old Style" w:cs="Arial"/>
          <w:color w:val="000000" w:themeColor="text1"/>
          <w:sz w:val="24"/>
          <w:szCs w:val="24"/>
        </w:rPr>
        <w:fldChar w:fldCharType="separate"/>
      </w:r>
      <w:r w:rsidR="00636B6A">
        <w:rPr>
          <w:rFonts w:ascii="Bookman Old Style" w:hAnsi="Bookman Old Style" w:cs="Arial"/>
          <w:color w:val="000000" w:themeColor="text1"/>
          <w:sz w:val="24"/>
          <w:szCs w:val="24"/>
        </w:rPr>
        <w:t>1</w:t>
      </w:r>
      <w:r w:rsidRPr="00D66B65">
        <w:rPr>
          <w:rFonts w:ascii="Bookman Old Style" w:hAnsi="Bookman Old Style" w:cs="Arial"/>
          <w:color w:val="000000" w:themeColor="text1"/>
          <w:sz w:val="24"/>
          <w:szCs w:val="24"/>
        </w:rPr>
        <w:fldChar w:fldCharType="end"/>
      </w:r>
      <w:r w:rsidRPr="00D66B65">
        <w:rPr>
          <w:rFonts w:ascii="Bookman Old Style" w:hAnsi="Bookman Old Style" w:cs="Arial"/>
          <w:color w:val="000000" w:themeColor="text1"/>
          <w:sz w:val="24"/>
          <w:szCs w:val="24"/>
        </w:rPr>
        <w:t xml:space="preserve"> del </w:t>
      </w:r>
      <w:r w:rsidRPr="00D66B65">
        <w:rPr>
          <w:rFonts w:ascii="Bookman Old Style" w:hAnsi="Bookman Old Style" w:cs="Arial"/>
          <w:color w:val="000000" w:themeColor="text1"/>
          <w:sz w:val="24"/>
          <w:szCs w:val="24"/>
        </w:rPr>
        <w:fldChar w:fldCharType="begin"/>
      </w:r>
      <w:r w:rsidRPr="00D66B65">
        <w:rPr>
          <w:rFonts w:ascii="Bookman Old Style" w:hAnsi="Bookman Old Style" w:cs="Arial"/>
          <w:color w:val="000000" w:themeColor="text1"/>
          <w:sz w:val="24"/>
          <w:szCs w:val="24"/>
        </w:rPr>
        <w:instrText xml:space="preserve"> REF _Ref442870221 \h  \* MERGEFORMAT </w:instrText>
      </w:r>
      <w:r w:rsidRPr="00D66B65">
        <w:rPr>
          <w:rFonts w:ascii="Bookman Old Style" w:hAnsi="Bookman Old Style" w:cs="Arial"/>
          <w:color w:val="000000" w:themeColor="text1"/>
          <w:sz w:val="24"/>
          <w:szCs w:val="24"/>
        </w:rPr>
      </w:r>
      <w:r w:rsidRPr="00D66B65">
        <w:rPr>
          <w:rFonts w:ascii="Bookman Old Style" w:hAnsi="Bookman Old Style" w:cs="Arial"/>
          <w:color w:val="000000" w:themeColor="text1"/>
          <w:sz w:val="24"/>
          <w:szCs w:val="24"/>
        </w:rPr>
        <w:fldChar w:fldCharType="separate"/>
      </w:r>
      <w:r w:rsidR="00636B6A" w:rsidRPr="00996A90">
        <w:rPr>
          <w:rFonts w:ascii="Bookman Old Style" w:hAnsi="Bookman Old Style" w:cs="Arial"/>
          <w:color w:val="000000" w:themeColor="text1"/>
          <w:sz w:val="24"/>
          <w:szCs w:val="24"/>
        </w:rPr>
        <w:t>Anexo 2</w:t>
      </w:r>
      <w:r w:rsidRPr="00D66B65">
        <w:rPr>
          <w:rFonts w:ascii="Bookman Old Style" w:hAnsi="Bookman Old Style" w:cs="Arial"/>
          <w:color w:val="000000" w:themeColor="text1"/>
          <w:sz w:val="24"/>
          <w:szCs w:val="24"/>
        </w:rPr>
        <w:fldChar w:fldCharType="end"/>
      </w:r>
      <w:r w:rsidRPr="00D66B65">
        <w:rPr>
          <w:rFonts w:ascii="Bookman Old Style" w:hAnsi="Bookman Old Style" w:cs="Arial"/>
          <w:color w:val="000000" w:themeColor="text1"/>
          <w:sz w:val="24"/>
          <w:szCs w:val="24"/>
        </w:rPr>
        <w:t xml:space="preserve"> de esta Resolución</w:t>
      </w:r>
      <w:r w:rsidRPr="000C3066">
        <w:rPr>
          <w:rFonts w:ascii="Bookman Old Style" w:hAnsi="Bookman Old Style" w:cs="Arial"/>
          <w:color w:val="000000" w:themeColor="text1"/>
          <w:sz w:val="24"/>
          <w:szCs w:val="24"/>
        </w:rPr>
        <w:t>.</w:t>
      </w:r>
    </w:p>
    <w:p w14:paraId="21167DE2" w14:textId="77777777" w:rsidR="0006302B" w:rsidRPr="00901472" w:rsidRDefault="0006302B" w:rsidP="0006302B">
      <w:pPr>
        <w:pStyle w:val="Prrafodelista"/>
        <w:ind w:left="1701" w:hanging="567"/>
        <w:contextualSpacing/>
        <w:jc w:val="both"/>
        <w:rPr>
          <w:rFonts w:ascii="Bookman Old Style" w:hAnsi="Bookman Old Style" w:cs="Arial"/>
          <w:color w:val="000000" w:themeColor="text1"/>
          <w:sz w:val="22"/>
          <w:szCs w:val="22"/>
          <w:lang w:eastAsia="es-ES"/>
        </w:rPr>
      </w:pPr>
    </w:p>
    <w:p w14:paraId="76E7FCD2" w14:textId="6D5E15BA" w:rsidR="0006302B" w:rsidRPr="000C3066" w:rsidRDefault="0006302B" w:rsidP="0006302B">
      <w:pPr>
        <w:pStyle w:val="Prrafodelista"/>
        <w:numPr>
          <w:ilvl w:val="0"/>
          <w:numId w:val="14"/>
        </w:numPr>
        <w:ind w:left="1701" w:hanging="567"/>
        <w:contextualSpacing/>
        <w:jc w:val="both"/>
        <w:rPr>
          <w:rFonts w:ascii="Bookman Old Style" w:hAnsi="Bookman Old Style" w:cs="Arial"/>
          <w:color w:val="000000" w:themeColor="text1"/>
          <w:sz w:val="24"/>
          <w:szCs w:val="24"/>
          <w:lang w:eastAsia="es-ES"/>
        </w:rPr>
      </w:pPr>
      <w:r w:rsidRPr="000C3066">
        <w:rPr>
          <w:rFonts w:ascii="Bookman Old Style" w:hAnsi="Bookman Old Style" w:cs="Arial"/>
          <w:color w:val="000000" w:themeColor="text1"/>
          <w:sz w:val="24"/>
          <w:szCs w:val="24"/>
        </w:rPr>
        <w:t>Cuando el incumplimiento conlleve la interrupción del servicio a usuarios</w:t>
      </w:r>
      <w:r w:rsidR="00EE5FDA" w:rsidRPr="00EE5FDA">
        <w:rPr>
          <w:rFonts w:ascii="Bookman Old Style" w:hAnsi="Bookman Old Style" w:cs="Arial"/>
          <w:color w:val="000000" w:themeColor="text1"/>
          <w:sz w:val="24"/>
          <w:szCs w:val="24"/>
        </w:rPr>
        <w:t xml:space="preserve"> regulados</w:t>
      </w:r>
      <w:r w:rsidRPr="000C3066">
        <w:rPr>
          <w:rFonts w:ascii="Bookman Old Style" w:hAnsi="Bookman Old Style" w:cs="Arial"/>
          <w:color w:val="000000" w:themeColor="text1"/>
          <w:sz w:val="24"/>
          <w:szCs w:val="24"/>
        </w:rPr>
        <w:t xml:space="preserve">, el valor que resulte de aplicar lo dispuesto en </w:t>
      </w:r>
      <w:r w:rsidRPr="00D66B65">
        <w:rPr>
          <w:rFonts w:ascii="Bookman Old Style" w:hAnsi="Bookman Old Style" w:cs="Arial"/>
          <w:color w:val="000000" w:themeColor="text1"/>
          <w:sz w:val="24"/>
          <w:szCs w:val="24"/>
        </w:rPr>
        <w:t xml:space="preserve">el numeral </w:t>
      </w:r>
      <w:r w:rsidRPr="00D66B65">
        <w:rPr>
          <w:rFonts w:ascii="Bookman Old Style" w:hAnsi="Bookman Old Style" w:cs="Arial"/>
          <w:color w:val="000000" w:themeColor="text1"/>
          <w:sz w:val="24"/>
          <w:szCs w:val="24"/>
        </w:rPr>
        <w:fldChar w:fldCharType="begin"/>
      </w:r>
      <w:r w:rsidRPr="00D66B65">
        <w:rPr>
          <w:rFonts w:ascii="Bookman Old Style" w:hAnsi="Bookman Old Style" w:cs="Arial"/>
          <w:color w:val="000000" w:themeColor="text1"/>
          <w:sz w:val="24"/>
          <w:szCs w:val="24"/>
        </w:rPr>
        <w:instrText xml:space="preserve"> REF _Ref357514967 \n \h  \* MERGEFORMAT </w:instrText>
      </w:r>
      <w:r w:rsidRPr="00D66B65">
        <w:rPr>
          <w:rFonts w:ascii="Bookman Old Style" w:hAnsi="Bookman Old Style" w:cs="Arial"/>
          <w:color w:val="000000" w:themeColor="text1"/>
          <w:sz w:val="24"/>
          <w:szCs w:val="24"/>
        </w:rPr>
      </w:r>
      <w:r w:rsidRPr="00D66B65">
        <w:rPr>
          <w:rFonts w:ascii="Bookman Old Style" w:hAnsi="Bookman Old Style" w:cs="Arial"/>
          <w:color w:val="000000" w:themeColor="text1"/>
          <w:sz w:val="24"/>
          <w:szCs w:val="24"/>
        </w:rPr>
        <w:fldChar w:fldCharType="separate"/>
      </w:r>
      <w:r w:rsidR="00636B6A">
        <w:rPr>
          <w:rFonts w:ascii="Bookman Old Style" w:hAnsi="Bookman Old Style" w:cs="Arial"/>
          <w:color w:val="000000" w:themeColor="text1"/>
          <w:sz w:val="24"/>
          <w:szCs w:val="24"/>
        </w:rPr>
        <w:t>2</w:t>
      </w:r>
      <w:r w:rsidRPr="00D66B65">
        <w:rPr>
          <w:rFonts w:ascii="Bookman Old Style" w:hAnsi="Bookman Old Style" w:cs="Arial"/>
          <w:color w:val="000000" w:themeColor="text1"/>
          <w:sz w:val="24"/>
          <w:szCs w:val="24"/>
        </w:rPr>
        <w:fldChar w:fldCharType="end"/>
      </w:r>
      <w:r w:rsidRPr="00D66B65">
        <w:rPr>
          <w:rFonts w:ascii="Bookman Old Style" w:hAnsi="Bookman Old Style" w:cs="Arial"/>
          <w:color w:val="000000" w:themeColor="text1"/>
          <w:sz w:val="24"/>
          <w:szCs w:val="24"/>
        </w:rPr>
        <w:t xml:space="preserve"> del </w:t>
      </w:r>
      <w:r w:rsidRPr="00D66B65">
        <w:rPr>
          <w:rFonts w:ascii="Bookman Old Style" w:hAnsi="Bookman Old Style" w:cs="Arial"/>
          <w:color w:val="000000" w:themeColor="text1"/>
          <w:sz w:val="24"/>
          <w:szCs w:val="24"/>
        </w:rPr>
        <w:fldChar w:fldCharType="begin"/>
      </w:r>
      <w:r w:rsidRPr="00D66B65">
        <w:rPr>
          <w:rFonts w:ascii="Bookman Old Style" w:hAnsi="Bookman Old Style" w:cs="Arial"/>
          <w:color w:val="000000" w:themeColor="text1"/>
          <w:sz w:val="24"/>
          <w:szCs w:val="24"/>
        </w:rPr>
        <w:instrText xml:space="preserve"> REF _Ref442870221 \h  \* MERGEFORMAT </w:instrText>
      </w:r>
      <w:r w:rsidRPr="00D66B65">
        <w:rPr>
          <w:rFonts w:ascii="Bookman Old Style" w:hAnsi="Bookman Old Style" w:cs="Arial"/>
          <w:color w:val="000000" w:themeColor="text1"/>
          <w:sz w:val="24"/>
          <w:szCs w:val="24"/>
        </w:rPr>
      </w:r>
      <w:r w:rsidRPr="00D66B65">
        <w:rPr>
          <w:rFonts w:ascii="Bookman Old Style" w:hAnsi="Bookman Old Style" w:cs="Arial"/>
          <w:color w:val="000000" w:themeColor="text1"/>
          <w:sz w:val="24"/>
          <w:szCs w:val="24"/>
        </w:rPr>
        <w:fldChar w:fldCharType="separate"/>
      </w:r>
      <w:r w:rsidR="00636B6A" w:rsidRPr="00996A90">
        <w:rPr>
          <w:rFonts w:ascii="Bookman Old Style" w:hAnsi="Bookman Old Style" w:cs="Arial"/>
          <w:color w:val="000000" w:themeColor="text1"/>
          <w:sz w:val="24"/>
          <w:szCs w:val="24"/>
        </w:rPr>
        <w:t>Anexo 2</w:t>
      </w:r>
      <w:r w:rsidRPr="00D66B65">
        <w:rPr>
          <w:rFonts w:ascii="Bookman Old Style" w:hAnsi="Bookman Old Style" w:cs="Arial"/>
          <w:color w:val="000000" w:themeColor="text1"/>
          <w:sz w:val="24"/>
          <w:szCs w:val="24"/>
        </w:rPr>
        <w:fldChar w:fldCharType="end"/>
      </w:r>
      <w:r w:rsidRPr="00D66B65">
        <w:rPr>
          <w:rFonts w:ascii="Bookman Old Style" w:hAnsi="Bookman Old Style" w:cs="Arial"/>
          <w:color w:val="000000" w:themeColor="text1"/>
          <w:sz w:val="24"/>
          <w:szCs w:val="24"/>
        </w:rPr>
        <w:t xml:space="preserve"> de esta Resolución</w:t>
      </w:r>
      <w:r w:rsidRPr="000C3066">
        <w:rPr>
          <w:rFonts w:ascii="Bookman Old Style" w:hAnsi="Bookman Old Style" w:cs="Arial"/>
          <w:color w:val="000000" w:themeColor="text1"/>
          <w:sz w:val="24"/>
          <w:szCs w:val="24"/>
          <w:lang w:eastAsia="es-ES"/>
        </w:rPr>
        <w:t>.</w:t>
      </w:r>
    </w:p>
    <w:p w14:paraId="3CDB0D8F" w14:textId="77777777" w:rsidR="0006302B" w:rsidRPr="00901472" w:rsidRDefault="0006302B" w:rsidP="0006302B">
      <w:pPr>
        <w:pStyle w:val="Prrafodelista"/>
        <w:ind w:left="1134"/>
        <w:jc w:val="both"/>
        <w:rPr>
          <w:rFonts w:ascii="Bookman Old Style" w:hAnsi="Bookman Old Style" w:cs="Arial"/>
          <w:color w:val="000000" w:themeColor="text1"/>
          <w:sz w:val="22"/>
          <w:szCs w:val="22"/>
        </w:rPr>
      </w:pPr>
    </w:p>
    <w:p w14:paraId="3AA3F7CC" w14:textId="77777777" w:rsidR="0006302B" w:rsidRPr="0013707D" w:rsidRDefault="0006302B" w:rsidP="0006302B">
      <w:pPr>
        <w:numPr>
          <w:ilvl w:val="0"/>
          <w:numId w:val="12"/>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Si </w:t>
      </w:r>
      <w:r>
        <w:rPr>
          <w:rFonts w:ascii="Bookman Old Style" w:hAnsi="Bookman Old Style" w:cs="Arial"/>
          <w:color w:val="000000" w:themeColor="text1"/>
          <w:lang w:val="es-CO"/>
        </w:rPr>
        <w:t xml:space="preserve">el comprador </w:t>
      </w:r>
      <w:r w:rsidRPr="0013707D">
        <w:rPr>
          <w:rFonts w:ascii="Bookman Old Style" w:hAnsi="Bookman Old Style" w:cs="Arial"/>
          <w:color w:val="000000" w:themeColor="text1"/>
          <w:lang w:val="es-CO"/>
        </w:rPr>
        <w:t xml:space="preserve">incumple </w:t>
      </w:r>
      <w:r>
        <w:rPr>
          <w:rFonts w:ascii="Bookman Old Style" w:hAnsi="Bookman Old Style" w:cs="Arial"/>
          <w:color w:val="000000" w:themeColor="text1"/>
          <w:lang w:val="es-CO"/>
        </w:rPr>
        <w:t xml:space="preserve">la </w:t>
      </w:r>
      <w:r w:rsidRPr="0013707D">
        <w:rPr>
          <w:rFonts w:ascii="Bookman Old Style" w:hAnsi="Bookman Old Style" w:cs="Arial"/>
          <w:color w:val="000000" w:themeColor="text1"/>
          <w:lang w:val="es-CO"/>
        </w:rPr>
        <w:t xml:space="preserve">obligación de pagar el gas contratado, </w:t>
      </w:r>
      <w:r w:rsidRPr="00D15391">
        <w:rPr>
          <w:rFonts w:ascii="Bookman Old Style" w:hAnsi="Bookman Old Style" w:cs="Arial"/>
          <w:color w:val="000000" w:themeColor="text1"/>
          <w:lang w:val="es-CO"/>
        </w:rPr>
        <w:t xml:space="preserve">el vendedor </w:t>
      </w:r>
      <w:r w:rsidRPr="0013707D">
        <w:rPr>
          <w:rFonts w:ascii="Bookman Old Style" w:hAnsi="Bookman Old Style" w:cs="Arial"/>
          <w:color w:val="000000" w:themeColor="text1"/>
          <w:lang w:val="es-CO"/>
        </w:rPr>
        <w:t>podrá hacer efectivas las garantías que hayan sido pactadas en el contrato respectivo. Lo anterior sin perjuicio del cobro de los intereses de mora que se hayan previsto en el contrato.</w:t>
      </w:r>
    </w:p>
    <w:p w14:paraId="3F662693" w14:textId="77777777" w:rsidR="0006302B" w:rsidRPr="00901472" w:rsidRDefault="0006302B" w:rsidP="0006302B">
      <w:pPr>
        <w:pStyle w:val="ARTICULOS"/>
        <w:numPr>
          <w:ilvl w:val="0"/>
          <w:numId w:val="0"/>
        </w:numPr>
        <w:tabs>
          <w:tab w:val="clear" w:pos="1559"/>
          <w:tab w:val="left" w:pos="1560"/>
        </w:tabs>
        <w:rPr>
          <w:rFonts w:cs="Arial"/>
          <w:b/>
          <w:color w:val="000000" w:themeColor="text1"/>
          <w:sz w:val="22"/>
          <w:szCs w:val="22"/>
          <w:lang w:val="es-CO"/>
        </w:rPr>
      </w:pPr>
    </w:p>
    <w:p w14:paraId="4CE2AA98"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b/>
          <w:color w:val="000000" w:themeColor="text1"/>
          <w:lang w:val="es-CO"/>
        </w:rPr>
        <w:t xml:space="preserve">Parágrafo 1. </w:t>
      </w:r>
      <w:r w:rsidRPr="0013707D">
        <w:rPr>
          <w:rFonts w:cs="Arial"/>
          <w:color w:val="000000" w:themeColor="text1"/>
          <w:lang w:val="es-CO"/>
        </w:rPr>
        <w:t>Las sumas que resulten de aplicar lo dispuesto en el presente artículo deberán ser liquidadas mensualmente, por parte del beneficiario, y facturadas con la misma periodicidad de la facturación del servicio.</w:t>
      </w:r>
    </w:p>
    <w:p w14:paraId="2EB77737"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4F654555" w14:textId="2AD252C7" w:rsidR="0006302B" w:rsidRPr="0013707D"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b/>
          <w:color w:val="000000" w:themeColor="text1"/>
          <w:lang w:val="es-CO"/>
        </w:rPr>
        <w:t xml:space="preserve">Parágrafo 2. </w:t>
      </w:r>
      <w:r w:rsidRPr="0013707D">
        <w:rPr>
          <w:rFonts w:cs="Arial"/>
          <w:color w:val="000000" w:themeColor="text1"/>
          <w:lang w:val="es-CO"/>
        </w:rPr>
        <w:t>Lo establecido en el presente artículo no excluye la aplicación del artículo 992 del Código de Comercio</w:t>
      </w:r>
      <w:r w:rsidR="00664478">
        <w:rPr>
          <w:rFonts w:cs="Arial"/>
          <w:color w:val="000000" w:themeColor="text1"/>
          <w:lang w:val="es-CO"/>
        </w:rPr>
        <w:t>,</w:t>
      </w:r>
      <w:r w:rsidRPr="0013707D">
        <w:rPr>
          <w:rFonts w:cs="Arial"/>
          <w:color w:val="000000" w:themeColor="text1"/>
          <w:lang w:val="es-CO"/>
        </w:rPr>
        <w:t xml:space="preserve"> </w:t>
      </w:r>
      <w:r>
        <w:rPr>
          <w:rFonts w:cs="Arial"/>
          <w:color w:val="000000" w:themeColor="text1"/>
          <w:lang w:val="es-CO"/>
        </w:rPr>
        <w:t>o aquel que lo modifique o sustituya</w:t>
      </w:r>
      <w:r w:rsidR="00664478">
        <w:rPr>
          <w:rFonts w:cs="Arial"/>
          <w:color w:val="000000" w:themeColor="text1"/>
          <w:lang w:val="es-CO"/>
        </w:rPr>
        <w:t>,</w:t>
      </w:r>
      <w:r>
        <w:rPr>
          <w:rFonts w:cs="Arial"/>
          <w:color w:val="000000" w:themeColor="text1"/>
          <w:lang w:val="es-CO"/>
        </w:rPr>
        <w:t xml:space="preserve"> </w:t>
      </w:r>
      <w:r w:rsidRPr="0013707D">
        <w:rPr>
          <w:rFonts w:cs="Arial"/>
          <w:color w:val="000000" w:themeColor="text1"/>
          <w:lang w:val="es-CO"/>
        </w:rPr>
        <w:t>para los contratos de transporte de gas natural.</w:t>
      </w:r>
    </w:p>
    <w:p w14:paraId="7B21AB3C"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55B32970"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b/>
          <w:color w:val="000000" w:themeColor="text1"/>
          <w:lang w:val="es-CO"/>
        </w:rPr>
        <w:t xml:space="preserve">Parágrafo 3. </w:t>
      </w:r>
      <w:r w:rsidRPr="0013707D">
        <w:rPr>
          <w:rFonts w:cs="Arial"/>
          <w:color w:val="000000" w:themeColor="text1"/>
          <w:lang w:val="es-CO"/>
        </w:rPr>
        <w:t>La CREG determinará el momento a partir del cual las compensaciones definidas en este artículo podrán ser calculadas con base en los precios de las negociaciones realizadas en el mercado secundario. Dichas disposiciones serán aplicables a los contratos que se suscriban con posterioridad a la adopción de las mismas.</w:t>
      </w:r>
    </w:p>
    <w:p w14:paraId="55498547"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008ADB99" w14:textId="07ED6F95" w:rsidR="0006302B" w:rsidRPr="003D20AA"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b/>
          <w:color w:val="000000" w:themeColor="text1"/>
          <w:lang w:val="es-CO"/>
        </w:rPr>
        <w:t>Parágrafo 4.</w:t>
      </w:r>
      <w:r w:rsidRPr="0013707D">
        <w:rPr>
          <w:rFonts w:cs="Arial"/>
          <w:color w:val="000000" w:themeColor="text1"/>
          <w:lang w:val="es-CO"/>
        </w:rPr>
        <w:t xml:space="preserve"> Si las partes definen otras circunstancias en que se configure un incumplimiento, según lo previsto en el </w:t>
      </w:r>
      <w:r w:rsidRPr="00D66B65">
        <w:rPr>
          <w:rFonts w:cs="Arial"/>
          <w:color w:val="000000" w:themeColor="text1"/>
          <w:lang w:val="es-CO"/>
        </w:rPr>
        <w:t>parágrafo 1 del</w:t>
      </w:r>
      <w:r w:rsidR="00DD53A4">
        <w:rPr>
          <w:rFonts w:cs="Arial"/>
          <w:color w:val="000000" w:themeColor="text1"/>
          <w:lang w:val="es-CO"/>
        </w:rPr>
        <w:t xml:space="preserve"> artículo 13</w:t>
      </w:r>
      <w:r w:rsidRPr="00D136F8">
        <w:rPr>
          <w:rFonts w:cs="Arial"/>
          <w:color w:val="000000" w:themeColor="text1"/>
          <w:lang w:val="es-CO"/>
        </w:rPr>
        <w:t xml:space="preserve"> de</w:t>
      </w:r>
      <w:r w:rsidRPr="0013707D">
        <w:rPr>
          <w:rFonts w:cs="Arial"/>
          <w:color w:val="000000" w:themeColor="text1"/>
          <w:lang w:val="es-CO"/>
        </w:rPr>
        <w:t xml:space="preserve"> esta Resolución, las partes también podrán acordar las compensaciones </w:t>
      </w:r>
      <w:r w:rsidRPr="00DA7169">
        <w:rPr>
          <w:rFonts w:cs="Arial"/>
          <w:color w:val="000000" w:themeColor="text1"/>
          <w:lang w:val="es-CO"/>
        </w:rPr>
        <w:t>correspondientes.</w:t>
      </w:r>
    </w:p>
    <w:p w14:paraId="6A173826" w14:textId="77777777" w:rsidR="0006302B" w:rsidRPr="003D20AA" w:rsidRDefault="0006302B" w:rsidP="0006302B">
      <w:pPr>
        <w:rPr>
          <w:rFonts w:ascii="Bookman Old Style" w:hAnsi="Bookman Old Style"/>
          <w:lang w:val="es-CO"/>
        </w:rPr>
      </w:pPr>
    </w:p>
    <w:p w14:paraId="78CDACE8" w14:textId="4A88DDF0" w:rsidR="002676A1" w:rsidRPr="00295053" w:rsidRDefault="0006302B" w:rsidP="006A3862">
      <w:pPr>
        <w:pStyle w:val="ARTICULOS"/>
        <w:rPr>
          <w:b/>
          <w:bCs w:val="0"/>
          <w:lang w:val="es-CO"/>
        </w:rPr>
      </w:pPr>
      <w:bookmarkStart w:id="44" w:name="_Ref357000341"/>
      <w:r w:rsidRPr="00295053">
        <w:rPr>
          <w:b/>
        </w:rPr>
        <w:t>Actualización de precios.</w:t>
      </w:r>
      <w:bookmarkEnd w:id="44"/>
      <w:r w:rsidR="00941395" w:rsidRPr="00295053">
        <w:rPr>
          <w:b/>
        </w:rPr>
        <w:t xml:space="preserve"> </w:t>
      </w:r>
      <w:r w:rsidR="00D27DBC" w:rsidRPr="00295053">
        <w:rPr>
          <w:b/>
        </w:rPr>
        <w:t>Las ecuaciones para la actualización de los precios</w:t>
      </w:r>
      <w:r w:rsidR="00172786" w:rsidRPr="00295053">
        <w:rPr>
          <w:b/>
        </w:rPr>
        <w:t xml:space="preserve"> en los contratos</w:t>
      </w:r>
      <w:r w:rsidR="00015EB0" w:rsidRPr="00295053">
        <w:rPr>
          <w:b/>
        </w:rPr>
        <w:t>,</w:t>
      </w:r>
      <w:r w:rsidR="00172786" w:rsidRPr="00295053">
        <w:rPr>
          <w:b/>
        </w:rPr>
        <w:t xml:space="preserve"> </w:t>
      </w:r>
      <w:r w:rsidR="00B04A9F" w:rsidRPr="00295053">
        <w:rPr>
          <w:b/>
        </w:rPr>
        <w:t>vigentes o nuevos</w:t>
      </w:r>
      <w:r w:rsidR="00015EB0" w:rsidRPr="00295053">
        <w:rPr>
          <w:b/>
        </w:rPr>
        <w:t>,</w:t>
      </w:r>
      <w:r w:rsidR="00B04A9F" w:rsidRPr="00295053">
        <w:rPr>
          <w:b/>
        </w:rPr>
        <w:t xml:space="preserve"> </w:t>
      </w:r>
      <w:r w:rsidR="00172786" w:rsidRPr="00295053">
        <w:rPr>
          <w:b/>
        </w:rPr>
        <w:t xml:space="preserve">podrán ser aplicadas </w:t>
      </w:r>
      <w:r w:rsidR="00B12284" w:rsidRPr="00295053">
        <w:rPr>
          <w:b/>
        </w:rPr>
        <w:t xml:space="preserve">para </w:t>
      </w:r>
      <w:r w:rsidR="00172786" w:rsidRPr="00295053">
        <w:rPr>
          <w:b/>
        </w:rPr>
        <w:t>períodos de como mínimo</w:t>
      </w:r>
      <w:r w:rsidR="00B12284" w:rsidRPr="00295053">
        <w:rPr>
          <w:b/>
        </w:rPr>
        <w:t>,</w:t>
      </w:r>
      <w:r w:rsidR="00172786" w:rsidRPr="00295053">
        <w:rPr>
          <w:b/>
        </w:rPr>
        <w:t xml:space="preserve"> un trimestre</w:t>
      </w:r>
      <w:r w:rsidR="00AE730D" w:rsidRPr="00295053">
        <w:rPr>
          <w:b/>
        </w:rPr>
        <w:t xml:space="preserve"> estándar</w:t>
      </w:r>
      <w:r w:rsidR="00172786" w:rsidRPr="00295053">
        <w:rPr>
          <w:b/>
        </w:rPr>
        <w:t xml:space="preserve"> y </w:t>
      </w:r>
      <w:r w:rsidR="00D27DBC" w:rsidRPr="00295053">
        <w:rPr>
          <w:b/>
        </w:rPr>
        <w:t xml:space="preserve">podrán ser pactadas por las partes </w:t>
      </w:r>
      <w:r w:rsidR="00B40BDC" w:rsidRPr="00295053">
        <w:rPr>
          <w:b/>
        </w:rPr>
        <w:t>libremente</w:t>
      </w:r>
      <w:r w:rsidR="00015EB0" w:rsidRPr="00295053">
        <w:rPr>
          <w:b/>
        </w:rPr>
        <w:t>,</w:t>
      </w:r>
      <w:r w:rsidR="00B40BDC" w:rsidRPr="00295053">
        <w:rPr>
          <w:b/>
        </w:rPr>
        <w:t xml:space="preserve"> </w:t>
      </w:r>
      <w:r w:rsidR="00D27DBC" w:rsidRPr="00295053">
        <w:rPr>
          <w:b/>
        </w:rPr>
        <w:t xml:space="preserve">en el caso de que se utilice </w:t>
      </w:r>
      <w:r w:rsidR="00015EB0" w:rsidRPr="00295053">
        <w:rPr>
          <w:b/>
        </w:rPr>
        <w:t xml:space="preserve">el mecanismo de </w:t>
      </w:r>
      <w:r w:rsidR="00D27DBC" w:rsidRPr="00295053">
        <w:rPr>
          <w:b/>
        </w:rPr>
        <w:lastRenderedPageBreak/>
        <w:t xml:space="preserve">negociación directa en </w:t>
      </w:r>
      <w:r w:rsidR="00172786" w:rsidRPr="00295053">
        <w:rPr>
          <w:b/>
        </w:rPr>
        <w:t xml:space="preserve">la </w:t>
      </w:r>
      <w:r w:rsidR="00D27DBC" w:rsidRPr="00295053">
        <w:rPr>
          <w:b/>
        </w:rPr>
        <w:t xml:space="preserve">que no se aplique un </w:t>
      </w:r>
      <w:r w:rsidR="00141C1D" w:rsidRPr="00295053">
        <w:rPr>
          <w:b/>
        </w:rPr>
        <w:t xml:space="preserve">proceso </w:t>
      </w:r>
      <w:r w:rsidR="00D27DBC" w:rsidRPr="00295053">
        <w:rPr>
          <w:b/>
        </w:rPr>
        <w:t xml:space="preserve">de </w:t>
      </w:r>
      <w:r w:rsidR="00172786" w:rsidRPr="00295053">
        <w:rPr>
          <w:b/>
        </w:rPr>
        <w:t>concurrencia</w:t>
      </w:r>
      <w:r w:rsidR="000467D6" w:rsidRPr="00295053">
        <w:rPr>
          <w:b/>
        </w:rPr>
        <w:t xml:space="preserve"> de interesados</w:t>
      </w:r>
      <w:r w:rsidR="00D27DBC" w:rsidRPr="00295053">
        <w:rPr>
          <w:b/>
        </w:rPr>
        <w:t xml:space="preserve">. Se podrán utilizar entre otras, las ecuaciones establecidas en el Anexo 3 de la presente resolución. </w:t>
      </w:r>
      <w:r w:rsidR="002676A1" w:rsidRPr="00295053">
        <w:rPr>
          <w:b/>
          <w:lang w:val="es-CO"/>
        </w:rPr>
        <w:t>Para efectos de aplicar lo anterior solo se puede pactar en un contrato un solo precio inicial a aplicar en el primer período de ejecución del contrato, que será el que se actualizará en cada período de actualización definido en el contrato.</w:t>
      </w:r>
    </w:p>
    <w:p w14:paraId="7AAB9814" w14:textId="452F1F39" w:rsidR="001E68BA" w:rsidRPr="003D20AA" w:rsidRDefault="001E68BA" w:rsidP="0050144D">
      <w:pPr>
        <w:pStyle w:val="ARTICULOS"/>
        <w:numPr>
          <w:ilvl w:val="0"/>
          <w:numId w:val="0"/>
        </w:numPr>
        <w:rPr>
          <w:b/>
        </w:rPr>
      </w:pPr>
    </w:p>
    <w:p w14:paraId="57015CFC" w14:textId="77777777" w:rsidR="001E68BA" w:rsidRPr="003D20AA" w:rsidRDefault="001E68BA" w:rsidP="001E68BA">
      <w:pPr>
        <w:pStyle w:val="ARTICULOS"/>
        <w:numPr>
          <w:ilvl w:val="0"/>
          <w:numId w:val="0"/>
        </w:numPr>
        <w:rPr>
          <w:b/>
        </w:rPr>
      </w:pPr>
      <w:r w:rsidRPr="003D20AA">
        <w:rPr>
          <w:b/>
        </w:rPr>
        <w:t xml:space="preserve">En caso de que no se logre un acuerdo entre las partes al respecto, estas aplicarán las ecuaciones de actualización de precios establecidas en el Anexo 3 con el factor </w:t>
      </w:r>
      <w:r w:rsidRPr="003D20AA">
        <w:rPr>
          <w:rFonts w:cs="Arial"/>
          <w:b/>
          <w:color w:val="000000" w:themeColor="text1"/>
        </w:rPr>
        <w:t>beta (</w:t>
      </w:r>
      <m:oMath>
        <m:r>
          <m:rPr>
            <m:sty m:val="bi"/>
          </m:rPr>
          <w:rPr>
            <w:rFonts w:ascii="Cambria Math" w:hAnsi="Cambria Math" w:cs="Arial"/>
            <w:color w:val="000000" w:themeColor="text1"/>
            <w:lang w:val="es-CO"/>
          </w:rPr>
          <m:t>β</m:t>
        </m:r>
      </m:oMath>
      <w:r w:rsidRPr="003D20AA">
        <w:rPr>
          <w:rFonts w:cs="Arial"/>
          <w:b/>
          <w:color w:val="000000" w:themeColor="text1"/>
        </w:rPr>
        <w:t>)</w:t>
      </w:r>
      <w:r w:rsidRPr="003D20AA">
        <w:rPr>
          <w:b/>
        </w:rPr>
        <w:t xml:space="preserve"> igual a cero (0).</w:t>
      </w:r>
    </w:p>
    <w:p w14:paraId="6A5912F9" w14:textId="77777777" w:rsidR="001E68BA" w:rsidRPr="003D20AA" w:rsidRDefault="001E68BA" w:rsidP="001E68BA">
      <w:pPr>
        <w:pStyle w:val="ARTICULOS"/>
        <w:numPr>
          <w:ilvl w:val="0"/>
          <w:numId w:val="0"/>
        </w:numPr>
        <w:rPr>
          <w:b/>
        </w:rPr>
      </w:pPr>
    </w:p>
    <w:p w14:paraId="7639DC14" w14:textId="48FD860B" w:rsidR="001E68BA" w:rsidRPr="003D20AA" w:rsidRDefault="001E68BA" w:rsidP="001E68BA">
      <w:pPr>
        <w:pStyle w:val="ARTICULOS"/>
        <w:numPr>
          <w:ilvl w:val="0"/>
          <w:numId w:val="0"/>
        </w:numPr>
        <w:rPr>
          <w:b/>
          <w:lang w:val="es-CO"/>
        </w:rPr>
      </w:pPr>
      <w:r w:rsidRPr="003D20AA">
        <w:rPr>
          <w:b/>
          <w:lang w:val="es-CO"/>
        </w:rPr>
        <w:t xml:space="preserve">La actualización de los precios </w:t>
      </w:r>
      <w:r w:rsidR="003B17F6" w:rsidRPr="003D20AA">
        <w:rPr>
          <w:b/>
          <w:lang w:val="es-CO"/>
        </w:rPr>
        <w:t xml:space="preserve">de los contratos </w:t>
      </w:r>
      <w:r w:rsidRPr="003D20AA">
        <w:rPr>
          <w:b/>
          <w:lang w:val="es-CO"/>
        </w:rPr>
        <w:t xml:space="preserve">resultantes de la subasta </w:t>
      </w:r>
      <w:r w:rsidR="00B04003" w:rsidRPr="003D20AA">
        <w:rPr>
          <w:b/>
          <w:lang w:val="es-CO"/>
        </w:rPr>
        <w:t>reglamentada</w:t>
      </w:r>
      <w:r w:rsidRPr="003D20AA">
        <w:rPr>
          <w:b/>
          <w:lang w:val="es-CO"/>
        </w:rPr>
        <w:t xml:space="preserve"> en el Anexo 7 de la presente resolución, se realizará </w:t>
      </w:r>
      <w:r w:rsidR="008608E6" w:rsidRPr="003D20AA">
        <w:rPr>
          <w:b/>
          <w:lang w:val="es-CO"/>
        </w:rPr>
        <w:t xml:space="preserve">cada que se cumpla un año calendario </w:t>
      </w:r>
      <w:r w:rsidR="003B17F6" w:rsidRPr="003D20AA">
        <w:rPr>
          <w:b/>
          <w:lang w:val="es-CO"/>
        </w:rPr>
        <w:t xml:space="preserve">del contrato, </w:t>
      </w:r>
      <w:r w:rsidR="008608E6" w:rsidRPr="003D20AA">
        <w:rPr>
          <w:b/>
          <w:lang w:val="es-CO"/>
        </w:rPr>
        <w:t>contado a partir de la fecha del inicio de su ejecución</w:t>
      </w:r>
      <w:r w:rsidRPr="003D20AA">
        <w:rPr>
          <w:b/>
          <w:lang w:val="es-CO"/>
        </w:rPr>
        <w:t xml:space="preserve">, con un valor del factor beta </w:t>
      </w:r>
      <w:r w:rsidRPr="003D20AA">
        <w:rPr>
          <w:rFonts w:cs="Arial"/>
          <w:b/>
          <w:color w:val="000000" w:themeColor="text1"/>
        </w:rPr>
        <w:t>(</w:t>
      </w:r>
      <m:oMath>
        <m:r>
          <m:rPr>
            <m:sty m:val="bi"/>
          </m:rPr>
          <w:rPr>
            <w:rFonts w:ascii="Cambria Math" w:hAnsi="Cambria Math" w:cs="Arial"/>
            <w:color w:val="000000" w:themeColor="text1"/>
            <w:lang w:val="es-CO"/>
          </w:rPr>
          <m:t>β</m:t>
        </m:r>
      </m:oMath>
      <w:r w:rsidRPr="003D20AA">
        <w:rPr>
          <w:rFonts w:cs="Arial"/>
          <w:b/>
          <w:color w:val="000000" w:themeColor="text1"/>
        </w:rPr>
        <w:t>)</w:t>
      </w:r>
      <w:r w:rsidRPr="003D20AA">
        <w:rPr>
          <w:b/>
        </w:rPr>
        <w:t xml:space="preserve"> </w:t>
      </w:r>
      <w:r w:rsidRPr="003D20AA">
        <w:rPr>
          <w:b/>
          <w:lang w:val="es-CO"/>
        </w:rPr>
        <w:t>igual a cero (0).</w:t>
      </w:r>
    </w:p>
    <w:p w14:paraId="3BCDB08A" w14:textId="77777777" w:rsidR="001E68BA" w:rsidRPr="003D20AA" w:rsidRDefault="001E68BA" w:rsidP="0050144D">
      <w:pPr>
        <w:pStyle w:val="ARTICULOS"/>
        <w:numPr>
          <w:ilvl w:val="0"/>
          <w:numId w:val="0"/>
        </w:numPr>
        <w:rPr>
          <w:b/>
        </w:rPr>
      </w:pPr>
    </w:p>
    <w:p w14:paraId="43EB5D9C" w14:textId="3452E449" w:rsidR="00141C1D" w:rsidRPr="003D20AA" w:rsidRDefault="00141C1D" w:rsidP="0050144D">
      <w:pPr>
        <w:pStyle w:val="ARTICULOS"/>
        <w:numPr>
          <w:ilvl w:val="0"/>
          <w:numId w:val="0"/>
        </w:numPr>
        <w:rPr>
          <w:b/>
        </w:rPr>
      </w:pPr>
      <w:r w:rsidRPr="003D20AA">
        <w:rPr>
          <w:b/>
        </w:rPr>
        <w:t>En el caso de que en el mecanismo de negociación directa</w:t>
      </w:r>
      <w:r w:rsidR="003B17F6" w:rsidRPr="003D20AA">
        <w:rPr>
          <w:b/>
          <w:lang w:val="es-CO"/>
        </w:rPr>
        <w:t xml:space="preserve"> del suministro de cualquier fuente de suministro sin excepciones,</w:t>
      </w:r>
      <w:r w:rsidRPr="003D20AA">
        <w:rPr>
          <w:b/>
        </w:rPr>
        <w:t xml:space="preserve"> se utilicen procesos de concurrencia de interesados</w:t>
      </w:r>
      <w:r w:rsidR="003B17F6" w:rsidRPr="003D20AA">
        <w:rPr>
          <w:b/>
          <w:lang w:val="es-CO"/>
        </w:rPr>
        <w:t xml:space="preserve"> en comprar</w:t>
      </w:r>
      <w:r w:rsidRPr="003D20AA">
        <w:rPr>
          <w:b/>
        </w:rPr>
        <w:t xml:space="preserve">, las ecuaciones de actualización de precios deberán ser idénticas en cada uno de los contratos resultantes de </w:t>
      </w:r>
      <w:r w:rsidR="00015EB0" w:rsidRPr="003D20AA">
        <w:rPr>
          <w:b/>
        </w:rPr>
        <w:t xml:space="preserve">cada </w:t>
      </w:r>
      <w:r w:rsidRPr="003D20AA">
        <w:rPr>
          <w:b/>
        </w:rPr>
        <w:t>proceso.</w:t>
      </w:r>
    </w:p>
    <w:p w14:paraId="314D37FE" w14:textId="556ED057" w:rsidR="003D5AFD" w:rsidRPr="003D20AA" w:rsidRDefault="003D5AFD" w:rsidP="0050144D">
      <w:pPr>
        <w:pStyle w:val="ARTICULOS"/>
        <w:numPr>
          <w:ilvl w:val="0"/>
          <w:numId w:val="0"/>
        </w:numPr>
        <w:rPr>
          <w:b/>
        </w:rPr>
      </w:pPr>
    </w:p>
    <w:p w14:paraId="3C738601" w14:textId="77777777" w:rsidR="0006302B" w:rsidRPr="003D20AA" w:rsidRDefault="0006302B">
      <w:pPr>
        <w:pStyle w:val="ARTICULOS"/>
        <w:numPr>
          <w:ilvl w:val="0"/>
          <w:numId w:val="0"/>
        </w:numPr>
        <w:tabs>
          <w:tab w:val="clear" w:pos="1559"/>
          <w:tab w:val="left" w:pos="1560"/>
        </w:tabs>
        <w:rPr>
          <w:rFonts w:cs="Arial"/>
          <w:color w:val="000000" w:themeColor="text1"/>
        </w:rPr>
      </w:pPr>
      <w:r w:rsidRPr="003D20AA">
        <w:rPr>
          <w:rFonts w:cs="Arial"/>
          <w:b/>
          <w:color w:val="000000" w:themeColor="text1"/>
        </w:rPr>
        <w:t>Parágrafo 1.</w:t>
      </w:r>
      <w:r w:rsidRPr="003D20AA">
        <w:rPr>
          <w:rFonts w:cs="Arial"/>
          <w:color w:val="000000" w:themeColor="text1"/>
        </w:rPr>
        <w:t xml:space="preserve"> La actualización de precios de que trata este artículo también se aplicará a la prima de los contratos de opción de compra de gas.</w:t>
      </w:r>
    </w:p>
    <w:p w14:paraId="36E8B925" w14:textId="77777777" w:rsidR="0006302B" w:rsidRPr="003D20AA" w:rsidRDefault="0006302B">
      <w:pPr>
        <w:pStyle w:val="ARTICULOS"/>
        <w:numPr>
          <w:ilvl w:val="0"/>
          <w:numId w:val="0"/>
        </w:numPr>
        <w:tabs>
          <w:tab w:val="clear" w:pos="1559"/>
          <w:tab w:val="left" w:pos="1560"/>
        </w:tabs>
        <w:rPr>
          <w:rFonts w:cs="Arial"/>
          <w:color w:val="000000" w:themeColor="text1"/>
        </w:rPr>
      </w:pPr>
    </w:p>
    <w:p w14:paraId="19137FAF" w14:textId="5AB3A4D0" w:rsidR="0006302B" w:rsidRPr="003D20AA" w:rsidRDefault="0006302B">
      <w:pPr>
        <w:pStyle w:val="ARTICULOS"/>
        <w:numPr>
          <w:ilvl w:val="0"/>
          <w:numId w:val="0"/>
        </w:numPr>
        <w:tabs>
          <w:tab w:val="clear" w:pos="1559"/>
          <w:tab w:val="left" w:pos="1560"/>
        </w:tabs>
        <w:rPr>
          <w:rFonts w:cs="Arial"/>
          <w:color w:val="000000" w:themeColor="text1"/>
        </w:rPr>
      </w:pPr>
      <w:r w:rsidRPr="003D20AA">
        <w:rPr>
          <w:rFonts w:cs="Arial"/>
          <w:b/>
          <w:color w:val="000000" w:themeColor="text1"/>
        </w:rPr>
        <w:t>Parágrafo 2.</w:t>
      </w:r>
      <w:r w:rsidRPr="003D20AA">
        <w:rPr>
          <w:rFonts w:cs="Arial"/>
          <w:color w:val="000000" w:themeColor="text1"/>
        </w:rPr>
        <w:t xml:space="preserve"> La actualización de precios </w:t>
      </w:r>
      <w:r w:rsidR="00D278A2" w:rsidRPr="003D20AA">
        <w:rPr>
          <w:rFonts w:cs="Arial"/>
          <w:b/>
          <w:color w:val="000000" w:themeColor="text1"/>
        </w:rPr>
        <w:t>en caso de que se aplique</w:t>
      </w:r>
      <w:r w:rsidR="00D278A2" w:rsidRPr="003D20AA">
        <w:rPr>
          <w:rFonts w:cs="Arial"/>
          <w:color w:val="000000" w:themeColor="text1"/>
        </w:rPr>
        <w:t xml:space="preserve"> </w:t>
      </w:r>
      <w:r w:rsidR="00EE7614" w:rsidRPr="003D20AA">
        <w:rPr>
          <w:rFonts w:cs="Arial"/>
          <w:b/>
          <w:color w:val="000000" w:themeColor="text1"/>
        </w:rPr>
        <w:t>el Anexo 3 de la presente resolución</w:t>
      </w:r>
      <w:r w:rsidR="00914D53" w:rsidRPr="003D20AA">
        <w:rPr>
          <w:rFonts w:cs="Arial"/>
          <w:b/>
          <w:color w:val="000000" w:themeColor="text1"/>
        </w:rPr>
        <w:t>,</w:t>
      </w:r>
      <w:r w:rsidR="00EE7614" w:rsidRPr="003D20AA">
        <w:rPr>
          <w:rFonts w:cs="Arial"/>
          <w:b/>
          <w:color w:val="000000" w:themeColor="text1"/>
        </w:rPr>
        <w:t xml:space="preserve"> </w:t>
      </w:r>
      <w:r w:rsidRPr="003D20AA">
        <w:rPr>
          <w:rFonts w:cs="Arial"/>
          <w:color w:val="000000" w:themeColor="text1"/>
        </w:rPr>
        <w:t xml:space="preserve">se </w:t>
      </w:r>
      <w:r w:rsidR="00DA7169" w:rsidRPr="003D20AA">
        <w:rPr>
          <w:rFonts w:cs="Arial"/>
          <w:color w:val="000000" w:themeColor="text1"/>
        </w:rPr>
        <w:t xml:space="preserve">aplicará </w:t>
      </w:r>
      <w:r w:rsidRPr="003D20AA">
        <w:rPr>
          <w:rFonts w:cs="Arial"/>
          <w:color w:val="000000" w:themeColor="text1"/>
        </w:rPr>
        <w:t xml:space="preserve">cada </w:t>
      </w:r>
      <w:r w:rsidR="000E67E0" w:rsidRPr="003D20AA">
        <w:rPr>
          <w:rFonts w:cs="Arial"/>
          <w:b/>
          <w:bCs w:val="0"/>
          <w:color w:val="000000" w:themeColor="text1"/>
          <w:lang w:val="es-CO"/>
        </w:rPr>
        <w:t>día</w:t>
      </w:r>
      <w:r w:rsidR="000E67E0" w:rsidRPr="003D20AA">
        <w:rPr>
          <w:rFonts w:cs="Arial"/>
          <w:color w:val="000000" w:themeColor="text1"/>
          <w:lang w:val="es-CO"/>
        </w:rPr>
        <w:t xml:space="preserve"> </w:t>
      </w:r>
      <w:r w:rsidRPr="003D20AA">
        <w:rPr>
          <w:rFonts w:cs="Arial"/>
          <w:color w:val="000000" w:themeColor="text1"/>
        </w:rPr>
        <w:t xml:space="preserve">1 </w:t>
      </w:r>
      <w:r w:rsidRPr="003D20AA">
        <w:rPr>
          <w:rFonts w:cs="Arial"/>
          <w:b/>
          <w:bCs w:val="0"/>
          <w:color w:val="000000" w:themeColor="text1"/>
        </w:rPr>
        <w:t>de</w:t>
      </w:r>
      <w:r w:rsidR="000E67E0" w:rsidRPr="003D20AA">
        <w:rPr>
          <w:rFonts w:cs="Arial"/>
          <w:b/>
          <w:bCs w:val="0"/>
          <w:color w:val="000000" w:themeColor="text1"/>
          <w:lang w:val="es-CO"/>
        </w:rPr>
        <w:t>l trimestre estándar siguiente al trimestre en que se cumpla cada año de ejecución del contrato</w:t>
      </w:r>
      <w:r w:rsidRPr="003D20AA">
        <w:rPr>
          <w:rFonts w:cs="Arial"/>
          <w:color w:val="000000" w:themeColor="text1"/>
        </w:rPr>
        <w:t>.</w:t>
      </w:r>
    </w:p>
    <w:p w14:paraId="1C161BBE" w14:textId="77777777" w:rsidR="0006302B" w:rsidRPr="003D20AA" w:rsidRDefault="0006302B" w:rsidP="002D5416">
      <w:pPr>
        <w:pStyle w:val="ARTICULOS"/>
        <w:numPr>
          <w:ilvl w:val="0"/>
          <w:numId w:val="0"/>
        </w:numPr>
        <w:rPr>
          <w:rFonts w:cs="Arial"/>
          <w:color w:val="000000" w:themeColor="text1"/>
        </w:rPr>
      </w:pPr>
    </w:p>
    <w:p w14:paraId="0BB7E478" w14:textId="7ED0E347" w:rsidR="0006302B" w:rsidRPr="003D20AA" w:rsidRDefault="0006302B" w:rsidP="002D5416">
      <w:pPr>
        <w:pStyle w:val="ARTICULOS"/>
        <w:numPr>
          <w:ilvl w:val="0"/>
          <w:numId w:val="0"/>
        </w:numPr>
        <w:rPr>
          <w:rFonts w:cs="Arial"/>
          <w:color w:val="000000" w:themeColor="text1"/>
        </w:rPr>
      </w:pPr>
      <w:r w:rsidRPr="003D20AA">
        <w:rPr>
          <w:rFonts w:cs="Arial"/>
          <w:b/>
          <w:color w:val="000000" w:themeColor="text1"/>
        </w:rPr>
        <w:t xml:space="preserve">Parágrafo </w:t>
      </w:r>
      <w:r w:rsidR="0014210C" w:rsidRPr="003D20AA">
        <w:rPr>
          <w:rFonts w:cs="Arial"/>
          <w:b/>
          <w:color w:val="000000" w:themeColor="text1"/>
        </w:rPr>
        <w:t>3</w:t>
      </w:r>
      <w:r w:rsidRPr="003D20AA">
        <w:rPr>
          <w:rFonts w:cs="Arial"/>
          <w:b/>
          <w:color w:val="000000" w:themeColor="text1"/>
        </w:rPr>
        <w:t>.</w:t>
      </w:r>
      <w:r w:rsidRPr="003D20AA">
        <w:rPr>
          <w:rFonts w:cs="Arial"/>
          <w:color w:val="000000" w:themeColor="text1"/>
        </w:rPr>
        <w:t xml:space="preserve"> En los contratos de más de un año que se </w:t>
      </w:r>
      <w:r w:rsidR="001D531C" w:rsidRPr="003D20AA">
        <w:rPr>
          <w:rFonts w:cs="Arial"/>
          <w:color w:val="000000" w:themeColor="text1"/>
        </w:rPr>
        <w:t xml:space="preserve">hayan </w:t>
      </w:r>
      <w:r w:rsidRPr="003D20AA">
        <w:rPr>
          <w:rFonts w:cs="Arial"/>
          <w:color w:val="000000" w:themeColor="text1"/>
        </w:rPr>
        <w:t>celebr</w:t>
      </w:r>
      <w:r w:rsidR="001D531C" w:rsidRPr="003D20AA">
        <w:rPr>
          <w:rFonts w:cs="Arial"/>
          <w:color w:val="000000" w:themeColor="text1"/>
        </w:rPr>
        <w:t>ado</w:t>
      </w:r>
      <w:r w:rsidRPr="003D20AA">
        <w:rPr>
          <w:rFonts w:cs="Arial"/>
          <w:color w:val="000000" w:themeColor="text1"/>
        </w:rPr>
        <w:t xml:space="preserve"> a partir del 21 de julio de 2015</w:t>
      </w:r>
      <w:r w:rsidR="00B64977" w:rsidRPr="003D20AA">
        <w:rPr>
          <w:rFonts w:cs="Arial"/>
          <w:color w:val="000000" w:themeColor="text1"/>
        </w:rPr>
        <w:t xml:space="preserve">, </w:t>
      </w:r>
      <w:r w:rsidR="00D27DBC" w:rsidRPr="003D20AA">
        <w:rPr>
          <w:rFonts w:cs="Arial"/>
          <w:b/>
          <w:color w:val="000000" w:themeColor="text1"/>
        </w:rPr>
        <w:t>y hasta la fecha de publicación de la presente resolución</w:t>
      </w:r>
      <w:r w:rsidRPr="003D20AA">
        <w:rPr>
          <w:rFonts w:cs="Arial"/>
          <w:color w:val="000000" w:themeColor="text1"/>
        </w:rPr>
        <w:t xml:space="preserve">, como resultado del mecanismo de negociación directa, </w:t>
      </w:r>
      <w:r w:rsidRPr="003D20AA">
        <w:rPr>
          <w:rFonts w:cs="Arial"/>
          <w:bCs w:val="0"/>
          <w:color w:val="000000" w:themeColor="text1"/>
        </w:rPr>
        <w:t xml:space="preserve">las partes </w:t>
      </w:r>
      <w:r w:rsidR="001B4D61" w:rsidRPr="003D20AA">
        <w:rPr>
          <w:rFonts w:cs="Arial"/>
          <w:b/>
          <w:color w:val="000000" w:themeColor="text1"/>
          <w:lang w:val="es-CO"/>
        </w:rPr>
        <w:t>podrán continuar aplicando</w:t>
      </w:r>
      <w:r w:rsidR="001B4D61" w:rsidRPr="003D20AA">
        <w:rPr>
          <w:rFonts w:cs="Arial"/>
          <w:bCs w:val="0"/>
          <w:color w:val="000000" w:themeColor="text1"/>
        </w:rPr>
        <w:t xml:space="preserve"> </w:t>
      </w:r>
      <w:r w:rsidRPr="003D20AA">
        <w:rPr>
          <w:rFonts w:cs="Arial"/>
          <w:bCs w:val="0"/>
          <w:color w:val="000000" w:themeColor="text1"/>
        </w:rPr>
        <w:t xml:space="preserve">las ecuaciones de actualización de precios establecidas en el </w:t>
      </w:r>
      <w:r w:rsidRPr="003D20AA">
        <w:rPr>
          <w:rFonts w:cs="Arial"/>
          <w:bCs w:val="0"/>
          <w:color w:val="000000" w:themeColor="text1"/>
          <w:sz w:val="32"/>
          <w:szCs w:val="32"/>
        </w:rPr>
        <w:fldChar w:fldCharType="begin"/>
      </w:r>
      <w:r w:rsidRPr="003D20AA">
        <w:rPr>
          <w:rFonts w:cs="Arial"/>
          <w:bCs w:val="0"/>
          <w:color w:val="000000" w:themeColor="text1"/>
          <w:sz w:val="32"/>
          <w:szCs w:val="32"/>
        </w:rPr>
        <w:instrText xml:space="preserve"> REF _Ref451344482 \h  \* MERGEFORMAT </w:instrText>
      </w:r>
      <w:r w:rsidRPr="003D20AA">
        <w:rPr>
          <w:rFonts w:cs="Arial"/>
          <w:bCs w:val="0"/>
          <w:color w:val="000000" w:themeColor="text1"/>
          <w:sz w:val="32"/>
          <w:szCs w:val="32"/>
        </w:rPr>
      </w:r>
      <w:r w:rsidRPr="003D20AA">
        <w:rPr>
          <w:rFonts w:cs="Arial"/>
          <w:bCs w:val="0"/>
          <w:color w:val="000000" w:themeColor="text1"/>
          <w:sz w:val="32"/>
          <w:szCs w:val="32"/>
        </w:rPr>
        <w:fldChar w:fldCharType="separate"/>
      </w:r>
      <w:r w:rsidR="00636B6A" w:rsidRPr="0013707D">
        <w:rPr>
          <w:color w:val="000000" w:themeColor="text1"/>
        </w:rPr>
        <w:t xml:space="preserve">Anexo </w:t>
      </w:r>
      <w:r w:rsidR="00636B6A">
        <w:rPr>
          <w:noProof/>
          <w:color w:val="000000" w:themeColor="text1"/>
        </w:rPr>
        <w:t>3</w:t>
      </w:r>
      <w:r w:rsidRPr="003D20AA">
        <w:rPr>
          <w:rFonts w:cs="Arial"/>
          <w:bCs w:val="0"/>
          <w:color w:val="000000" w:themeColor="text1"/>
          <w:sz w:val="32"/>
          <w:szCs w:val="32"/>
        </w:rPr>
        <w:fldChar w:fldCharType="end"/>
      </w:r>
      <w:r w:rsidRPr="003D20AA">
        <w:rPr>
          <w:rFonts w:cs="Arial"/>
          <w:bCs w:val="0"/>
          <w:color w:val="000000" w:themeColor="text1"/>
        </w:rPr>
        <w:t xml:space="preserve"> de la presente Resolución</w:t>
      </w:r>
      <w:r w:rsidRPr="003D20AA">
        <w:rPr>
          <w:rFonts w:cs="Arial"/>
          <w:color w:val="000000" w:themeColor="text1"/>
        </w:rPr>
        <w:t xml:space="preserve">, según corresponda, con </w:t>
      </w:r>
      <w:r w:rsidR="001B4D61" w:rsidRPr="003D20AA">
        <w:rPr>
          <w:rFonts w:cs="Arial"/>
          <w:color w:val="000000" w:themeColor="text1"/>
          <w:lang w:val="es-CO"/>
        </w:rPr>
        <w:t xml:space="preserve">el </w:t>
      </w:r>
      <w:r w:rsidRPr="003D20AA">
        <w:rPr>
          <w:rFonts w:cs="Arial"/>
          <w:color w:val="000000" w:themeColor="text1"/>
        </w:rPr>
        <w:t xml:space="preserve">valor del factor beta (β), </w:t>
      </w:r>
      <w:r w:rsidR="001B4D61" w:rsidRPr="003D20AA">
        <w:rPr>
          <w:rFonts w:cs="Arial"/>
          <w:b/>
          <w:color w:val="000000" w:themeColor="text1"/>
          <w:lang w:val="es-CO"/>
        </w:rPr>
        <w:t>acordado inicialmente</w:t>
      </w:r>
      <w:r w:rsidR="00474CAA" w:rsidRPr="003D20AA">
        <w:rPr>
          <w:rFonts w:cs="Arial"/>
          <w:b/>
          <w:bCs w:val="0"/>
          <w:color w:val="000000" w:themeColor="text1"/>
          <w:lang w:val="es-CO"/>
        </w:rPr>
        <w:t>,</w:t>
      </w:r>
      <w:r w:rsidR="001B4D61" w:rsidRPr="003D20AA">
        <w:rPr>
          <w:rFonts w:cs="Arial"/>
          <w:b/>
          <w:bCs w:val="0"/>
          <w:color w:val="000000" w:themeColor="text1"/>
          <w:lang w:val="es-CO"/>
        </w:rPr>
        <w:t xml:space="preserve"> o de cero (0) en caso de </w:t>
      </w:r>
      <w:r w:rsidRPr="003D20AA">
        <w:rPr>
          <w:rFonts w:cs="Arial"/>
          <w:color w:val="000000" w:themeColor="text1"/>
        </w:rPr>
        <w:t xml:space="preserve">no </w:t>
      </w:r>
      <w:r w:rsidR="006E338D" w:rsidRPr="003D20AA">
        <w:rPr>
          <w:rFonts w:cs="Arial"/>
          <w:color w:val="000000" w:themeColor="text1"/>
        </w:rPr>
        <w:t>haber logrado el</w:t>
      </w:r>
      <w:r w:rsidRPr="003D20AA">
        <w:rPr>
          <w:rFonts w:cs="Arial"/>
          <w:color w:val="000000" w:themeColor="text1"/>
        </w:rPr>
        <w:t xml:space="preserve"> acuerdo entre las partes. </w:t>
      </w:r>
    </w:p>
    <w:p w14:paraId="3A6A4E89" w14:textId="1B53C1CD" w:rsidR="00A028EC" w:rsidRPr="003D20AA" w:rsidRDefault="00A028EC" w:rsidP="002D5416">
      <w:pPr>
        <w:pStyle w:val="ARTICULOS"/>
        <w:numPr>
          <w:ilvl w:val="0"/>
          <w:numId w:val="0"/>
        </w:numPr>
        <w:rPr>
          <w:rFonts w:cs="Arial"/>
          <w:color w:val="000000" w:themeColor="text1"/>
        </w:rPr>
      </w:pPr>
    </w:p>
    <w:p w14:paraId="254F4713" w14:textId="1E3F03B6" w:rsidR="00FD165F" w:rsidRPr="003D20AA" w:rsidRDefault="00FD165F" w:rsidP="0050144D">
      <w:pPr>
        <w:pStyle w:val="ARTICULOS"/>
        <w:numPr>
          <w:ilvl w:val="0"/>
          <w:numId w:val="0"/>
        </w:numPr>
        <w:rPr>
          <w:b/>
          <w:szCs w:val="20"/>
        </w:rPr>
      </w:pPr>
      <w:r w:rsidRPr="003D20AA">
        <w:rPr>
          <w:b/>
          <w:szCs w:val="20"/>
        </w:rPr>
        <w:t xml:space="preserve">Parágrafo </w:t>
      </w:r>
      <w:r w:rsidR="0014210C" w:rsidRPr="003D20AA">
        <w:rPr>
          <w:b/>
          <w:szCs w:val="20"/>
        </w:rPr>
        <w:t>4.</w:t>
      </w:r>
      <w:r w:rsidRPr="003D20AA">
        <w:rPr>
          <w:b/>
          <w:szCs w:val="20"/>
        </w:rPr>
        <w:t xml:space="preserve"> Los contratos resultantes de negociación directa registrados en vigencia de la Resolución CREG 114 de 2017 y de la Resolución CREG 186 de 2020 podrán acogerse a lo establecido en el </w:t>
      </w:r>
      <w:r w:rsidR="0028659A" w:rsidRPr="003D20AA">
        <w:rPr>
          <w:b/>
          <w:szCs w:val="20"/>
        </w:rPr>
        <w:t xml:space="preserve">numeral 6 del </w:t>
      </w:r>
      <w:r w:rsidR="009C02E5">
        <w:rPr>
          <w:b/>
          <w:szCs w:val="20"/>
          <w:lang w:val="es-CO"/>
        </w:rPr>
        <w:t>a</w:t>
      </w:r>
      <w:r w:rsidR="0028659A" w:rsidRPr="003D20AA">
        <w:rPr>
          <w:b/>
          <w:szCs w:val="20"/>
        </w:rPr>
        <w:t>rtículo 2</w:t>
      </w:r>
      <w:r w:rsidR="002A11B2" w:rsidRPr="003D20AA">
        <w:rPr>
          <w:b/>
          <w:szCs w:val="20"/>
          <w:lang w:val="es-CO"/>
        </w:rPr>
        <w:t>4</w:t>
      </w:r>
      <w:r w:rsidR="0028659A" w:rsidRPr="003D20AA">
        <w:rPr>
          <w:b/>
          <w:szCs w:val="20"/>
        </w:rPr>
        <w:t xml:space="preserve"> de la presente resolución.</w:t>
      </w:r>
    </w:p>
    <w:p w14:paraId="1A1F6155" w14:textId="0F45FAD6" w:rsidR="006D7420" w:rsidRPr="003D20AA" w:rsidRDefault="006D7420" w:rsidP="0050144D">
      <w:pPr>
        <w:pStyle w:val="ARTICULOS"/>
        <w:numPr>
          <w:ilvl w:val="0"/>
          <w:numId w:val="0"/>
        </w:numPr>
        <w:rPr>
          <w:b/>
          <w:szCs w:val="20"/>
        </w:rPr>
      </w:pPr>
    </w:p>
    <w:p w14:paraId="0AB4A05D" w14:textId="21216F03" w:rsidR="006D7420" w:rsidRPr="003D20AA" w:rsidRDefault="006D7420" w:rsidP="0050144D">
      <w:pPr>
        <w:pStyle w:val="ARTICULOS"/>
        <w:numPr>
          <w:ilvl w:val="0"/>
          <w:numId w:val="0"/>
        </w:numPr>
        <w:rPr>
          <w:b/>
          <w:szCs w:val="20"/>
          <w:lang w:val="es-CO"/>
        </w:rPr>
      </w:pPr>
      <w:r w:rsidRPr="003D20AA">
        <w:rPr>
          <w:b/>
          <w:szCs w:val="20"/>
          <w:lang w:val="es-CO"/>
        </w:rPr>
        <w:t>Parágrafo 5.</w:t>
      </w:r>
      <w:r w:rsidR="003A3054" w:rsidRPr="003D20AA">
        <w:rPr>
          <w:b/>
          <w:szCs w:val="20"/>
          <w:lang w:val="es-CO"/>
        </w:rPr>
        <w:t xml:space="preserve"> Los precios de las cantidades asignadas mediante la subasta de gas natural </w:t>
      </w:r>
      <w:r w:rsidR="00B04003" w:rsidRPr="003D20AA">
        <w:rPr>
          <w:b/>
          <w:szCs w:val="20"/>
          <w:lang w:val="es-CO"/>
        </w:rPr>
        <w:t xml:space="preserve">reglamentada </w:t>
      </w:r>
      <w:r w:rsidR="003A3054" w:rsidRPr="003D20AA">
        <w:rPr>
          <w:b/>
          <w:szCs w:val="20"/>
          <w:lang w:val="es-CO"/>
        </w:rPr>
        <w:t xml:space="preserve">en el Anexo </w:t>
      </w:r>
      <w:r w:rsidR="005C0F94" w:rsidRPr="003D20AA">
        <w:rPr>
          <w:b/>
          <w:szCs w:val="20"/>
          <w:lang w:val="es-CO"/>
        </w:rPr>
        <w:t>7</w:t>
      </w:r>
      <w:r w:rsidR="003A3054" w:rsidRPr="003D20AA">
        <w:rPr>
          <w:b/>
          <w:szCs w:val="20"/>
          <w:lang w:val="es-CO"/>
        </w:rPr>
        <w:t xml:space="preserve"> de la presente resolución, </w:t>
      </w:r>
      <w:r w:rsidR="00943110" w:rsidRPr="003D20AA">
        <w:rPr>
          <w:b/>
          <w:szCs w:val="20"/>
          <w:lang w:val="es-CO"/>
        </w:rPr>
        <w:t>de los trimestres estándar que se</w:t>
      </w:r>
      <w:r w:rsidR="005C0F94" w:rsidRPr="003D20AA">
        <w:rPr>
          <w:b/>
          <w:szCs w:val="20"/>
          <w:lang w:val="es-CO"/>
        </w:rPr>
        <w:t>a</w:t>
      </w:r>
      <w:r w:rsidR="00943110" w:rsidRPr="003D20AA">
        <w:rPr>
          <w:b/>
          <w:szCs w:val="20"/>
          <w:lang w:val="es-CO"/>
        </w:rPr>
        <w:t xml:space="preserve">n posteriores al cuarto trimestre estándar siguiente al trimestre estándar de negociación, </w:t>
      </w:r>
      <w:r w:rsidR="003A3054" w:rsidRPr="003D20AA">
        <w:rPr>
          <w:b/>
          <w:szCs w:val="20"/>
          <w:lang w:val="es-CO"/>
        </w:rPr>
        <w:t>se actualizarán con base en la ecuaci</w:t>
      </w:r>
      <w:r w:rsidR="005C0F94" w:rsidRPr="003D20AA">
        <w:rPr>
          <w:b/>
          <w:szCs w:val="20"/>
          <w:lang w:val="es-CO"/>
        </w:rPr>
        <w:t>ón</w:t>
      </w:r>
      <w:r w:rsidR="003A3054" w:rsidRPr="003D20AA">
        <w:rPr>
          <w:b/>
          <w:szCs w:val="20"/>
          <w:lang w:val="es-CO"/>
        </w:rPr>
        <w:t xml:space="preserve"> definida en el Anexo 3 de la presente Resolución, con un factor de beta (β) igual a cero (0). </w:t>
      </w:r>
    </w:p>
    <w:p w14:paraId="2F675CCB" w14:textId="77777777" w:rsidR="00FD165F" w:rsidRPr="003D20AA" w:rsidRDefault="00FD165F" w:rsidP="0050144D">
      <w:pPr>
        <w:pStyle w:val="ARTICULOS"/>
        <w:numPr>
          <w:ilvl w:val="0"/>
          <w:numId w:val="0"/>
        </w:numPr>
        <w:rPr>
          <w:b/>
          <w:szCs w:val="20"/>
        </w:rPr>
      </w:pPr>
    </w:p>
    <w:p w14:paraId="37EA237D" w14:textId="4FE6500E" w:rsidR="00A028EC" w:rsidRPr="003D20AA" w:rsidRDefault="00A028EC" w:rsidP="0050144D">
      <w:pPr>
        <w:pStyle w:val="ARTICULOS"/>
        <w:numPr>
          <w:ilvl w:val="0"/>
          <w:numId w:val="0"/>
        </w:numPr>
        <w:rPr>
          <w:b/>
          <w:color w:val="000000" w:themeColor="text1"/>
        </w:rPr>
      </w:pPr>
      <w:r w:rsidRPr="003D20AA">
        <w:rPr>
          <w:b/>
          <w:szCs w:val="20"/>
        </w:rPr>
        <w:t xml:space="preserve">Parágrafo </w:t>
      </w:r>
      <w:r w:rsidR="006D7420" w:rsidRPr="003D20AA">
        <w:rPr>
          <w:b/>
          <w:szCs w:val="20"/>
          <w:lang w:val="es-CO"/>
        </w:rPr>
        <w:t>6</w:t>
      </w:r>
      <w:r w:rsidRPr="003D20AA">
        <w:rPr>
          <w:b/>
          <w:szCs w:val="20"/>
        </w:rPr>
        <w:t xml:space="preserve">. </w:t>
      </w:r>
      <w:r w:rsidRPr="003D20AA">
        <w:rPr>
          <w:b/>
          <w:color w:val="000000" w:themeColor="text1"/>
        </w:rPr>
        <w:t xml:space="preserve">En </w:t>
      </w:r>
      <w:r w:rsidR="00911619" w:rsidRPr="003D20AA">
        <w:rPr>
          <w:b/>
          <w:color w:val="000000" w:themeColor="text1"/>
        </w:rPr>
        <w:t>r</w:t>
      </w:r>
      <w:r w:rsidRPr="003D20AA">
        <w:rPr>
          <w:b/>
          <w:color w:val="000000" w:themeColor="text1"/>
        </w:rPr>
        <w:t xml:space="preserve">esolución aparte la CREG definirá a los comercializadores que atienden la demanda regulada, las condiciones de traslado de los costos incurridos en la contratación del suministro de gas, derivados de los precios </w:t>
      </w:r>
      <w:r w:rsidRPr="003D20AA">
        <w:rPr>
          <w:b/>
          <w:color w:val="000000" w:themeColor="text1"/>
        </w:rPr>
        <w:lastRenderedPageBreak/>
        <w:t>pactados y/o de la</w:t>
      </w:r>
      <w:r w:rsidR="00C7327E" w:rsidRPr="003D20AA">
        <w:rPr>
          <w:b/>
          <w:color w:val="000000" w:themeColor="text1"/>
        </w:rPr>
        <w:t xml:space="preserve"> forma</w:t>
      </w:r>
      <w:r w:rsidRPr="003D20AA">
        <w:rPr>
          <w:b/>
          <w:color w:val="000000" w:themeColor="text1"/>
        </w:rPr>
        <w:t xml:space="preserve"> de actualización de los precios pactados en los contratos registrados ante el Gestor del Mercado.</w:t>
      </w:r>
    </w:p>
    <w:p w14:paraId="13AA4CF8" w14:textId="58EA9709" w:rsidR="005D0C90" w:rsidRPr="003D20AA" w:rsidRDefault="005D0C90" w:rsidP="0050144D">
      <w:pPr>
        <w:pStyle w:val="ARTICULOS"/>
        <w:numPr>
          <w:ilvl w:val="0"/>
          <w:numId w:val="0"/>
        </w:numPr>
        <w:rPr>
          <w:b/>
          <w:color w:val="000000" w:themeColor="text1"/>
        </w:rPr>
      </w:pPr>
    </w:p>
    <w:p w14:paraId="3AB1269C" w14:textId="10F05C3A" w:rsidR="005D0C90" w:rsidRPr="003D20AA" w:rsidRDefault="005D0C90" w:rsidP="0050144D">
      <w:pPr>
        <w:pStyle w:val="ARTICULOS"/>
        <w:numPr>
          <w:ilvl w:val="0"/>
          <w:numId w:val="0"/>
        </w:numPr>
        <w:rPr>
          <w:b/>
          <w:color w:val="000000" w:themeColor="text1"/>
          <w:lang w:val="es-CO"/>
        </w:rPr>
      </w:pPr>
      <w:r w:rsidRPr="003D20AA">
        <w:rPr>
          <w:b/>
          <w:color w:val="000000" w:themeColor="text1"/>
          <w:lang w:val="es-CO"/>
        </w:rPr>
        <w:t xml:space="preserve">Parágrafo </w:t>
      </w:r>
      <w:r w:rsidR="006D7420" w:rsidRPr="003D20AA">
        <w:rPr>
          <w:b/>
          <w:color w:val="000000" w:themeColor="text1"/>
          <w:lang w:val="es-CO"/>
        </w:rPr>
        <w:t>7</w:t>
      </w:r>
      <w:r w:rsidRPr="003D20AA">
        <w:rPr>
          <w:b/>
          <w:color w:val="000000" w:themeColor="text1"/>
          <w:lang w:val="es-CO"/>
        </w:rPr>
        <w:t xml:space="preserve">. Cada vez que se produzca una actualización de precios del contrato de suministro, se deberá informar </w:t>
      </w:r>
      <w:r w:rsidR="003B17F6" w:rsidRPr="003D20AA">
        <w:rPr>
          <w:b/>
          <w:color w:val="000000" w:themeColor="text1"/>
          <w:lang w:val="es-CO"/>
        </w:rPr>
        <w:t xml:space="preserve">el gestor del mercado </w:t>
      </w:r>
      <w:r w:rsidRPr="003D20AA">
        <w:rPr>
          <w:b/>
          <w:color w:val="000000" w:themeColor="text1"/>
          <w:lang w:val="es-CO"/>
        </w:rPr>
        <w:t>el nuevo precio actualizado a aplicar en dicho contrato.</w:t>
      </w:r>
    </w:p>
    <w:p w14:paraId="28C48505" w14:textId="63B7F7FB" w:rsidR="0006302B" w:rsidRPr="003D20AA" w:rsidRDefault="0006302B" w:rsidP="0006302B">
      <w:pPr>
        <w:pStyle w:val="Prrafodelista"/>
        <w:ind w:left="0"/>
        <w:jc w:val="both"/>
        <w:rPr>
          <w:rFonts w:ascii="Bookman Old Style" w:hAnsi="Bookman Old Style" w:cs="Arial"/>
          <w:bCs/>
          <w:color w:val="000000" w:themeColor="text1"/>
          <w:sz w:val="24"/>
          <w:szCs w:val="24"/>
        </w:rPr>
      </w:pPr>
    </w:p>
    <w:p w14:paraId="23B13565" w14:textId="77777777" w:rsidR="000409B2" w:rsidRPr="0013707D" w:rsidRDefault="000409B2" w:rsidP="0006302B">
      <w:pPr>
        <w:pStyle w:val="Prrafodelista"/>
        <w:ind w:left="0"/>
        <w:jc w:val="both"/>
        <w:rPr>
          <w:rFonts w:ascii="Bookman Old Style" w:hAnsi="Bookman Old Style" w:cs="Arial"/>
          <w:bCs/>
          <w:color w:val="000000" w:themeColor="text1"/>
          <w:sz w:val="24"/>
          <w:szCs w:val="24"/>
        </w:rPr>
      </w:pPr>
    </w:p>
    <w:p w14:paraId="5E000039" w14:textId="77777777" w:rsidR="0006302B" w:rsidRDefault="0006302B" w:rsidP="0006302B">
      <w:pPr>
        <w:pStyle w:val="Prrafodelista"/>
        <w:ind w:left="0"/>
        <w:jc w:val="both"/>
        <w:rPr>
          <w:rFonts w:ascii="Bookman Old Style" w:hAnsi="Bookman Old Style" w:cs="Arial"/>
          <w:color w:val="000000" w:themeColor="text1"/>
          <w:sz w:val="14"/>
          <w:szCs w:val="24"/>
        </w:rPr>
      </w:pPr>
    </w:p>
    <w:p w14:paraId="41156DFD" w14:textId="77777777" w:rsidR="0006302B" w:rsidRDefault="0006302B" w:rsidP="0006302B">
      <w:pPr>
        <w:keepNext/>
        <w:ind w:left="0"/>
        <w:jc w:val="center"/>
        <w:rPr>
          <w:rFonts w:ascii="Bookman Old Style" w:hAnsi="Bookman Old Style" w:cs="Arial"/>
          <w:color w:val="000000" w:themeColor="text1"/>
          <w:sz w:val="14"/>
        </w:rPr>
      </w:pPr>
      <w:r w:rsidRPr="0013707D">
        <w:rPr>
          <w:rFonts w:ascii="Bookman Old Style" w:hAnsi="Bookman Old Style" w:cs="Arial"/>
          <w:b/>
          <w:bCs/>
          <w:color w:val="000000" w:themeColor="text1"/>
          <w:lang w:val="es-CO"/>
        </w:rPr>
        <w:t>Capítulo II</w:t>
      </w:r>
      <w:r>
        <w:rPr>
          <w:rFonts w:ascii="Bookman Old Style" w:hAnsi="Bookman Old Style" w:cs="Arial"/>
          <w:b/>
          <w:bCs/>
          <w:color w:val="000000" w:themeColor="text1"/>
          <w:lang w:val="es-CO"/>
        </w:rPr>
        <w:t>I</w:t>
      </w:r>
    </w:p>
    <w:p w14:paraId="6E29503C"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Participantes en el mercado primario</w:t>
      </w:r>
    </w:p>
    <w:p w14:paraId="41F7F905" w14:textId="77777777" w:rsidR="0006302B" w:rsidRPr="0013707D" w:rsidRDefault="0006302B" w:rsidP="0006302B">
      <w:pPr>
        <w:pStyle w:val="Prrafodelista"/>
        <w:keepNext/>
        <w:ind w:left="0"/>
        <w:rPr>
          <w:rFonts w:ascii="Bookman Old Style" w:hAnsi="Bookman Old Style" w:cs="Arial"/>
          <w:color w:val="000000" w:themeColor="text1"/>
          <w:sz w:val="24"/>
          <w:szCs w:val="24"/>
        </w:rPr>
      </w:pPr>
    </w:p>
    <w:p w14:paraId="61190BF5" w14:textId="7B2581EB" w:rsidR="0006302B" w:rsidRPr="0013707D" w:rsidRDefault="0006302B" w:rsidP="0006302B">
      <w:pPr>
        <w:pStyle w:val="ARTICULOS"/>
        <w:tabs>
          <w:tab w:val="clear" w:pos="1559"/>
          <w:tab w:val="left" w:pos="1560"/>
        </w:tabs>
        <w:outlineLvl w:val="0"/>
        <w:rPr>
          <w:rFonts w:cs="Arial"/>
          <w:color w:val="000000" w:themeColor="text1"/>
          <w:lang w:val="es-CO"/>
        </w:rPr>
      </w:pPr>
      <w:bookmarkStart w:id="45" w:name="_Ref330921456"/>
      <w:r w:rsidRPr="00DC147B">
        <w:rPr>
          <w:rFonts w:cs="Arial"/>
          <w:b/>
          <w:color w:val="000000" w:themeColor="text1"/>
          <w:lang w:val="es-CO"/>
        </w:rPr>
        <w:t>Vendedores de gas natural</w:t>
      </w:r>
      <w:r>
        <w:rPr>
          <w:rFonts w:cs="Arial"/>
          <w:b/>
          <w:color w:val="000000" w:themeColor="text1"/>
          <w:lang w:val="es-CO"/>
        </w:rPr>
        <w:t xml:space="preserve"> en el Mercado Primario.</w:t>
      </w:r>
      <w:r w:rsidRPr="0013707D">
        <w:rPr>
          <w:rFonts w:cs="Arial"/>
          <w:color w:val="000000" w:themeColor="text1"/>
          <w:lang w:val="es-CO"/>
        </w:rPr>
        <w:t xml:space="preserve"> Los </w:t>
      </w:r>
      <w:r>
        <w:rPr>
          <w:rFonts w:cs="Arial"/>
          <w:color w:val="000000" w:themeColor="text1"/>
          <w:lang w:val="es-CO"/>
        </w:rPr>
        <w:t>P</w:t>
      </w:r>
      <w:r w:rsidRPr="0013707D">
        <w:rPr>
          <w:rFonts w:cs="Arial"/>
          <w:color w:val="000000" w:themeColor="text1"/>
          <w:lang w:val="es-CO"/>
        </w:rPr>
        <w:t xml:space="preserve">roductores-comercializadores y los </w:t>
      </w:r>
      <w:r>
        <w:rPr>
          <w:rFonts w:cs="Arial"/>
          <w:color w:val="000000" w:themeColor="text1"/>
          <w:lang w:val="es-CO"/>
        </w:rPr>
        <w:t>C</w:t>
      </w:r>
      <w:r w:rsidRPr="0013707D">
        <w:rPr>
          <w:rFonts w:cs="Arial"/>
          <w:color w:val="000000" w:themeColor="text1"/>
          <w:lang w:val="es-CO"/>
        </w:rPr>
        <w:t xml:space="preserve">omercializadores de gas importado son los únicos </w:t>
      </w:r>
      <w:r>
        <w:rPr>
          <w:rFonts w:cs="Arial"/>
          <w:color w:val="000000" w:themeColor="text1"/>
          <w:lang w:val="es-CO"/>
        </w:rPr>
        <w:t>P</w:t>
      </w:r>
      <w:r w:rsidRPr="0013707D">
        <w:rPr>
          <w:rFonts w:cs="Arial"/>
          <w:color w:val="000000" w:themeColor="text1"/>
          <w:lang w:val="es-CO"/>
        </w:rPr>
        <w:t xml:space="preserve">articipantes del </w:t>
      </w:r>
      <w:r>
        <w:rPr>
          <w:rFonts w:cs="Arial"/>
          <w:color w:val="000000" w:themeColor="text1"/>
          <w:lang w:val="es-CO"/>
        </w:rPr>
        <w:t>M</w:t>
      </w:r>
      <w:r w:rsidRPr="0013707D">
        <w:rPr>
          <w:rFonts w:cs="Arial"/>
          <w:color w:val="000000" w:themeColor="text1"/>
          <w:lang w:val="es-CO"/>
        </w:rPr>
        <w:t xml:space="preserve">ercado que podrán </w:t>
      </w:r>
      <w:r w:rsidRPr="00DC147B">
        <w:rPr>
          <w:rFonts w:cs="Arial"/>
          <w:color w:val="000000" w:themeColor="text1"/>
          <w:lang w:val="es-CO"/>
        </w:rPr>
        <w:t>vender</w:t>
      </w:r>
      <w:r w:rsidRPr="0013707D">
        <w:rPr>
          <w:rFonts w:cs="Arial"/>
          <w:color w:val="000000" w:themeColor="text1"/>
          <w:lang w:val="es-CO"/>
        </w:rPr>
        <w:t xml:space="preserve"> gas natural en el mercado primario. Para la negociación de los respectivos contratos de suministro de gas natural</w:t>
      </w:r>
      <w:r w:rsidR="00664478">
        <w:rPr>
          <w:rFonts w:cs="Arial"/>
          <w:color w:val="000000" w:themeColor="text1"/>
          <w:lang w:val="es-CO"/>
        </w:rPr>
        <w:t>,</w:t>
      </w:r>
      <w:r w:rsidRPr="0013707D">
        <w:rPr>
          <w:rFonts w:cs="Arial"/>
          <w:color w:val="000000" w:themeColor="text1"/>
          <w:lang w:val="es-CO"/>
        </w:rPr>
        <w:t xml:space="preserve"> estos participantes del mercado deberán </w:t>
      </w:r>
      <w:r w:rsidRPr="008A452D">
        <w:rPr>
          <w:rFonts w:cs="Arial"/>
          <w:color w:val="000000" w:themeColor="text1"/>
          <w:lang w:val="es-CO"/>
        </w:rPr>
        <w:t xml:space="preserve">seguir los mecanismos y procedimientos establecidos en el </w:t>
      </w:r>
      <w:r w:rsidRPr="00D66B65">
        <w:rPr>
          <w:rFonts w:cs="Arial"/>
          <w:color w:val="000000" w:themeColor="text1"/>
          <w:lang w:val="es-CO"/>
        </w:rPr>
        <w:t>capítulo IV del título III</w:t>
      </w:r>
      <w:r w:rsidRPr="008A452D">
        <w:rPr>
          <w:rFonts w:cs="Arial"/>
          <w:color w:val="000000" w:themeColor="text1"/>
          <w:lang w:val="es-CO"/>
        </w:rPr>
        <w:t xml:space="preserve"> </w:t>
      </w:r>
      <w:r w:rsidR="00B3583F">
        <w:rPr>
          <w:rFonts w:cs="Arial"/>
          <w:color w:val="000000" w:themeColor="text1"/>
          <w:lang w:val="es-CO"/>
        </w:rPr>
        <w:t xml:space="preserve">de la presente resolución, </w:t>
      </w:r>
      <w:r w:rsidRPr="008A452D">
        <w:rPr>
          <w:rFonts w:cs="Arial"/>
          <w:color w:val="000000" w:themeColor="text1"/>
          <w:lang w:val="es-CO"/>
        </w:rPr>
        <w:t xml:space="preserve">y </w:t>
      </w:r>
      <w:r w:rsidRPr="00D66B65">
        <w:rPr>
          <w:rFonts w:cs="Arial"/>
          <w:color w:val="000000" w:themeColor="text1"/>
          <w:lang w:val="es-CO"/>
        </w:rPr>
        <w:t>en el título V</w:t>
      </w:r>
      <w:r w:rsidRPr="0013707D">
        <w:rPr>
          <w:rFonts w:cs="Arial"/>
          <w:color w:val="000000" w:themeColor="text1"/>
          <w:lang w:val="es-CO"/>
        </w:rPr>
        <w:t xml:space="preserve"> de la presente Resolución.</w:t>
      </w:r>
      <w:bookmarkEnd w:id="45"/>
    </w:p>
    <w:p w14:paraId="18EC995D" w14:textId="77777777" w:rsidR="0006302B" w:rsidRPr="0013707D" w:rsidRDefault="0006302B" w:rsidP="0006302B">
      <w:pPr>
        <w:pStyle w:val="ARTICULOS"/>
        <w:numPr>
          <w:ilvl w:val="0"/>
          <w:numId w:val="0"/>
        </w:numPr>
        <w:rPr>
          <w:rFonts w:cs="Arial"/>
          <w:b/>
          <w:color w:val="000000" w:themeColor="text1"/>
          <w:lang w:val="es-CO"/>
        </w:rPr>
      </w:pPr>
    </w:p>
    <w:p w14:paraId="47C432B7" w14:textId="77777777" w:rsidR="0006302B" w:rsidRDefault="0006302B" w:rsidP="0006302B">
      <w:pPr>
        <w:pStyle w:val="ARTICULOS"/>
        <w:numPr>
          <w:ilvl w:val="0"/>
          <w:numId w:val="0"/>
        </w:numPr>
        <w:rPr>
          <w:color w:val="000000" w:themeColor="text1"/>
          <w:lang w:val="es-CO"/>
        </w:rPr>
      </w:pPr>
      <w:r w:rsidRPr="0013707D">
        <w:rPr>
          <w:rFonts w:cs="Arial"/>
          <w:b/>
          <w:color w:val="000000" w:themeColor="text1"/>
          <w:lang w:val="es-CO"/>
        </w:rPr>
        <w:t>Parágrafo.</w:t>
      </w:r>
      <w:r w:rsidRPr="0013707D">
        <w:rPr>
          <w:rFonts w:cs="Arial"/>
          <w:color w:val="000000" w:themeColor="text1"/>
          <w:lang w:val="es-CO"/>
        </w:rPr>
        <w:t xml:space="preserve"> </w:t>
      </w:r>
      <w:r w:rsidRPr="0013707D">
        <w:rPr>
          <w:color w:val="000000" w:themeColor="text1"/>
          <w:lang w:val="es-CO"/>
        </w:rPr>
        <w:t xml:space="preserve">El comercializador del gas natural de propiedad del Estado y de las participaciones de la ANH sólo podrá </w:t>
      </w:r>
      <w:r w:rsidRPr="00DC147B">
        <w:rPr>
          <w:color w:val="000000" w:themeColor="text1"/>
          <w:lang w:val="es-CO"/>
        </w:rPr>
        <w:t>participar como vendedor</w:t>
      </w:r>
      <w:r w:rsidRPr="0013707D">
        <w:rPr>
          <w:color w:val="000000" w:themeColor="text1"/>
          <w:lang w:val="es-CO"/>
        </w:rPr>
        <w:t xml:space="preserve"> de gas natural en el mercado primario.</w:t>
      </w:r>
    </w:p>
    <w:p w14:paraId="4CDA7D95" w14:textId="77777777" w:rsidR="0006302B" w:rsidRDefault="0006302B" w:rsidP="0006302B">
      <w:pPr>
        <w:pStyle w:val="ARTICULOS"/>
        <w:numPr>
          <w:ilvl w:val="0"/>
          <w:numId w:val="0"/>
        </w:numPr>
        <w:rPr>
          <w:color w:val="000000" w:themeColor="text1"/>
          <w:lang w:val="es-CO"/>
        </w:rPr>
      </w:pPr>
    </w:p>
    <w:p w14:paraId="75109491" w14:textId="5E6E9E9A" w:rsidR="0006302B" w:rsidRPr="00F66001" w:rsidRDefault="0006302B" w:rsidP="0006302B">
      <w:pPr>
        <w:pStyle w:val="ARTICULOS"/>
        <w:tabs>
          <w:tab w:val="clear" w:pos="1559"/>
          <w:tab w:val="left" w:pos="1560"/>
        </w:tabs>
        <w:outlineLvl w:val="0"/>
        <w:rPr>
          <w:rFonts w:cs="Arial"/>
          <w:b/>
          <w:color w:val="000000" w:themeColor="text1"/>
          <w:lang w:val="es-CO"/>
        </w:rPr>
      </w:pPr>
      <w:bookmarkStart w:id="46" w:name="_Ref359853524"/>
      <w:r w:rsidRPr="00564350">
        <w:rPr>
          <w:rFonts w:cs="Arial"/>
          <w:b/>
          <w:color w:val="000000" w:themeColor="text1"/>
          <w:lang w:val="es-CO"/>
        </w:rPr>
        <w:t>Compradores de gas natural</w:t>
      </w:r>
      <w:r>
        <w:rPr>
          <w:rFonts w:cs="Arial"/>
          <w:b/>
          <w:color w:val="000000" w:themeColor="text1"/>
          <w:lang w:val="es-CO"/>
        </w:rPr>
        <w:t xml:space="preserve"> en el Mercado Primario</w:t>
      </w:r>
      <w:r w:rsidRPr="00564350">
        <w:rPr>
          <w:rFonts w:cs="Arial"/>
          <w:b/>
          <w:color w:val="000000" w:themeColor="text1"/>
          <w:lang w:val="es-CO"/>
        </w:rPr>
        <w:t>.</w:t>
      </w:r>
      <w:r w:rsidRPr="0013707D">
        <w:rPr>
          <w:rFonts w:cs="Arial"/>
          <w:b/>
          <w:color w:val="000000" w:themeColor="text1"/>
          <w:lang w:val="es-CO"/>
        </w:rPr>
        <w:t xml:space="preserve"> </w:t>
      </w:r>
      <w:r w:rsidRPr="0013707D">
        <w:rPr>
          <w:rFonts w:cs="Arial"/>
          <w:color w:val="000000" w:themeColor="text1"/>
          <w:lang w:val="es-CO"/>
        </w:rPr>
        <w:t xml:space="preserve">Los </w:t>
      </w:r>
      <w:r w:rsidRPr="00915787">
        <w:rPr>
          <w:rFonts w:cs="Arial"/>
          <w:b/>
          <w:bCs w:val="0"/>
          <w:color w:val="000000" w:themeColor="text1"/>
          <w:lang w:val="es-CO"/>
        </w:rPr>
        <w:t xml:space="preserve">comercializadores </w:t>
      </w:r>
      <w:r w:rsidRPr="0013707D">
        <w:rPr>
          <w:rFonts w:cs="Arial"/>
          <w:color w:val="000000" w:themeColor="text1"/>
          <w:lang w:val="es-CO"/>
        </w:rPr>
        <w:t>y los usuarios no regulados</w:t>
      </w:r>
      <w:r w:rsidR="000571F5">
        <w:rPr>
          <w:rFonts w:cs="Arial"/>
          <w:color w:val="000000" w:themeColor="text1"/>
          <w:lang w:val="es-CO"/>
        </w:rPr>
        <w:t>,</w:t>
      </w:r>
      <w:r w:rsidRPr="0013707D">
        <w:rPr>
          <w:rFonts w:cs="Arial"/>
          <w:color w:val="000000" w:themeColor="text1"/>
          <w:lang w:val="es-CO"/>
        </w:rPr>
        <w:t xml:space="preserve"> son los únicos </w:t>
      </w:r>
      <w:r w:rsidR="000571F5">
        <w:rPr>
          <w:rFonts w:cs="Arial"/>
          <w:color w:val="000000" w:themeColor="text1"/>
          <w:lang w:val="es-CO"/>
        </w:rPr>
        <w:t>p</w:t>
      </w:r>
      <w:r w:rsidRPr="0013707D">
        <w:rPr>
          <w:rFonts w:cs="Arial"/>
          <w:color w:val="000000" w:themeColor="text1"/>
          <w:lang w:val="es-CO"/>
        </w:rPr>
        <w:t>articipantes del mercado que podrán</w:t>
      </w:r>
      <w:r>
        <w:rPr>
          <w:rFonts w:cs="Arial"/>
          <w:color w:val="000000" w:themeColor="text1"/>
          <w:lang w:val="es-CO"/>
        </w:rPr>
        <w:t xml:space="preserve"> </w:t>
      </w:r>
      <w:r w:rsidRPr="00564350">
        <w:rPr>
          <w:rFonts w:cs="Arial"/>
          <w:color w:val="000000" w:themeColor="text1"/>
          <w:lang w:val="es-CO"/>
        </w:rPr>
        <w:t xml:space="preserve">comprar </w:t>
      </w:r>
      <w:r w:rsidRPr="0013707D">
        <w:rPr>
          <w:rFonts w:cs="Arial"/>
          <w:color w:val="000000" w:themeColor="text1"/>
          <w:lang w:val="es-CO"/>
        </w:rPr>
        <w:t>gas natural en el mercado primario. Para la negociación de los respectivos contratos de suministro de gas natural</w:t>
      </w:r>
      <w:r w:rsidR="00664478">
        <w:rPr>
          <w:rFonts w:cs="Arial"/>
          <w:color w:val="000000" w:themeColor="text1"/>
          <w:lang w:val="es-CO"/>
        </w:rPr>
        <w:t>,</w:t>
      </w:r>
      <w:r w:rsidRPr="0013707D">
        <w:rPr>
          <w:rFonts w:cs="Arial"/>
          <w:color w:val="000000" w:themeColor="text1"/>
          <w:lang w:val="es-CO"/>
        </w:rPr>
        <w:t xml:space="preserve"> estos </w:t>
      </w:r>
      <w:r>
        <w:rPr>
          <w:rFonts w:cs="Arial"/>
          <w:color w:val="000000" w:themeColor="text1"/>
          <w:lang w:val="es-CO"/>
        </w:rPr>
        <w:t>P</w:t>
      </w:r>
      <w:r w:rsidRPr="0013707D">
        <w:rPr>
          <w:rFonts w:cs="Arial"/>
          <w:color w:val="000000" w:themeColor="text1"/>
          <w:lang w:val="es-CO"/>
        </w:rPr>
        <w:t xml:space="preserve">articipantes del mercado deberán seguir los </w:t>
      </w:r>
      <w:r w:rsidRPr="00D63F9D">
        <w:rPr>
          <w:rFonts w:cs="Arial"/>
          <w:color w:val="000000" w:themeColor="text1"/>
          <w:lang w:val="es-CO"/>
        </w:rPr>
        <w:t xml:space="preserve">mecanismos y procedimientos </w:t>
      </w:r>
      <w:r w:rsidRPr="008A452D">
        <w:rPr>
          <w:rFonts w:cs="Arial"/>
          <w:color w:val="000000" w:themeColor="text1"/>
          <w:lang w:val="es-CO"/>
        </w:rPr>
        <w:t xml:space="preserve">establecidos en el </w:t>
      </w:r>
      <w:r w:rsidRPr="00D66B65">
        <w:rPr>
          <w:rFonts w:cs="Arial"/>
          <w:color w:val="000000" w:themeColor="text1"/>
          <w:lang w:val="es-CO"/>
        </w:rPr>
        <w:t>capítulo IV del título III de la presente Resolución</w:t>
      </w:r>
      <w:r w:rsidR="00664478">
        <w:rPr>
          <w:rFonts w:cs="Arial"/>
          <w:color w:val="000000" w:themeColor="text1"/>
          <w:lang w:val="es-CO"/>
        </w:rPr>
        <w:t>,</w:t>
      </w:r>
      <w:r w:rsidRPr="008A452D">
        <w:rPr>
          <w:rFonts w:cs="Arial"/>
          <w:color w:val="000000" w:themeColor="text1"/>
          <w:lang w:val="es-CO"/>
        </w:rPr>
        <w:t xml:space="preserve"> y </w:t>
      </w:r>
      <w:r w:rsidRPr="00D66B65">
        <w:rPr>
          <w:rFonts w:cs="Arial"/>
          <w:color w:val="000000" w:themeColor="text1"/>
          <w:lang w:val="es-CO"/>
        </w:rPr>
        <w:t>en el título V</w:t>
      </w:r>
      <w:r w:rsidRPr="0013707D">
        <w:rPr>
          <w:rFonts w:cs="Arial"/>
          <w:color w:val="000000" w:themeColor="text1"/>
          <w:lang w:val="es-CO"/>
        </w:rPr>
        <w:t xml:space="preserve"> de </w:t>
      </w:r>
      <w:r>
        <w:rPr>
          <w:rFonts w:cs="Arial"/>
          <w:color w:val="000000" w:themeColor="text1"/>
          <w:lang w:val="es-CO"/>
        </w:rPr>
        <w:t>la presente resolución</w:t>
      </w:r>
      <w:r w:rsidRPr="0013707D">
        <w:rPr>
          <w:rFonts w:cs="Arial"/>
          <w:color w:val="000000" w:themeColor="text1"/>
          <w:lang w:val="es-CO"/>
        </w:rPr>
        <w:t>.</w:t>
      </w:r>
      <w:bookmarkEnd w:id="46"/>
    </w:p>
    <w:p w14:paraId="18207DE8" w14:textId="77777777" w:rsidR="0006302B" w:rsidRDefault="0006302B" w:rsidP="0006302B">
      <w:pPr>
        <w:pStyle w:val="Prrafodelista"/>
        <w:ind w:left="0"/>
        <w:jc w:val="both"/>
        <w:rPr>
          <w:rFonts w:ascii="Bookman Old Style" w:hAnsi="Bookman Old Style" w:cs="Arial"/>
          <w:color w:val="000000" w:themeColor="text1"/>
          <w:sz w:val="14"/>
          <w:szCs w:val="24"/>
        </w:rPr>
      </w:pPr>
    </w:p>
    <w:p w14:paraId="318AF13E" w14:textId="77777777" w:rsidR="0006302B" w:rsidRPr="0013707D" w:rsidRDefault="0006302B" w:rsidP="0006302B">
      <w:pPr>
        <w:pStyle w:val="Prrafodelista"/>
        <w:ind w:left="0"/>
        <w:jc w:val="both"/>
        <w:rPr>
          <w:rFonts w:ascii="Bookman Old Style" w:hAnsi="Bookman Old Style" w:cs="Arial"/>
          <w:color w:val="000000" w:themeColor="text1"/>
          <w:sz w:val="14"/>
          <w:szCs w:val="24"/>
        </w:rPr>
      </w:pPr>
    </w:p>
    <w:p w14:paraId="3A55A7B3"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Capítulo IV</w:t>
      </w:r>
    </w:p>
    <w:p w14:paraId="030F3F25"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Comercialización de gas natural</w:t>
      </w:r>
      <w:r>
        <w:rPr>
          <w:rFonts w:ascii="Bookman Old Style" w:hAnsi="Bookman Old Style" w:cs="Arial"/>
          <w:b/>
          <w:bCs/>
          <w:color w:val="000000" w:themeColor="text1"/>
          <w:lang w:val="es-CO"/>
        </w:rPr>
        <w:t xml:space="preserve"> en el Mercado Primario</w:t>
      </w:r>
    </w:p>
    <w:p w14:paraId="7AF61BFF" w14:textId="77777777" w:rsidR="0006302B" w:rsidRPr="00D81030" w:rsidRDefault="0006302B" w:rsidP="0006302B">
      <w:pPr>
        <w:pStyle w:val="ARTICULOS"/>
        <w:numPr>
          <w:ilvl w:val="0"/>
          <w:numId w:val="0"/>
        </w:numPr>
        <w:rPr>
          <w:rFonts w:cs="Arial"/>
          <w:color w:val="000000" w:themeColor="text1"/>
          <w:lang w:val="es-CO"/>
        </w:rPr>
      </w:pPr>
    </w:p>
    <w:p w14:paraId="4E9CF043" w14:textId="1EC18639" w:rsidR="0006302B" w:rsidRPr="00D81030" w:rsidRDefault="0006302B" w:rsidP="0006302B">
      <w:pPr>
        <w:pStyle w:val="ARTICULOS"/>
        <w:tabs>
          <w:tab w:val="left" w:pos="1701"/>
        </w:tabs>
        <w:outlineLvl w:val="0"/>
        <w:rPr>
          <w:b/>
          <w:bCs w:val="0"/>
          <w:color w:val="000000" w:themeColor="text1"/>
          <w:lang w:val="es-CO"/>
        </w:rPr>
      </w:pPr>
      <w:bookmarkStart w:id="47" w:name="_Ref355962425"/>
      <w:bookmarkStart w:id="48" w:name="_Ref329356848"/>
      <w:r w:rsidRPr="00D81030">
        <w:rPr>
          <w:rFonts w:cs="Arial"/>
          <w:b/>
          <w:color w:val="000000" w:themeColor="text1"/>
          <w:lang w:val="es-CO"/>
        </w:rPr>
        <w:t>Mecanismos de comercialización.</w:t>
      </w:r>
      <w:r w:rsidRPr="00D81030">
        <w:rPr>
          <w:rFonts w:cs="Arial"/>
          <w:color w:val="000000" w:themeColor="text1"/>
          <w:lang w:val="es-CO"/>
        </w:rPr>
        <w:t xml:space="preserve"> Con excepción del gas natural que se comercialice mediante la modalidad </w:t>
      </w:r>
      <w:bookmarkStart w:id="49" w:name="_Hlk87531728"/>
      <w:r w:rsidRPr="00D81030">
        <w:rPr>
          <w:rFonts w:cs="Arial"/>
          <w:color w:val="000000" w:themeColor="text1"/>
          <w:lang w:val="es-CO"/>
        </w:rPr>
        <w:t>de contratos con interrupciones</w:t>
      </w:r>
      <w:bookmarkEnd w:id="49"/>
      <w:r w:rsidRPr="00D81030">
        <w:rPr>
          <w:rFonts w:cs="Arial"/>
          <w:color w:val="000000" w:themeColor="text1"/>
          <w:lang w:val="es-CO"/>
        </w:rPr>
        <w:t xml:space="preserve">, </w:t>
      </w:r>
      <w:r w:rsidRPr="00D81030">
        <w:rPr>
          <w:color w:val="000000" w:themeColor="text1"/>
          <w:lang w:val="es-CO"/>
        </w:rPr>
        <w:t xml:space="preserve">en el mercado primario sólo se podrán utilizar los mecanismos de comercialización señalados en los artículos 19 y </w:t>
      </w:r>
      <w:r w:rsidR="00D00737" w:rsidRPr="00D81030">
        <w:rPr>
          <w:b/>
          <w:bCs w:val="0"/>
          <w:color w:val="000000" w:themeColor="text1"/>
          <w:lang w:val="es-CO"/>
        </w:rPr>
        <w:t>22</w:t>
      </w:r>
      <w:r w:rsidRPr="00D81030">
        <w:rPr>
          <w:color w:val="000000" w:themeColor="text1"/>
          <w:lang w:val="es-CO"/>
        </w:rPr>
        <w:t xml:space="preserve"> de esta Resolución.</w:t>
      </w:r>
      <w:bookmarkEnd w:id="47"/>
      <w:r w:rsidR="00FE2157" w:rsidRPr="00D81030">
        <w:rPr>
          <w:color w:val="000000" w:themeColor="text1"/>
          <w:lang w:val="es-CO"/>
        </w:rPr>
        <w:t xml:space="preserve"> </w:t>
      </w:r>
      <w:r w:rsidR="00FE2157" w:rsidRPr="00D81030">
        <w:rPr>
          <w:b/>
          <w:bCs w:val="0"/>
          <w:color w:val="000000" w:themeColor="text1"/>
          <w:lang w:val="es-CO"/>
        </w:rPr>
        <w:t>En ambos casos</w:t>
      </w:r>
      <w:r w:rsidR="00BB229E" w:rsidRPr="00D81030">
        <w:rPr>
          <w:b/>
          <w:bCs w:val="0"/>
          <w:color w:val="000000" w:themeColor="text1"/>
          <w:lang w:val="es-CO"/>
        </w:rPr>
        <w:t>,</w:t>
      </w:r>
      <w:r w:rsidR="00FE2157" w:rsidRPr="00D81030">
        <w:rPr>
          <w:b/>
          <w:bCs w:val="0"/>
          <w:color w:val="000000" w:themeColor="text1"/>
          <w:lang w:val="es-CO"/>
        </w:rPr>
        <w:t xml:space="preserve"> </w:t>
      </w:r>
      <w:r w:rsidR="00BB229E" w:rsidRPr="00D81030">
        <w:rPr>
          <w:b/>
          <w:bCs w:val="0"/>
          <w:color w:val="000000" w:themeColor="text1"/>
          <w:lang w:val="es-CO"/>
        </w:rPr>
        <w:t>en que se aplique</w:t>
      </w:r>
      <w:r w:rsidR="00FE2157" w:rsidRPr="00D81030">
        <w:rPr>
          <w:b/>
          <w:bCs w:val="0"/>
          <w:color w:val="000000" w:themeColor="text1"/>
          <w:lang w:val="es-CO"/>
        </w:rPr>
        <w:t xml:space="preserve"> la negociación directa</w:t>
      </w:r>
      <w:r w:rsidR="00BB229E" w:rsidRPr="00D81030">
        <w:rPr>
          <w:b/>
          <w:bCs w:val="0"/>
          <w:color w:val="000000" w:themeColor="text1"/>
          <w:lang w:val="es-CO"/>
        </w:rPr>
        <w:t>,</w:t>
      </w:r>
      <w:r w:rsidR="00FE2157" w:rsidRPr="00D81030">
        <w:rPr>
          <w:b/>
          <w:bCs w:val="0"/>
          <w:color w:val="000000" w:themeColor="text1"/>
          <w:lang w:val="es-CO"/>
        </w:rPr>
        <w:t xml:space="preserve"> se podrán utilizar mecanismos de concurrencia de interesados establecidos por los vendedores así como las negociaciones bilaterales o cualquier otra forma </w:t>
      </w:r>
      <w:r w:rsidR="00BB229E" w:rsidRPr="00D81030">
        <w:rPr>
          <w:b/>
          <w:bCs w:val="0"/>
          <w:color w:val="000000" w:themeColor="text1"/>
          <w:lang w:val="es-CO"/>
        </w:rPr>
        <w:t xml:space="preserve">que lleve a los vendedores a </w:t>
      </w:r>
      <w:r w:rsidR="00FE2157" w:rsidRPr="00D81030">
        <w:rPr>
          <w:b/>
          <w:bCs w:val="0"/>
          <w:color w:val="000000" w:themeColor="text1"/>
          <w:lang w:val="es-CO"/>
        </w:rPr>
        <w:t xml:space="preserve">determinar las cantidades, los precios y los compradores del suministro de gas en el Mercado Primario. </w:t>
      </w:r>
    </w:p>
    <w:bookmarkEnd w:id="48"/>
    <w:p w14:paraId="75BA1706" w14:textId="77777777" w:rsidR="0006302B" w:rsidRPr="00D81030" w:rsidRDefault="0006302B" w:rsidP="0006302B">
      <w:pPr>
        <w:pStyle w:val="ARTICULOS"/>
        <w:numPr>
          <w:ilvl w:val="0"/>
          <w:numId w:val="0"/>
        </w:numPr>
        <w:rPr>
          <w:rFonts w:cs="Arial"/>
          <w:color w:val="000000" w:themeColor="text1"/>
          <w:lang w:val="es-CO"/>
        </w:rPr>
      </w:pPr>
    </w:p>
    <w:p w14:paraId="7F123577" w14:textId="4259DBB2" w:rsidR="0006302B" w:rsidRPr="00D81030" w:rsidRDefault="0006302B" w:rsidP="0006302B">
      <w:pPr>
        <w:pStyle w:val="ARTICULOS"/>
        <w:tabs>
          <w:tab w:val="left" w:pos="1701"/>
        </w:tabs>
        <w:outlineLvl w:val="0"/>
        <w:rPr>
          <w:rFonts w:cs="Arial"/>
          <w:b/>
          <w:color w:val="000000" w:themeColor="text1"/>
          <w:lang w:val="es-CO"/>
        </w:rPr>
      </w:pPr>
      <w:bookmarkStart w:id="50" w:name="_Ref334173778"/>
      <w:bookmarkStart w:id="51" w:name="_Ref330042664"/>
      <w:bookmarkStart w:id="52" w:name="_Ref327342875"/>
      <w:bookmarkStart w:id="53" w:name="_Ref329186277"/>
      <w:r w:rsidRPr="00D81030">
        <w:rPr>
          <w:rFonts w:cs="Arial"/>
          <w:b/>
          <w:bCs w:val="0"/>
          <w:color w:val="000000" w:themeColor="text1"/>
          <w:lang w:val="es-CO"/>
        </w:rPr>
        <w:t>Negociación directa en cualquier momento del año.</w:t>
      </w:r>
      <w:r w:rsidRPr="00D81030">
        <w:rPr>
          <w:rFonts w:cs="Arial"/>
          <w:bCs w:val="0"/>
          <w:color w:val="000000" w:themeColor="text1"/>
          <w:lang w:val="es-CO"/>
        </w:rPr>
        <w:t xml:space="preserve"> Los vendedores y los compradores a los que se hace referencia en los </w:t>
      </w:r>
      <w:r w:rsidR="00FC5239">
        <w:rPr>
          <w:rFonts w:cs="Arial"/>
          <w:bCs w:val="0"/>
          <w:color w:val="000000" w:themeColor="text1"/>
          <w:lang w:val="es-CO"/>
        </w:rPr>
        <w:t>a</w:t>
      </w:r>
      <w:r w:rsidRPr="00D81030">
        <w:rPr>
          <w:rFonts w:cs="Arial"/>
          <w:bCs w:val="0"/>
          <w:color w:val="000000" w:themeColor="text1"/>
          <w:lang w:val="es-CO"/>
        </w:rPr>
        <w:t xml:space="preserve">rtículos 16 y 17 de esta </w:t>
      </w:r>
      <w:r w:rsidRPr="00D81030">
        <w:rPr>
          <w:rFonts w:cs="Arial"/>
          <w:color w:val="000000" w:themeColor="text1"/>
          <w:lang w:val="es-CO"/>
        </w:rPr>
        <w:t>Resolución</w:t>
      </w:r>
      <w:r w:rsidR="00B3583F" w:rsidRPr="00D81030">
        <w:rPr>
          <w:rFonts w:cs="Arial"/>
          <w:color w:val="000000" w:themeColor="text1"/>
          <w:lang w:val="es-CO"/>
        </w:rPr>
        <w:t>,</w:t>
      </w:r>
      <w:r w:rsidRPr="00D81030">
        <w:rPr>
          <w:rFonts w:cs="Arial"/>
          <w:bCs w:val="0"/>
          <w:color w:val="000000" w:themeColor="text1"/>
          <w:lang w:val="es-CO"/>
        </w:rPr>
        <w:t xml:space="preserve"> podrán </w:t>
      </w:r>
      <w:r w:rsidRPr="00D81030">
        <w:rPr>
          <w:rFonts w:cs="Arial"/>
          <w:b/>
          <w:color w:val="000000" w:themeColor="text1"/>
          <w:lang w:val="es-CO"/>
        </w:rPr>
        <w:t>pactar</w:t>
      </w:r>
      <w:r w:rsidRPr="00D81030">
        <w:rPr>
          <w:rFonts w:cs="Arial"/>
          <w:bCs w:val="0"/>
          <w:color w:val="000000" w:themeColor="text1"/>
          <w:lang w:val="es-CO"/>
        </w:rPr>
        <w:t xml:space="preserve"> directamente el suministro de gas natural </w:t>
      </w:r>
      <w:r w:rsidRPr="00D81030">
        <w:rPr>
          <w:rFonts w:cs="Arial"/>
          <w:b/>
          <w:color w:val="000000" w:themeColor="text1"/>
          <w:lang w:val="es-CO"/>
        </w:rPr>
        <w:t>y registrar el contrato resultante</w:t>
      </w:r>
      <w:r w:rsidRPr="00D81030">
        <w:rPr>
          <w:rFonts w:cs="Arial"/>
          <w:bCs w:val="0"/>
          <w:color w:val="000000" w:themeColor="text1"/>
          <w:lang w:val="es-CO"/>
        </w:rPr>
        <w:t xml:space="preserve"> en cualquier momento del año, en los casos señalados a continuación</w:t>
      </w:r>
      <w:r w:rsidRPr="00D81030">
        <w:rPr>
          <w:rFonts w:cs="Arial"/>
          <w:b/>
          <w:color w:val="000000" w:themeColor="text1"/>
          <w:lang w:val="es-CO"/>
        </w:rPr>
        <w:t xml:space="preserve">, siempre y cuando: i.) </w:t>
      </w:r>
      <w:r w:rsidR="006E108D" w:rsidRPr="00D81030">
        <w:rPr>
          <w:rFonts w:cs="Arial"/>
          <w:b/>
          <w:color w:val="000000" w:themeColor="text1"/>
          <w:lang w:val="es-CO"/>
        </w:rPr>
        <w:t>e</w:t>
      </w:r>
      <w:r w:rsidRPr="00D81030">
        <w:rPr>
          <w:rFonts w:cs="Arial"/>
          <w:b/>
          <w:color w:val="000000" w:themeColor="text1"/>
          <w:lang w:val="es-CO"/>
        </w:rPr>
        <w:t xml:space="preserve">l contrato que se registre incluya únicamente una sola Fuente de Suministro; y, ii.) </w:t>
      </w:r>
      <w:r w:rsidR="006E108D" w:rsidRPr="00D81030">
        <w:rPr>
          <w:rFonts w:cs="Arial"/>
          <w:b/>
          <w:color w:val="000000" w:themeColor="text1"/>
          <w:lang w:val="es-CO"/>
        </w:rPr>
        <w:t>s</w:t>
      </w:r>
      <w:r w:rsidRPr="00D81030">
        <w:rPr>
          <w:rFonts w:cs="Arial"/>
          <w:b/>
          <w:color w:val="000000" w:themeColor="text1"/>
          <w:lang w:val="es-CO"/>
        </w:rPr>
        <w:t>e dé aplicación</w:t>
      </w:r>
      <w:r w:rsidR="00AD6B04" w:rsidRPr="00D81030">
        <w:rPr>
          <w:rFonts w:cs="Arial"/>
          <w:b/>
          <w:color w:val="000000" w:themeColor="text1"/>
          <w:lang w:val="es-CO"/>
        </w:rPr>
        <w:t xml:space="preserve"> en lo que corresponda,</w:t>
      </w:r>
      <w:r w:rsidRPr="00D81030">
        <w:rPr>
          <w:rFonts w:cs="Arial"/>
          <w:b/>
          <w:color w:val="000000" w:themeColor="text1"/>
          <w:lang w:val="es-CO"/>
        </w:rPr>
        <w:t xml:space="preserve"> a lo contemplado en </w:t>
      </w:r>
      <w:r w:rsidR="00D13D42" w:rsidRPr="00D81030">
        <w:rPr>
          <w:rFonts w:cs="Arial"/>
          <w:b/>
          <w:color w:val="000000" w:themeColor="text1"/>
          <w:lang w:val="es-CO"/>
        </w:rPr>
        <w:t xml:space="preserve">los </w:t>
      </w:r>
      <w:r w:rsidR="00642700">
        <w:rPr>
          <w:rFonts w:cs="Arial"/>
          <w:b/>
          <w:color w:val="000000" w:themeColor="text1"/>
          <w:lang w:val="es-CO"/>
        </w:rPr>
        <w:t>a</w:t>
      </w:r>
      <w:r w:rsidRPr="00D81030">
        <w:rPr>
          <w:rFonts w:cs="Arial"/>
          <w:b/>
          <w:color w:val="000000" w:themeColor="text1"/>
          <w:lang w:val="es-CO"/>
        </w:rPr>
        <w:t>rtículo</w:t>
      </w:r>
      <w:r w:rsidR="004D3890" w:rsidRPr="00D81030">
        <w:rPr>
          <w:rFonts w:cs="Arial"/>
          <w:b/>
          <w:color w:val="000000" w:themeColor="text1"/>
          <w:lang w:val="es-CO"/>
        </w:rPr>
        <w:t>s</w:t>
      </w:r>
      <w:r w:rsidRPr="00D81030">
        <w:rPr>
          <w:rFonts w:cs="Arial"/>
          <w:b/>
          <w:color w:val="000000" w:themeColor="text1"/>
          <w:lang w:val="es-CO"/>
        </w:rPr>
        <w:t xml:space="preserve"> 21</w:t>
      </w:r>
      <w:r w:rsidR="00D13D42" w:rsidRPr="00D81030">
        <w:rPr>
          <w:rFonts w:cs="Arial"/>
          <w:b/>
          <w:color w:val="000000" w:themeColor="text1"/>
          <w:lang w:val="es-CO"/>
        </w:rPr>
        <w:t xml:space="preserve"> y 22</w:t>
      </w:r>
      <w:r w:rsidRPr="00D81030">
        <w:rPr>
          <w:rFonts w:cs="Arial"/>
          <w:b/>
          <w:color w:val="000000" w:themeColor="text1"/>
          <w:lang w:val="es-CO"/>
        </w:rPr>
        <w:t xml:space="preserve"> de la </w:t>
      </w:r>
      <w:r w:rsidRPr="00D81030">
        <w:rPr>
          <w:rFonts w:cs="Arial"/>
          <w:b/>
          <w:color w:val="000000" w:themeColor="text1"/>
          <w:lang w:val="es-CO"/>
        </w:rPr>
        <w:lastRenderedPageBreak/>
        <w:t>presente resolución</w:t>
      </w:r>
      <w:r w:rsidR="00990D34">
        <w:rPr>
          <w:rFonts w:cs="Arial"/>
          <w:b/>
          <w:color w:val="000000" w:themeColor="text1"/>
          <w:lang w:val="es-CO"/>
        </w:rPr>
        <w:t>, excepto para la negociación de los contratos de suministro de contingencia</w:t>
      </w:r>
      <w:r w:rsidRPr="00D81030">
        <w:rPr>
          <w:rFonts w:cs="Arial"/>
          <w:b/>
          <w:color w:val="000000" w:themeColor="text1"/>
          <w:lang w:val="es-CO"/>
        </w:rPr>
        <w:t>:</w:t>
      </w:r>
      <w:r w:rsidRPr="00D81030">
        <w:rPr>
          <w:rFonts w:cs="Arial"/>
          <w:b/>
          <w:strike/>
          <w:color w:val="000000" w:themeColor="text1"/>
          <w:lang w:val="es-CO"/>
        </w:rPr>
        <w:t xml:space="preserve"> </w:t>
      </w:r>
    </w:p>
    <w:p w14:paraId="789A12D5" w14:textId="77777777" w:rsidR="0006302B" w:rsidRPr="00D81030" w:rsidRDefault="0006302B" w:rsidP="0006302B">
      <w:pPr>
        <w:ind w:left="0"/>
        <w:rPr>
          <w:rFonts w:ascii="Bookman Old Style" w:hAnsi="Bookman Old Style" w:cs="Arial"/>
          <w:bCs/>
          <w:color w:val="000000" w:themeColor="text1"/>
          <w:lang w:val="es-CO"/>
        </w:rPr>
      </w:pPr>
    </w:p>
    <w:p w14:paraId="605BA3E7" w14:textId="0B754DCC" w:rsidR="00AE368F" w:rsidRPr="00D81030" w:rsidRDefault="0006302B" w:rsidP="0006302B">
      <w:pPr>
        <w:pStyle w:val="ARTICULOS"/>
        <w:numPr>
          <w:ilvl w:val="1"/>
          <w:numId w:val="13"/>
        </w:numPr>
        <w:ind w:left="567" w:hanging="567"/>
        <w:rPr>
          <w:color w:val="000000" w:themeColor="text1"/>
          <w:lang w:val="es-CO"/>
        </w:rPr>
      </w:pPr>
      <w:r w:rsidRPr="00D81030">
        <w:rPr>
          <w:color w:val="000000" w:themeColor="text1"/>
          <w:lang w:val="es-CO"/>
        </w:rPr>
        <w:t xml:space="preserve">Los </w:t>
      </w:r>
      <w:r w:rsidR="004A7C4C" w:rsidRPr="00D81030">
        <w:rPr>
          <w:color w:val="000000" w:themeColor="text1"/>
          <w:lang w:val="es-CO"/>
        </w:rPr>
        <w:t>Productores</w:t>
      </w:r>
      <w:r w:rsidRPr="00D81030">
        <w:rPr>
          <w:color w:val="000000" w:themeColor="text1"/>
          <w:lang w:val="es-CO"/>
        </w:rPr>
        <w:t>-comercializadores sólo podrán comercializar gas natural mediante negociaciones directas</w:t>
      </w:r>
      <w:r w:rsidR="00113D31" w:rsidRPr="00D81030">
        <w:rPr>
          <w:color w:val="000000" w:themeColor="text1"/>
          <w:lang w:val="es-CO"/>
        </w:rPr>
        <w:t xml:space="preserve"> </w:t>
      </w:r>
      <w:r w:rsidR="00113D31" w:rsidRPr="00D81030">
        <w:rPr>
          <w:b/>
          <w:bCs w:val="0"/>
          <w:color w:val="000000" w:themeColor="text1"/>
          <w:lang w:val="es-CO"/>
        </w:rPr>
        <w:t xml:space="preserve">y registrar </w:t>
      </w:r>
      <w:r w:rsidR="00AD6B04" w:rsidRPr="00D81030">
        <w:rPr>
          <w:b/>
          <w:bCs w:val="0"/>
          <w:color w:val="000000" w:themeColor="text1"/>
          <w:lang w:val="es-CO"/>
        </w:rPr>
        <w:t>los</w:t>
      </w:r>
      <w:r w:rsidR="00113D31" w:rsidRPr="00D81030">
        <w:rPr>
          <w:b/>
          <w:bCs w:val="0"/>
          <w:color w:val="000000" w:themeColor="text1"/>
          <w:lang w:val="es-CO"/>
        </w:rPr>
        <w:t xml:space="preserve"> contrato</w:t>
      </w:r>
      <w:r w:rsidR="00AD6B04" w:rsidRPr="00D81030">
        <w:rPr>
          <w:b/>
          <w:bCs w:val="0"/>
          <w:color w:val="000000" w:themeColor="text1"/>
          <w:lang w:val="es-CO"/>
        </w:rPr>
        <w:t>s resultantes</w:t>
      </w:r>
      <w:r w:rsidR="00113D31" w:rsidRPr="00D81030">
        <w:rPr>
          <w:color w:val="000000" w:themeColor="text1"/>
          <w:lang w:val="es-CO"/>
        </w:rPr>
        <w:t xml:space="preserve"> </w:t>
      </w:r>
      <w:r w:rsidRPr="00D81030">
        <w:rPr>
          <w:rFonts w:cs="Arial"/>
          <w:color w:val="000000" w:themeColor="text1"/>
          <w:lang w:val="es-CO"/>
        </w:rPr>
        <w:t>en cualquier momento del año,</w:t>
      </w:r>
      <w:r w:rsidRPr="00D81030">
        <w:rPr>
          <w:color w:val="000000" w:themeColor="text1"/>
          <w:lang w:val="es-CO"/>
        </w:rPr>
        <w:t xml:space="preserve"> en los siguientes casos:</w:t>
      </w:r>
      <w:r w:rsidR="00EB3ADA" w:rsidRPr="00D81030">
        <w:rPr>
          <w:color w:val="000000" w:themeColor="text1"/>
          <w:lang w:val="es-CO"/>
        </w:rPr>
        <w:t xml:space="preserve"> </w:t>
      </w:r>
      <w:r w:rsidR="00F25E83" w:rsidRPr="00D81030">
        <w:rPr>
          <w:color w:val="000000" w:themeColor="text1"/>
          <w:lang w:val="es-CO"/>
        </w:rPr>
        <w:t xml:space="preserve"> </w:t>
      </w:r>
    </w:p>
    <w:p w14:paraId="04002239" w14:textId="77777777" w:rsidR="0006302B" w:rsidRPr="00D81030" w:rsidRDefault="0006302B" w:rsidP="0006302B">
      <w:pPr>
        <w:autoSpaceDE w:val="0"/>
        <w:autoSpaceDN w:val="0"/>
        <w:adjustRightInd w:val="0"/>
        <w:ind w:left="993"/>
        <w:jc w:val="both"/>
        <w:rPr>
          <w:rFonts w:ascii="Bookman Old Style" w:hAnsi="Bookman Old Style" w:cs="Arial"/>
          <w:color w:val="000000" w:themeColor="text1"/>
          <w:lang w:val="es-CO"/>
        </w:rPr>
      </w:pPr>
    </w:p>
    <w:p w14:paraId="142DA3CD" w14:textId="0518F556" w:rsidR="0006302B" w:rsidRPr="0013707D" w:rsidRDefault="0006302B" w:rsidP="0006302B">
      <w:pPr>
        <w:numPr>
          <w:ilvl w:val="0"/>
          <w:numId w:val="15"/>
        </w:numPr>
        <w:autoSpaceDE w:val="0"/>
        <w:autoSpaceDN w:val="0"/>
        <w:adjustRightInd w:val="0"/>
        <w:ind w:left="1134" w:hanging="567"/>
        <w:jc w:val="both"/>
        <w:rPr>
          <w:rFonts w:ascii="Bookman Old Style" w:hAnsi="Bookman Old Style" w:cs="Arial"/>
          <w:color w:val="000000" w:themeColor="text1"/>
          <w:lang w:val="es-CO"/>
        </w:rPr>
      </w:pPr>
      <w:r w:rsidRPr="00D81030">
        <w:rPr>
          <w:rFonts w:ascii="Bookman Old Style" w:hAnsi="Bookman Old Style" w:cs="Arial"/>
          <w:color w:val="000000" w:themeColor="text1"/>
          <w:lang w:val="es-CO"/>
        </w:rPr>
        <w:t>Cuando, de conformidad con lo establecido en el artículo 12 del Decreto</w:t>
      </w:r>
      <w:r w:rsidRPr="0013707D">
        <w:rPr>
          <w:rFonts w:ascii="Bookman Old Style" w:hAnsi="Bookman Old Style" w:cs="Arial"/>
          <w:color w:val="000000" w:themeColor="text1"/>
          <w:lang w:val="es-CO"/>
        </w:rPr>
        <w:t xml:space="preserve"> 2100 de 2011, o aquel que lo modifique, complemente o sustituya, provenga de las siguientes fuentes de </w:t>
      </w:r>
      <w:r w:rsidR="004A7C4C">
        <w:rPr>
          <w:rFonts w:ascii="Bookman Old Style" w:hAnsi="Bookman Old Style" w:cs="Arial"/>
          <w:color w:val="000000" w:themeColor="text1"/>
          <w:lang w:val="es-CO"/>
        </w:rPr>
        <w:t>suministro</w:t>
      </w:r>
      <w:r w:rsidRPr="0013707D">
        <w:rPr>
          <w:rFonts w:ascii="Bookman Old Style" w:hAnsi="Bookman Old Style" w:cs="Arial"/>
          <w:color w:val="000000" w:themeColor="text1"/>
          <w:lang w:val="es-CO"/>
        </w:rPr>
        <w:t>:</w:t>
      </w:r>
    </w:p>
    <w:p w14:paraId="35F1A0B4" w14:textId="77777777" w:rsidR="0006302B" w:rsidRPr="0013707D" w:rsidRDefault="0006302B" w:rsidP="0006302B">
      <w:pPr>
        <w:pStyle w:val="Prrafodelista"/>
        <w:ind w:left="993"/>
        <w:contextualSpacing/>
        <w:jc w:val="both"/>
        <w:rPr>
          <w:rFonts w:ascii="Bookman Old Style" w:hAnsi="Bookman Old Style" w:cs="Arial"/>
          <w:color w:val="000000" w:themeColor="text1"/>
          <w:sz w:val="24"/>
          <w:szCs w:val="24"/>
          <w:lang w:eastAsia="es-ES"/>
        </w:rPr>
      </w:pPr>
    </w:p>
    <w:p w14:paraId="673C6015" w14:textId="3247E68B" w:rsidR="00C97989" w:rsidRPr="00D81030" w:rsidRDefault="0006302B" w:rsidP="00A4790E">
      <w:pPr>
        <w:pStyle w:val="Prrafodelista"/>
        <w:numPr>
          <w:ilvl w:val="0"/>
          <w:numId w:val="49"/>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Campos que se encuentren en pruebas extensas o sobre los cuales no se haya </w:t>
      </w:r>
      <w:r w:rsidRPr="00D81030">
        <w:rPr>
          <w:rFonts w:ascii="Bookman Old Style" w:hAnsi="Bookman Old Style" w:cs="Arial"/>
          <w:color w:val="000000" w:themeColor="text1"/>
          <w:sz w:val="24"/>
          <w:szCs w:val="24"/>
          <w:lang w:eastAsia="es-ES"/>
        </w:rPr>
        <w:t xml:space="preserve">declarado su comercialidad, </w:t>
      </w:r>
      <w:r w:rsidRPr="00D81030">
        <w:rPr>
          <w:rFonts w:ascii="Bookman Old Style" w:hAnsi="Bookman Old Style" w:cs="Arial"/>
          <w:b/>
          <w:bCs/>
          <w:color w:val="000000" w:themeColor="text1"/>
          <w:sz w:val="24"/>
          <w:szCs w:val="24"/>
          <w:lang w:eastAsia="es-ES"/>
        </w:rPr>
        <w:t>bajo el entendido que estos campos no cuentan con Respaldo Físico</w:t>
      </w:r>
      <w:r w:rsidR="00B3583F" w:rsidRPr="00D81030">
        <w:rPr>
          <w:rFonts w:ascii="Bookman Old Style" w:hAnsi="Bookman Old Style" w:cs="Arial"/>
          <w:b/>
          <w:bCs/>
          <w:color w:val="000000" w:themeColor="text1"/>
          <w:sz w:val="24"/>
          <w:szCs w:val="24"/>
          <w:lang w:eastAsia="es-ES"/>
        </w:rPr>
        <w:t>,</w:t>
      </w:r>
      <w:r w:rsidRPr="00D81030">
        <w:rPr>
          <w:rFonts w:ascii="Bookman Old Style" w:hAnsi="Bookman Old Style" w:cs="Arial"/>
          <w:b/>
          <w:bCs/>
          <w:color w:val="000000" w:themeColor="text1"/>
          <w:sz w:val="24"/>
          <w:szCs w:val="24"/>
          <w:lang w:eastAsia="es-ES"/>
        </w:rPr>
        <w:t xml:space="preserve"> a menos que </w:t>
      </w:r>
      <w:r w:rsidR="004746F0" w:rsidRPr="00D81030">
        <w:rPr>
          <w:rFonts w:ascii="Bookman Old Style" w:hAnsi="Bookman Old Style" w:cs="Arial"/>
          <w:b/>
          <w:bCs/>
          <w:color w:val="000000" w:themeColor="text1"/>
          <w:sz w:val="24"/>
          <w:szCs w:val="24"/>
          <w:lang w:eastAsia="es-ES"/>
        </w:rPr>
        <w:t xml:space="preserve">la ANH haya considerado como </w:t>
      </w:r>
      <w:r w:rsidR="001D77D5" w:rsidRPr="00D81030">
        <w:rPr>
          <w:rFonts w:ascii="Bookman Old Style" w:hAnsi="Bookman Old Style" w:cs="Arial"/>
          <w:b/>
          <w:bCs/>
          <w:color w:val="000000" w:themeColor="text1"/>
          <w:sz w:val="24"/>
          <w:szCs w:val="24"/>
          <w:lang w:eastAsia="es-ES"/>
        </w:rPr>
        <w:t>r</w:t>
      </w:r>
      <w:r w:rsidR="004746F0" w:rsidRPr="00D81030">
        <w:rPr>
          <w:rFonts w:ascii="Bookman Old Style" w:hAnsi="Bookman Old Style" w:cs="Arial"/>
          <w:b/>
          <w:bCs/>
          <w:color w:val="000000" w:themeColor="text1"/>
          <w:sz w:val="24"/>
          <w:szCs w:val="24"/>
          <w:lang w:eastAsia="es-ES"/>
        </w:rPr>
        <w:t>eservas</w:t>
      </w:r>
      <w:r w:rsidR="001D77D5" w:rsidRPr="00D81030">
        <w:rPr>
          <w:rFonts w:ascii="Bookman Old Style" w:hAnsi="Bookman Old Style" w:cs="Arial"/>
          <w:b/>
          <w:bCs/>
          <w:color w:val="000000" w:themeColor="text1"/>
          <w:sz w:val="24"/>
          <w:szCs w:val="24"/>
          <w:lang w:eastAsia="es-ES"/>
        </w:rPr>
        <w:t xml:space="preserve"> probadas y/o probables</w:t>
      </w:r>
      <w:r w:rsidR="004746F0" w:rsidRPr="00D81030">
        <w:rPr>
          <w:rFonts w:ascii="Bookman Old Style" w:hAnsi="Bookman Old Style" w:cs="Arial"/>
          <w:b/>
          <w:bCs/>
          <w:color w:val="000000" w:themeColor="text1"/>
          <w:sz w:val="24"/>
          <w:szCs w:val="24"/>
          <w:lang w:eastAsia="es-ES"/>
        </w:rPr>
        <w:t xml:space="preserve"> los volúmenes descubiertos recuperables en dichos campos </w:t>
      </w:r>
      <w:r w:rsidRPr="00D81030">
        <w:rPr>
          <w:rFonts w:ascii="Bookman Old Style" w:hAnsi="Bookman Old Style" w:cs="Arial"/>
          <w:b/>
          <w:bCs/>
          <w:color w:val="000000" w:themeColor="text1"/>
          <w:sz w:val="24"/>
          <w:szCs w:val="24"/>
          <w:lang w:eastAsia="es-ES"/>
        </w:rPr>
        <w:t>en las condiciones establecidas para ello por la ANH. La duración de los contratos de suministro que se pacten desde est</w:t>
      </w:r>
      <w:r w:rsidR="000764B7" w:rsidRPr="00D81030">
        <w:rPr>
          <w:rFonts w:ascii="Bookman Old Style" w:hAnsi="Bookman Old Style" w:cs="Arial"/>
          <w:b/>
          <w:bCs/>
          <w:color w:val="000000" w:themeColor="text1"/>
          <w:sz w:val="24"/>
          <w:szCs w:val="24"/>
          <w:lang w:eastAsia="es-ES"/>
        </w:rPr>
        <w:t>a</w:t>
      </w:r>
      <w:r w:rsidRPr="00D81030">
        <w:rPr>
          <w:rFonts w:ascii="Bookman Old Style" w:hAnsi="Bookman Old Style" w:cs="Arial"/>
          <w:b/>
          <w:bCs/>
          <w:color w:val="000000" w:themeColor="text1"/>
          <w:sz w:val="24"/>
          <w:szCs w:val="24"/>
          <w:lang w:eastAsia="es-ES"/>
        </w:rPr>
        <w:t xml:space="preserve">s Fuentes de Suministro </w:t>
      </w:r>
      <w:r w:rsidR="004746F0" w:rsidRPr="00D81030">
        <w:rPr>
          <w:rFonts w:ascii="Bookman Old Style" w:hAnsi="Bookman Old Style" w:cs="Arial"/>
          <w:b/>
          <w:bCs/>
          <w:color w:val="000000" w:themeColor="text1"/>
          <w:sz w:val="24"/>
          <w:szCs w:val="24"/>
          <w:lang w:eastAsia="es-ES"/>
        </w:rPr>
        <w:t>y las cantidades a suministrar</w:t>
      </w:r>
      <w:r w:rsidR="00981CB3" w:rsidRPr="00D81030">
        <w:rPr>
          <w:rFonts w:ascii="Bookman Old Style" w:hAnsi="Bookman Old Style" w:cs="Arial"/>
          <w:b/>
          <w:bCs/>
          <w:color w:val="000000" w:themeColor="text1"/>
          <w:sz w:val="24"/>
          <w:szCs w:val="24"/>
          <w:lang w:eastAsia="es-ES"/>
        </w:rPr>
        <w:t>,</w:t>
      </w:r>
      <w:r w:rsidR="004746F0" w:rsidRPr="00D81030">
        <w:rPr>
          <w:rFonts w:ascii="Bookman Old Style" w:hAnsi="Bookman Old Style" w:cs="Arial"/>
          <w:b/>
          <w:bCs/>
          <w:color w:val="000000" w:themeColor="text1"/>
          <w:sz w:val="24"/>
          <w:szCs w:val="24"/>
          <w:lang w:eastAsia="es-ES"/>
        </w:rPr>
        <w:t xml:space="preserve"> </w:t>
      </w:r>
      <w:r w:rsidR="00981CB3" w:rsidRPr="00D81030">
        <w:rPr>
          <w:rFonts w:ascii="Bookman Old Style" w:hAnsi="Bookman Old Style" w:cs="Arial"/>
          <w:b/>
          <w:bCs/>
          <w:color w:val="000000" w:themeColor="text1"/>
          <w:sz w:val="24"/>
          <w:szCs w:val="24"/>
          <w:lang w:eastAsia="es-ES"/>
        </w:rPr>
        <w:t>deberá ser consistente con la declaración de producción</w:t>
      </w:r>
      <w:r w:rsidR="00C87AE3" w:rsidRPr="00D81030">
        <w:rPr>
          <w:rFonts w:ascii="Bookman Old Style" w:hAnsi="Bookman Old Style" w:cs="Arial"/>
          <w:b/>
          <w:bCs/>
          <w:color w:val="000000" w:themeColor="text1"/>
          <w:sz w:val="24"/>
          <w:szCs w:val="24"/>
          <w:lang w:eastAsia="es-ES"/>
        </w:rPr>
        <w:t xml:space="preserve"> publicada por el MME</w:t>
      </w:r>
      <w:r w:rsidR="00BA063D">
        <w:rPr>
          <w:rFonts w:ascii="Bookman Old Style" w:hAnsi="Bookman Old Style" w:cs="Arial"/>
          <w:b/>
          <w:bCs/>
          <w:color w:val="000000" w:themeColor="text1"/>
          <w:sz w:val="24"/>
          <w:szCs w:val="24"/>
          <w:lang w:eastAsia="es-ES"/>
        </w:rPr>
        <w:t>,</w:t>
      </w:r>
      <w:r w:rsidR="00981CB3" w:rsidRPr="00D81030">
        <w:rPr>
          <w:rFonts w:ascii="Bookman Old Style" w:hAnsi="Bookman Old Style" w:cs="Arial"/>
          <w:b/>
          <w:bCs/>
          <w:color w:val="000000" w:themeColor="text1"/>
          <w:sz w:val="24"/>
          <w:szCs w:val="24"/>
          <w:lang w:eastAsia="es-ES"/>
        </w:rPr>
        <w:t xml:space="preserve"> </w:t>
      </w:r>
      <w:r w:rsidRPr="00D81030">
        <w:rPr>
          <w:rFonts w:ascii="Bookman Old Style" w:hAnsi="Bookman Old Style" w:cs="Arial"/>
          <w:b/>
          <w:bCs/>
          <w:color w:val="000000" w:themeColor="text1"/>
          <w:sz w:val="24"/>
          <w:szCs w:val="24"/>
          <w:lang w:eastAsia="es-ES"/>
        </w:rPr>
        <w:t>de acuerdo con los términos del contrato de exploración y producción, o su equivalente, suscrito con la ANH</w:t>
      </w:r>
      <w:r w:rsidRPr="00D81030">
        <w:rPr>
          <w:rFonts w:ascii="Bookman Old Style" w:hAnsi="Bookman Old Style" w:cs="Arial"/>
          <w:color w:val="000000" w:themeColor="text1"/>
          <w:sz w:val="24"/>
          <w:szCs w:val="24"/>
          <w:lang w:eastAsia="es-ES"/>
        </w:rPr>
        <w:t>.</w:t>
      </w:r>
      <w:r w:rsidR="00C97989" w:rsidRPr="00D81030">
        <w:rPr>
          <w:rFonts w:ascii="Bookman Old Style" w:hAnsi="Bookman Old Style" w:cs="Arial"/>
          <w:color w:val="000000" w:themeColor="text1"/>
          <w:sz w:val="24"/>
          <w:szCs w:val="24"/>
          <w:lang w:eastAsia="es-ES"/>
        </w:rPr>
        <w:t xml:space="preserve"> </w:t>
      </w:r>
    </w:p>
    <w:p w14:paraId="13C1B13B" w14:textId="77777777" w:rsidR="00C97989" w:rsidRPr="00D81030" w:rsidRDefault="00C97989" w:rsidP="00C97989">
      <w:pPr>
        <w:pStyle w:val="Prrafodelista"/>
        <w:ind w:left="1701"/>
        <w:contextualSpacing/>
        <w:jc w:val="both"/>
        <w:rPr>
          <w:rFonts w:ascii="Bookman Old Style" w:hAnsi="Bookman Old Style" w:cs="Arial"/>
          <w:color w:val="000000" w:themeColor="text1"/>
          <w:sz w:val="24"/>
          <w:szCs w:val="24"/>
          <w:lang w:eastAsia="es-ES"/>
        </w:rPr>
      </w:pPr>
    </w:p>
    <w:p w14:paraId="11AED9D5" w14:textId="0C4E0ACB" w:rsidR="0006302B" w:rsidRDefault="005C1204" w:rsidP="00C97989">
      <w:pPr>
        <w:ind w:left="1701"/>
        <w:contextualSpacing/>
        <w:jc w:val="both"/>
        <w:rPr>
          <w:rFonts w:ascii="Bookman Old Style" w:hAnsi="Bookman Old Style" w:cs="Arial"/>
          <w:b/>
          <w:bCs/>
          <w:color w:val="000000" w:themeColor="text1"/>
        </w:rPr>
      </w:pPr>
      <w:r w:rsidRPr="00D81030">
        <w:rPr>
          <w:rFonts w:ascii="Bookman Old Style" w:hAnsi="Bookman Old Style" w:cs="Arial"/>
          <w:b/>
          <w:bCs/>
          <w:color w:val="000000" w:themeColor="text1"/>
        </w:rPr>
        <w:t xml:space="preserve">En el caso de suministro </w:t>
      </w:r>
      <w:r w:rsidR="001D3806" w:rsidRPr="00D81030">
        <w:rPr>
          <w:rFonts w:ascii="Bookman Old Style" w:hAnsi="Bookman Old Style" w:cs="Arial"/>
          <w:b/>
          <w:bCs/>
          <w:color w:val="000000" w:themeColor="text1"/>
        </w:rPr>
        <w:t xml:space="preserve">de cantidades </w:t>
      </w:r>
      <w:r w:rsidRPr="00D81030">
        <w:rPr>
          <w:rFonts w:ascii="Bookman Old Style" w:hAnsi="Bookman Old Style" w:cs="Arial"/>
          <w:b/>
          <w:bCs/>
          <w:color w:val="000000" w:themeColor="text1"/>
        </w:rPr>
        <w:t>con garantía de firmeza</w:t>
      </w:r>
      <w:r w:rsidR="00C87AE3" w:rsidRPr="00D81030">
        <w:rPr>
          <w:rFonts w:ascii="Bookman Old Style" w:hAnsi="Bookman Old Style" w:cs="Arial"/>
          <w:b/>
          <w:bCs/>
          <w:color w:val="000000" w:themeColor="text1"/>
        </w:rPr>
        <w:t>,</w:t>
      </w:r>
      <w:r w:rsidRPr="00D81030">
        <w:rPr>
          <w:rFonts w:ascii="Bookman Old Style" w:hAnsi="Bookman Old Style" w:cs="Arial"/>
          <w:b/>
          <w:bCs/>
          <w:color w:val="000000" w:themeColor="text1"/>
        </w:rPr>
        <w:t xml:space="preserve"> los contratos </w:t>
      </w:r>
      <w:r w:rsidR="00C87AE3" w:rsidRPr="00D81030">
        <w:rPr>
          <w:rFonts w:ascii="Bookman Old Style" w:hAnsi="Bookman Old Style" w:cs="Arial"/>
          <w:b/>
          <w:bCs/>
          <w:color w:val="000000" w:themeColor="text1"/>
        </w:rPr>
        <w:t>a registrar ante el Gestor del Mercado</w:t>
      </w:r>
      <w:r w:rsidR="00F31DA7" w:rsidRPr="00D81030">
        <w:rPr>
          <w:rFonts w:ascii="Bookman Old Style" w:hAnsi="Bookman Old Style" w:cs="Arial"/>
          <w:b/>
          <w:bCs/>
          <w:color w:val="000000" w:themeColor="text1"/>
        </w:rPr>
        <w:t xml:space="preserve"> sobre estas fuentes </w:t>
      </w:r>
      <w:r w:rsidRPr="00D81030">
        <w:rPr>
          <w:rFonts w:ascii="Bookman Old Style" w:hAnsi="Bookman Old Style" w:cs="Arial"/>
          <w:b/>
          <w:bCs/>
          <w:color w:val="000000" w:themeColor="text1"/>
        </w:rPr>
        <w:t xml:space="preserve">deben corresponder a alguna de las modalidades establecidas en el </w:t>
      </w:r>
      <w:r w:rsidR="00EF69DA">
        <w:rPr>
          <w:rFonts w:ascii="Bookman Old Style" w:hAnsi="Bookman Old Style" w:cs="Arial"/>
          <w:b/>
          <w:bCs/>
          <w:color w:val="000000" w:themeColor="text1"/>
        </w:rPr>
        <w:t>a</w:t>
      </w:r>
      <w:r w:rsidRPr="00D81030">
        <w:rPr>
          <w:rFonts w:ascii="Bookman Old Style" w:hAnsi="Bookman Old Style" w:cs="Arial"/>
          <w:b/>
          <w:bCs/>
          <w:color w:val="000000" w:themeColor="text1"/>
        </w:rPr>
        <w:t xml:space="preserve">rtículo </w:t>
      </w:r>
      <w:r w:rsidR="00C87AE3" w:rsidRPr="00D81030">
        <w:rPr>
          <w:rFonts w:ascii="Bookman Old Style" w:hAnsi="Bookman Old Style" w:cs="Arial"/>
          <w:b/>
          <w:bCs/>
          <w:color w:val="000000" w:themeColor="text1"/>
        </w:rPr>
        <w:t>8</w:t>
      </w:r>
      <w:r w:rsidRPr="00D81030">
        <w:rPr>
          <w:rFonts w:ascii="Bookman Old Style" w:hAnsi="Bookman Old Style" w:cs="Arial"/>
          <w:b/>
          <w:bCs/>
          <w:color w:val="000000" w:themeColor="text1"/>
        </w:rPr>
        <w:t xml:space="preserve"> de la presente resolución, que requieren Respaldo Físico</w:t>
      </w:r>
      <w:r w:rsidR="00F66267" w:rsidRPr="00D81030">
        <w:rPr>
          <w:rFonts w:ascii="Bookman Old Style" w:hAnsi="Bookman Old Style" w:cs="Arial"/>
          <w:b/>
          <w:bCs/>
          <w:color w:val="000000" w:themeColor="text1"/>
        </w:rPr>
        <w:t xml:space="preserve"> y deberán sujetarse a lo establecido en el Capítulo II de</w:t>
      </w:r>
      <w:r w:rsidR="00F66267" w:rsidRPr="00D81030">
        <w:t xml:space="preserve"> </w:t>
      </w:r>
      <w:r w:rsidR="00F66267" w:rsidRPr="00D81030">
        <w:rPr>
          <w:rFonts w:ascii="Bookman Old Style" w:hAnsi="Bookman Old Style" w:cs="Arial"/>
          <w:b/>
          <w:bCs/>
          <w:color w:val="000000" w:themeColor="text1"/>
        </w:rPr>
        <w:t>Requisitos Mínimos de los contratos de suministro</w:t>
      </w:r>
      <w:r w:rsidR="00F31DA7" w:rsidRPr="00D81030">
        <w:rPr>
          <w:rFonts w:ascii="Bookman Old Style" w:hAnsi="Bookman Old Style" w:cs="Arial"/>
          <w:b/>
          <w:bCs/>
          <w:color w:val="000000" w:themeColor="text1"/>
        </w:rPr>
        <w:t>.</w:t>
      </w:r>
      <w:r w:rsidRPr="00D81030">
        <w:rPr>
          <w:rFonts w:ascii="Bookman Old Style" w:hAnsi="Bookman Old Style" w:cs="Arial"/>
          <w:b/>
          <w:bCs/>
          <w:color w:val="000000" w:themeColor="text1"/>
        </w:rPr>
        <w:t xml:space="preserve"> </w:t>
      </w:r>
      <w:r w:rsidR="00C97989" w:rsidRPr="00D81030">
        <w:rPr>
          <w:rFonts w:ascii="Bookman Old Style" w:hAnsi="Bookman Old Style" w:cs="Arial"/>
          <w:b/>
          <w:bCs/>
          <w:color w:val="000000" w:themeColor="text1"/>
        </w:rPr>
        <w:t>En el momento del registro de</w:t>
      </w:r>
      <w:r w:rsidR="00C87AE3" w:rsidRPr="00D81030">
        <w:rPr>
          <w:rFonts w:ascii="Bookman Old Style" w:hAnsi="Bookman Old Style" w:cs="Arial"/>
          <w:b/>
          <w:bCs/>
          <w:color w:val="000000" w:themeColor="text1"/>
        </w:rPr>
        <w:t xml:space="preserve"> tales modalidades contractuales</w:t>
      </w:r>
      <w:r w:rsidR="00C97989" w:rsidRPr="00D81030">
        <w:rPr>
          <w:rFonts w:ascii="Bookman Old Style" w:hAnsi="Bookman Old Style" w:cs="Arial"/>
          <w:b/>
          <w:bCs/>
          <w:color w:val="000000" w:themeColor="text1"/>
        </w:rPr>
        <w:t xml:space="preserve"> se deberá anexar </w:t>
      </w:r>
      <w:r w:rsidR="00B954F4" w:rsidRPr="00D81030">
        <w:rPr>
          <w:rFonts w:ascii="Bookman Old Style" w:hAnsi="Bookman Old Style" w:cs="Arial"/>
          <w:b/>
          <w:bCs/>
          <w:color w:val="000000" w:themeColor="text1"/>
        </w:rPr>
        <w:t>la</w:t>
      </w:r>
      <w:r w:rsidR="00C97989" w:rsidRPr="00D81030">
        <w:rPr>
          <w:rFonts w:ascii="Bookman Old Style" w:hAnsi="Bookman Old Style" w:cs="Arial"/>
          <w:b/>
          <w:bCs/>
          <w:color w:val="000000" w:themeColor="text1"/>
        </w:rPr>
        <w:t xml:space="preserve"> certificación</w:t>
      </w:r>
      <w:r w:rsidR="00561204" w:rsidRPr="00D81030">
        <w:rPr>
          <w:rFonts w:ascii="Bookman Old Style" w:hAnsi="Bookman Old Style" w:cs="Arial"/>
          <w:b/>
          <w:bCs/>
          <w:color w:val="000000" w:themeColor="text1"/>
        </w:rPr>
        <w:t xml:space="preserve"> vigente</w:t>
      </w:r>
      <w:r w:rsidR="00C97989" w:rsidRPr="00D81030">
        <w:rPr>
          <w:rFonts w:ascii="Bookman Old Style" w:hAnsi="Bookman Old Style" w:cs="Arial"/>
          <w:b/>
          <w:bCs/>
          <w:color w:val="000000" w:themeColor="text1"/>
        </w:rPr>
        <w:t xml:space="preserve"> de la ANH respecto </w:t>
      </w:r>
      <w:r w:rsidR="00C87AE3" w:rsidRPr="00D81030">
        <w:rPr>
          <w:rFonts w:ascii="Bookman Old Style" w:hAnsi="Bookman Old Style" w:cs="Arial"/>
          <w:b/>
          <w:bCs/>
          <w:color w:val="000000" w:themeColor="text1"/>
        </w:rPr>
        <w:t xml:space="preserve">que hay consideradas Reservas para dichos campos. </w:t>
      </w:r>
      <w:r w:rsidR="00C25A2B" w:rsidRPr="00D81030">
        <w:rPr>
          <w:rFonts w:ascii="Bookman Old Style" w:hAnsi="Bookman Old Style" w:cs="Arial"/>
          <w:b/>
          <w:bCs/>
          <w:color w:val="000000" w:themeColor="text1"/>
        </w:rPr>
        <w:t xml:space="preserve">En caso de no entregarse la certificación, el Gestor del Mercado deberá abstenerse de registrar el contrato y deberá informar </w:t>
      </w:r>
      <w:r w:rsidR="001D3806" w:rsidRPr="00D81030">
        <w:rPr>
          <w:rFonts w:ascii="Bookman Old Style" w:hAnsi="Bookman Old Style" w:cs="Arial"/>
          <w:b/>
          <w:bCs/>
          <w:color w:val="000000" w:themeColor="text1"/>
        </w:rPr>
        <w:t xml:space="preserve">al respecto </w:t>
      </w:r>
      <w:r w:rsidR="00C25A2B" w:rsidRPr="00D81030">
        <w:rPr>
          <w:rFonts w:ascii="Bookman Old Style" w:hAnsi="Bookman Old Style" w:cs="Arial"/>
          <w:b/>
          <w:bCs/>
          <w:color w:val="000000" w:themeColor="text1"/>
        </w:rPr>
        <w:t xml:space="preserve">a la </w:t>
      </w:r>
      <w:r w:rsidR="001D3806" w:rsidRPr="00D81030">
        <w:rPr>
          <w:rFonts w:ascii="Bookman Old Style" w:hAnsi="Bookman Old Style" w:cs="Arial"/>
          <w:b/>
          <w:bCs/>
          <w:color w:val="000000" w:themeColor="text1"/>
        </w:rPr>
        <w:t>autoridad competente de vigilancia y control</w:t>
      </w:r>
      <w:r w:rsidR="00C25A2B" w:rsidRPr="00D81030">
        <w:rPr>
          <w:rFonts w:ascii="Bookman Old Style" w:hAnsi="Bookman Old Style" w:cs="Arial"/>
          <w:b/>
          <w:bCs/>
          <w:color w:val="000000" w:themeColor="text1"/>
        </w:rPr>
        <w:t>.</w:t>
      </w:r>
    </w:p>
    <w:p w14:paraId="40C7EC86" w14:textId="5C0894B3" w:rsidR="00AE6421" w:rsidRDefault="00AE6421" w:rsidP="00C97989">
      <w:pPr>
        <w:ind w:left="1701"/>
        <w:contextualSpacing/>
        <w:jc w:val="both"/>
        <w:rPr>
          <w:rFonts w:ascii="Bookman Old Style" w:hAnsi="Bookman Old Style" w:cs="Arial"/>
          <w:b/>
          <w:bCs/>
          <w:color w:val="000000" w:themeColor="text1"/>
        </w:rPr>
      </w:pPr>
    </w:p>
    <w:p w14:paraId="503D79C8" w14:textId="63509FC8" w:rsidR="00AE6421" w:rsidRPr="00D81030" w:rsidRDefault="00AE6421" w:rsidP="00C97989">
      <w:pPr>
        <w:ind w:left="1701"/>
        <w:contextualSpacing/>
        <w:jc w:val="both"/>
        <w:rPr>
          <w:rFonts w:ascii="Bookman Old Style" w:hAnsi="Bookman Old Style" w:cs="Arial"/>
          <w:b/>
          <w:bCs/>
          <w:color w:val="000000" w:themeColor="text1"/>
        </w:rPr>
      </w:pPr>
      <w:r>
        <w:rPr>
          <w:rFonts w:ascii="Bookman Old Style" w:hAnsi="Bookman Old Style" w:cs="Arial"/>
          <w:b/>
          <w:bCs/>
          <w:color w:val="000000" w:themeColor="text1"/>
        </w:rPr>
        <w:t xml:space="preserve">En el caso de la aplicación de campos sin declaración de comercialidad, se debe tener en cuenta que </w:t>
      </w:r>
      <w:r w:rsidR="00CE5EB3">
        <w:rPr>
          <w:rFonts w:ascii="Bookman Old Style" w:hAnsi="Bookman Old Style" w:cs="Arial"/>
          <w:b/>
          <w:bCs/>
          <w:color w:val="000000" w:themeColor="text1"/>
        </w:rPr>
        <w:t xml:space="preserve">este caso </w:t>
      </w:r>
      <w:r>
        <w:rPr>
          <w:rFonts w:ascii="Bookman Old Style" w:hAnsi="Bookman Old Style" w:cs="Arial"/>
          <w:b/>
          <w:bCs/>
          <w:color w:val="000000" w:themeColor="text1"/>
        </w:rPr>
        <w:t xml:space="preserve">trata de campos que están en etapa de evaluación de la comercialidad de hallazgos de gas natural.  </w:t>
      </w:r>
    </w:p>
    <w:p w14:paraId="7BE77BF2" w14:textId="77777777" w:rsidR="0006302B" w:rsidRPr="00D81030" w:rsidRDefault="0006302B" w:rsidP="0006302B">
      <w:pPr>
        <w:pStyle w:val="Prrafodelista"/>
        <w:ind w:left="1701"/>
        <w:contextualSpacing/>
        <w:jc w:val="both"/>
        <w:rPr>
          <w:rFonts w:ascii="Bookman Old Style" w:hAnsi="Bookman Old Style" w:cs="Arial"/>
          <w:color w:val="000000" w:themeColor="text1"/>
          <w:sz w:val="24"/>
          <w:szCs w:val="24"/>
          <w:lang w:eastAsia="es-ES"/>
        </w:rPr>
      </w:pPr>
    </w:p>
    <w:p w14:paraId="7A8ADC43" w14:textId="1381593A" w:rsidR="0006302B" w:rsidRPr="00D81030" w:rsidRDefault="0006302B" w:rsidP="00A4790E">
      <w:pPr>
        <w:pStyle w:val="Prrafodelista"/>
        <w:numPr>
          <w:ilvl w:val="0"/>
          <w:numId w:val="49"/>
        </w:numPr>
        <w:ind w:left="1701" w:hanging="567"/>
        <w:contextualSpacing/>
        <w:jc w:val="both"/>
        <w:rPr>
          <w:rFonts w:ascii="Bookman Old Style" w:hAnsi="Bookman Old Style" w:cs="Arial"/>
          <w:b/>
          <w:bCs/>
          <w:color w:val="000000" w:themeColor="text1"/>
          <w:sz w:val="24"/>
          <w:szCs w:val="24"/>
          <w:lang w:eastAsia="es-ES"/>
        </w:rPr>
      </w:pPr>
      <w:r w:rsidRPr="00D81030">
        <w:rPr>
          <w:rFonts w:ascii="Bookman Old Style" w:hAnsi="Bookman Old Style" w:cs="Arial"/>
          <w:color w:val="000000" w:themeColor="text1"/>
          <w:sz w:val="24"/>
          <w:szCs w:val="24"/>
          <w:lang w:eastAsia="es-ES"/>
        </w:rPr>
        <w:t>Campos menores</w:t>
      </w:r>
      <w:r w:rsidR="00AE4521" w:rsidRPr="00D81030">
        <w:rPr>
          <w:rFonts w:ascii="Bookman Old Style" w:hAnsi="Bookman Old Style" w:cs="Arial"/>
          <w:color w:val="000000" w:themeColor="text1"/>
          <w:sz w:val="24"/>
          <w:szCs w:val="24"/>
          <w:lang w:eastAsia="es-ES"/>
        </w:rPr>
        <w:t xml:space="preserve">. </w:t>
      </w:r>
      <w:r w:rsidR="00AE4521" w:rsidRPr="00D81030">
        <w:rPr>
          <w:rFonts w:ascii="Bookman Old Style" w:hAnsi="Bookman Old Style" w:cs="Arial"/>
          <w:b/>
          <w:bCs/>
          <w:color w:val="000000" w:themeColor="text1"/>
          <w:sz w:val="24"/>
          <w:szCs w:val="24"/>
          <w:lang w:eastAsia="es-ES"/>
        </w:rPr>
        <w:t xml:space="preserve">En caso </w:t>
      </w:r>
      <w:r w:rsidR="00D81030">
        <w:rPr>
          <w:rFonts w:ascii="Bookman Old Style" w:hAnsi="Bookman Old Style" w:cs="Arial"/>
          <w:b/>
          <w:bCs/>
          <w:color w:val="000000" w:themeColor="text1"/>
          <w:sz w:val="24"/>
          <w:szCs w:val="24"/>
          <w:lang w:eastAsia="es-ES"/>
        </w:rPr>
        <w:t xml:space="preserve">de </w:t>
      </w:r>
      <w:r w:rsidR="00AE4521" w:rsidRPr="00D81030">
        <w:rPr>
          <w:rFonts w:ascii="Bookman Old Style" w:hAnsi="Bookman Old Style" w:cs="Arial"/>
          <w:b/>
          <w:bCs/>
          <w:color w:val="000000" w:themeColor="text1"/>
          <w:sz w:val="24"/>
          <w:szCs w:val="24"/>
          <w:lang w:eastAsia="es-ES"/>
        </w:rPr>
        <w:t xml:space="preserve">que </w:t>
      </w:r>
      <w:r w:rsidR="00833312" w:rsidRPr="00D81030">
        <w:rPr>
          <w:rFonts w:ascii="Bookman Old Style" w:hAnsi="Bookman Old Style" w:cs="Arial"/>
          <w:b/>
          <w:bCs/>
          <w:color w:val="000000" w:themeColor="text1"/>
          <w:sz w:val="24"/>
          <w:szCs w:val="24"/>
          <w:lang w:eastAsia="es-ES"/>
        </w:rPr>
        <w:t xml:space="preserve">en </w:t>
      </w:r>
      <w:r w:rsidR="005B078F">
        <w:rPr>
          <w:rFonts w:ascii="Bookman Old Style" w:hAnsi="Bookman Old Style" w:cs="Arial"/>
          <w:b/>
          <w:bCs/>
          <w:color w:val="000000" w:themeColor="text1"/>
          <w:sz w:val="24"/>
          <w:szCs w:val="24"/>
          <w:lang w:eastAsia="es-ES"/>
        </w:rPr>
        <w:t>la publicación más reciente d</w:t>
      </w:r>
      <w:r w:rsidR="00AE4521" w:rsidRPr="00D81030">
        <w:rPr>
          <w:rFonts w:ascii="Bookman Old Style" w:hAnsi="Bookman Old Style" w:cs="Arial"/>
          <w:b/>
          <w:bCs/>
          <w:color w:val="000000" w:themeColor="text1"/>
          <w:sz w:val="24"/>
          <w:szCs w:val="24"/>
          <w:lang w:eastAsia="es-ES"/>
        </w:rPr>
        <w:t xml:space="preserve">el potencial de producción de un campo, </w:t>
      </w:r>
      <w:r w:rsidR="00833312" w:rsidRPr="00D81030">
        <w:rPr>
          <w:rFonts w:ascii="Bookman Old Style" w:hAnsi="Bookman Old Style" w:cs="Arial"/>
          <w:b/>
          <w:bCs/>
          <w:color w:val="000000" w:themeColor="text1"/>
          <w:sz w:val="24"/>
          <w:szCs w:val="24"/>
          <w:lang w:eastAsia="es-ES"/>
        </w:rPr>
        <w:t xml:space="preserve">se </w:t>
      </w:r>
      <w:r w:rsidR="005B078F">
        <w:rPr>
          <w:rFonts w:ascii="Bookman Old Style" w:hAnsi="Bookman Old Style" w:cs="Arial"/>
          <w:b/>
          <w:bCs/>
          <w:color w:val="000000" w:themeColor="text1"/>
          <w:sz w:val="24"/>
          <w:szCs w:val="24"/>
          <w:lang w:eastAsia="es-ES"/>
        </w:rPr>
        <w:t>encuentre</w:t>
      </w:r>
      <w:r w:rsidR="00833312" w:rsidRPr="00D81030">
        <w:rPr>
          <w:rFonts w:ascii="Bookman Old Style" w:hAnsi="Bookman Old Style" w:cs="Arial"/>
          <w:b/>
          <w:bCs/>
          <w:color w:val="000000" w:themeColor="text1"/>
          <w:sz w:val="24"/>
          <w:szCs w:val="24"/>
          <w:lang w:eastAsia="es-ES"/>
        </w:rPr>
        <w:t xml:space="preserve"> un mes a partir del cual el potencial deja de corresponder a un campo menor, la negociación del suministro </w:t>
      </w:r>
      <w:r w:rsidR="008E57E5">
        <w:rPr>
          <w:rFonts w:ascii="Bookman Old Style" w:hAnsi="Bookman Old Style" w:cs="Arial"/>
          <w:b/>
          <w:bCs/>
          <w:color w:val="000000" w:themeColor="text1"/>
          <w:sz w:val="24"/>
          <w:szCs w:val="24"/>
          <w:lang w:eastAsia="es-ES"/>
        </w:rPr>
        <w:t xml:space="preserve">para los nuevos contratos </w:t>
      </w:r>
      <w:r w:rsidR="00833312" w:rsidRPr="00D81030">
        <w:rPr>
          <w:rFonts w:ascii="Bookman Old Style" w:hAnsi="Bookman Old Style" w:cs="Arial"/>
          <w:b/>
          <w:bCs/>
          <w:color w:val="000000" w:themeColor="text1"/>
          <w:sz w:val="24"/>
          <w:szCs w:val="24"/>
          <w:lang w:eastAsia="es-ES"/>
        </w:rPr>
        <w:t>cuya ejecución inicie en dicho mes deberá seguir los mecanismos de comercialización establecidos por la CREG</w:t>
      </w:r>
      <w:r w:rsidR="002C12A9">
        <w:rPr>
          <w:rFonts w:ascii="Bookman Old Style" w:hAnsi="Bookman Old Style" w:cs="Arial"/>
          <w:b/>
          <w:bCs/>
          <w:color w:val="000000" w:themeColor="text1"/>
          <w:sz w:val="24"/>
          <w:szCs w:val="24"/>
          <w:lang w:eastAsia="es-ES"/>
        </w:rPr>
        <w:t xml:space="preserve"> en la presente resolución.</w:t>
      </w:r>
      <w:r w:rsidR="00833312" w:rsidRPr="00D81030">
        <w:rPr>
          <w:rFonts w:ascii="Bookman Old Style" w:hAnsi="Bookman Old Style" w:cs="Arial"/>
          <w:b/>
          <w:bCs/>
          <w:color w:val="000000" w:themeColor="text1"/>
          <w:sz w:val="24"/>
          <w:szCs w:val="24"/>
          <w:lang w:eastAsia="es-ES"/>
        </w:rPr>
        <w:t xml:space="preserve">   </w:t>
      </w:r>
      <w:r w:rsidR="00AE4521" w:rsidRPr="00D81030">
        <w:rPr>
          <w:rFonts w:ascii="Bookman Old Style" w:hAnsi="Bookman Old Style" w:cs="Arial"/>
          <w:b/>
          <w:bCs/>
          <w:color w:val="000000" w:themeColor="text1"/>
          <w:sz w:val="24"/>
          <w:szCs w:val="24"/>
          <w:lang w:eastAsia="es-ES"/>
        </w:rPr>
        <w:t xml:space="preserve">  </w:t>
      </w:r>
    </w:p>
    <w:p w14:paraId="3C30DF2A" w14:textId="77777777" w:rsidR="0006302B" w:rsidRPr="00D81030" w:rsidRDefault="0006302B" w:rsidP="0006302B">
      <w:pPr>
        <w:pStyle w:val="Prrafodelista"/>
        <w:rPr>
          <w:rFonts w:ascii="Bookman Old Style" w:hAnsi="Bookman Old Style" w:cs="Arial"/>
          <w:b/>
          <w:bCs/>
          <w:color w:val="000000" w:themeColor="text1"/>
          <w:sz w:val="24"/>
          <w:szCs w:val="24"/>
          <w:lang w:eastAsia="es-ES"/>
        </w:rPr>
      </w:pPr>
    </w:p>
    <w:p w14:paraId="39EE2C98" w14:textId="77777777" w:rsidR="0006302B" w:rsidRPr="00D81030" w:rsidRDefault="0006302B" w:rsidP="00A4790E">
      <w:pPr>
        <w:pStyle w:val="Prrafodelista"/>
        <w:numPr>
          <w:ilvl w:val="0"/>
          <w:numId w:val="49"/>
        </w:numPr>
        <w:ind w:left="1701" w:hanging="567"/>
        <w:contextualSpacing/>
        <w:jc w:val="both"/>
        <w:rPr>
          <w:rFonts w:ascii="Bookman Old Style" w:hAnsi="Bookman Old Style" w:cs="Arial"/>
          <w:color w:val="000000" w:themeColor="text1"/>
          <w:sz w:val="24"/>
          <w:szCs w:val="24"/>
          <w:lang w:eastAsia="es-ES"/>
        </w:rPr>
      </w:pPr>
      <w:r w:rsidRPr="00D81030">
        <w:rPr>
          <w:rFonts w:ascii="Bookman Old Style" w:hAnsi="Bookman Old Style" w:cs="Arial"/>
          <w:color w:val="000000" w:themeColor="text1"/>
          <w:sz w:val="24"/>
          <w:szCs w:val="24"/>
          <w:lang w:eastAsia="es-ES"/>
        </w:rPr>
        <w:t>Yacimientos no convencionales.</w:t>
      </w:r>
    </w:p>
    <w:p w14:paraId="01319100" w14:textId="77777777" w:rsidR="0006302B" w:rsidRPr="00D81030" w:rsidRDefault="0006302B" w:rsidP="0006302B">
      <w:pPr>
        <w:pStyle w:val="ARTICULOS"/>
        <w:numPr>
          <w:ilvl w:val="0"/>
          <w:numId w:val="0"/>
        </w:numPr>
        <w:ind w:left="993"/>
        <w:rPr>
          <w:color w:val="000000" w:themeColor="text1"/>
          <w:lang w:val="es-CO"/>
        </w:rPr>
      </w:pPr>
    </w:p>
    <w:p w14:paraId="65944EF1" w14:textId="15A8C453" w:rsidR="0006302B" w:rsidRPr="00D81030" w:rsidRDefault="0006302B" w:rsidP="0006302B">
      <w:pPr>
        <w:numPr>
          <w:ilvl w:val="0"/>
          <w:numId w:val="15"/>
        </w:numPr>
        <w:autoSpaceDE w:val="0"/>
        <w:autoSpaceDN w:val="0"/>
        <w:adjustRightInd w:val="0"/>
        <w:ind w:left="1134" w:hanging="567"/>
        <w:jc w:val="both"/>
        <w:rPr>
          <w:rFonts w:ascii="Bookman Old Style" w:hAnsi="Bookman Old Style" w:cs="Arial"/>
          <w:color w:val="000000" w:themeColor="text1"/>
          <w:lang w:val="es-CO"/>
        </w:rPr>
      </w:pPr>
      <w:r w:rsidRPr="00D81030">
        <w:rPr>
          <w:rFonts w:ascii="Bookman Old Style" w:hAnsi="Bookman Old Style" w:cs="Arial"/>
          <w:color w:val="000000" w:themeColor="text1"/>
          <w:lang w:val="es-CO"/>
        </w:rPr>
        <w:t xml:space="preserve">Cuando provenga de un campo aislado. Se deberá entender como campo aislado aquel que no tiene conexión </w:t>
      </w:r>
      <w:r w:rsidR="00050A1D" w:rsidRPr="00D81030">
        <w:rPr>
          <w:rFonts w:ascii="Bookman Old Style" w:hAnsi="Bookman Old Style" w:cs="Arial"/>
          <w:b/>
          <w:bCs/>
          <w:color w:val="000000" w:themeColor="text1"/>
          <w:lang w:val="es-CO"/>
        </w:rPr>
        <w:t>a sistemas de transporte del SNT</w:t>
      </w:r>
      <w:r w:rsidR="003C337D" w:rsidRPr="00D81030">
        <w:rPr>
          <w:rFonts w:ascii="Bookman Old Style" w:hAnsi="Bookman Old Style" w:cs="Arial"/>
          <w:b/>
          <w:bCs/>
          <w:color w:val="000000" w:themeColor="text1"/>
          <w:lang w:val="es-CO"/>
        </w:rPr>
        <w:t xml:space="preserve">, bien sea </w:t>
      </w:r>
      <w:r w:rsidRPr="00D81030">
        <w:rPr>
          <w:rFonts w:ascii="Bookman Old Style" w:hAnsi="Bookman Old Style" w:cs="Arial"/>
          <w:b/>
          <w:bCs/>
          <w:color w:val="000000" w:themeColor="text1"/>
          <w:lang w:val="es-CO"/>
        </w:rPr>
        <w:t xml:space="preserve">en forma directa </w:t>
      </w:r>
      <w:r w:rsidRPr="00D81030">
        <w:rPr>
          <w:rFonts w:ascii="Bookman Old Style" w:hAnsi="Bookman Old Style" w:cs="Arial"/>
          <w:color w:val="000000" w:themeColor="text1"/>
          <w:lang w:val="es-CO"/>
        </w:rPr>
        <w:t xml:space="preserve">a través de gasoductos </w:t>
      </w:r>
      <w:r w:rsidR="00DF463C" w:rsidRPr="00D81030">
        <w:rPr>
          <w:rFonts w:ascii="Bookman Old Style" w:hAnsi="Bookman Old Style" w:cs="Arial"/>
          <w:b/>
          <w:bCs/>
          <w:color w:val="000000" w:themeColor="text1"/>
          <w:lang w:val="es-CO"/>
        </w:rPr>
        <w:t>o</w:t>
      </w:r>
      <w:r w:rsidR="00DF463C" w:rsidRPr="00D81030">
        <w:rPr>
          <w:rFonts w:ascii="Bookman Old Style" w:hAnsi="Bookman Old Style" w:cs="Arial"/>
          <w:color w:val="000000" w:themeColor="text1"/>
          <w:lang w:val="es-CO"/>
        </w:rPr>
        <w:t xml:space="preserve"> </w:t>
      </w:r>
      <w:r w:rsidR="003C337D" w:rsidRPr="00D81030">
        <w:rPr>
          <w:rFonts w:ascii="Bookman Old Style" w:hAnsi="Bookman Old Style" w:cs="Arial"/>
          <w:color w:val="000000" w:themeColor="text1"/>
          <w:lang w:val="es-CO"/>
        </w:rPr>
        <w:t xml:space="preserve">bien </w:t>
      </w:r>
      <w:r w:rsidR="00DF463C" w:rsidRPr="00D81030">
        <w:rPr>
          <w:rFonts w:ascii="Bookman Old Style" w:hAnsi="Bookman Old Style" w:cs="Arial"/>
          <w:color w:val="000000" w:themeColor="text1"/>
          <w:lang w:val="es-CO"/>
        </w:rPr>
        <w:t xml:space="preserve">en forma </w:t>
      </w:r>
      <w:r w:rsidR="00DF463C" w:rsidRPr="00D81030">
        <w:rPr>
          <w:rFonts w:ascii="Bookman Old Style" w:hAnsi="Bookman Old Style" w:cs="Arial"/>
          <w:b/>
          <w:bCs/>
          <w:color w:val="000000" w:themeColor="text1"/>
          <w:lang w:val="es-CO"/>
        </w:rPr>
        <w:t>indirecta</w:t>
      </w:r>
      <w:r w:rsidR="00DF463C" w:rsidRPr="00D81030">
        <w:rPr>
          <w:rFonts w:ascii="Bookman Old Style" w:hAnsi="Bookman Old Style" w:cs="Arial"/>
          <w:color w:val="000000" w:themeColor="text1"/>
          <w:lang w:val="es-CO"/>
        </w:rPr>
        <w:t xml:space="preserve"> </w:t>
      </w:r>
      <w:r w:rsidR="003C337D" w:rsidRPr="00D81030">
        <w:rPr>
          <w:rFonts w:ascii="Bookman Old Style" w:hAnsi="Bookman Old Style" w:cs="Arial"/>
          <w:b/>
          <w:bCs/>
          <w:color w:val="000000" w:themeColor="text1"/>
          <w:lang w:val="es-CO"/>
        </w:rPr>
        <w:t>a través de</w:t>
      </w:r>
      <w:r w:rsidR="00DF463C" w:rsidRPr="00D81030">
        <w:rPr>
          <w:rFonts w:ascii="Bookman Old Style" w:hAnsi="Bookman Old Style" w:cs="Arial"/>
          <w:b/>
          <w:bCs/>
          <w:color w:val="000000" w:themeColor="text1"/>
          <w:lang w:val="es-CO"/>
        </w:rPr>
        <w:t xml:space="preserve"> </w:t>
      </w:r>
      <w:r w:rsidR="000218FD" w:rsidRPr="00D81030">
        <w:rPr>
          <w:rFonts w:ascii="Bookman Old Style" w:hAnsi="Bookman Old Style" w:cs="Arial"/>
          <w:b/>
          <w:bCs/>
          <w:color w:val="000000" w:themeColor="text1"/>
          <w:lang w:val="es-CO"/>
        </w:rPr>
        <w:t>medios de transporte diferentes a los gasoductos</w:t>
      </w:r>
      <w:r w:rsidR="00821938">
        <w:rPr>
          <w:rFonts w:ascii="Bookman Old Style" w:hAnsi="Bookman Old Style" w:cs="Arial"/>
          <w:b/>
          <w:bCs/>
          <w:color w:val="000000" w:themeColor="text1"/>
          <w:lang w:val="es-CO"/>
        </w:rPr>
        <w:t xml:space="preserve"> utilizados por los productores-comercializadores como parte del suministro</w:t>
      </w:r>
      <w:r w:rsidR="00050A1D" w:rsidRPr="00D81030">
        <w:rPr>
          <w:rFonts w:ascii="Bookman Old Style" w:hAnsi="Bookman Old Style" w:cs="Arial"/>
          <w:color w:val="000000" w:themeColor="text1"/>
          <w:lang w:val="es-CO"/>
        </w:rPr>
        <w:t>.</w:t>
      </w:r>
      <w:r w:rsidR="00DF463C" w:rsidRPr="00D81030">
        <w:rPr>
          <w:rFonts w:ascii="Bookman Old Style" w:hAnsi="Bookman Old Style" w:cs="Arial"/>
          <w:color w:val="000000" w:themeColor="text1"/>
          <w:lang w:val="es-CO"/>
        </w:rPr>
        <w:t xml:space="preserve"> </w:t>
      </w:r>
    </w:p>
    <w:p w14:paraId="05A55842" w14:textId="77777777" w:rsidR="0006302B" w:rsidRPr="00D81030" w:rsidRDefault="0006302B" w:rsidP="0006302B">
      <w:pPr>
        <w:pStyle w:val="ARTICULOS"/>
        <w:numPr>
          <w:ilvl w:val="0"/>
          <w:numId w:val="0"/>
        </w:numPr>
        <w:ind w:left="1134" w:hanging="567"/>
        <w:rPr>
          <w:color w:val="000000" w:themeColor="text1"/>
          <w:lang w:val="es-CO"/>
        </w:rPr>
      </w:pPr>
    </w:p>
    <w:p w14:paraId="5698953A" w14:textId="342DEEC7" w:rsidR="0006302B" w:rsidRPr="00D81030" w:rsidRDefault="0006302B" w:rsidP="0006302B">
      <w:pPr>
        <w:pStyle w:val="Prrafodelista"/>
        <w:numPr>
          <w:ilvl w:val="0"/>
          <w:numId w:val="15"/>
        </w:numPr>
        <w:autoSpaceDE w:val="0"/>
        <w:autoSpaceDN w:val="0"/>
        <w:adjustRightInd w:val="0"/>
        <w:ind w:left="1134" w:hanging="567"/>
        <w:jc w:val="both"/>
        <w:rPr>
          <w:rFonts w:ascii="Bookman Old Style" w:hAnsi="Bookman Old Style" w:cs="Arial"/>
          <w:color w:val="000000" w:themeColor="text1"/>
        </w:rPr>
      </w:pPr>
      <w:r w:rsidRPr="00D81030">
        <w:rPr>
          <w:rFonts w:ascii="Bookman Old Style" w:hAnsi="Bookman Old Style" w:cs="Arial"/>
          <w:color w:val="000000" w:themeColor="text1"/>
          <w:sz w:val="24"/>
          <w:szCs w:val="24"/>
        </w:rPr>
        <w:t xml:space="preserve">Cuando se ofrezca mediante la modalidad de contrato de opción de compra de gas contra exportaciones, siempre que la cantidad a negociar no supere la cantidad </w:t>
      </w:r>
      <w:r w:rsidRPr="00D81030">
        <w:rPr>
          <w:rFonts w:ascii="Bookman Old Style" w:hAnsi="Bookman Old Style" w:cs="Arial"/>
          <w:b/>
          <w:bCs/>
          <w:color w:val="000000" w:themeColor="text1"/>
          <w:sz w:val="24"/>
          <w:szCs w:val="24"/>
        </w:rPr>
        <w:t>comprometida</w:t>
      </w:r>
      <w:r w:rsidRPr="00D81030">
        <w:rPr>
          <w:rFonts w:ascii="Bookman Old Style" w:hAnsi="Bookman Old Style" w:cs="Arial"/>
          <w:color w:val="000000" w:themeColor="text1"/>
          <w:sz w:val="24"/>
          <w:szCs w:val="24"/>
        </w:rPr>
        <w:t xml:space="preserve"> por el respectivo productor-comercializador con destino a exportaciones.</w:t>
      </w:r>
    </w:p>
    <w:p w14:paraId="40C3B0D4" w14:textId="77777777" w:rsidR="00D679CC" w:rsidRPr="00D81030" w:rsidRDefault="00D679CC" w:rsidP="00191320">
      <w:pPr>
        <w:pStyle w:val="Prrafodelista"/>
        <w:rPr>
          <w:rFonts w:ascii="Bookman Old Style" w:hAnsi="Bookman Old Style" w:cs="Arial"/>
          <w:color w:val="000000" w:themeColor="text1"/>
        </w:rPr>
      </w:pPr>
    </w:p>
    <w:p w14:paraId="612E1AB6" w14:textId="54C5BB7B" w:rsidR="00D679CC" w:rsidRPr="00D81030" w:rsidRDefault="00D679CC" w:rsidP="00191320">
      <w:pPr>
        <w:numPr>
          <w:ilvl w:val="0"/>
          <w:numId w:val="15"/>
        </w:numPr>
        <w:autoSpaceDE w:val="0"/>
        <w:autoSpaceDN w:val="0"/>
        <w:adjustRightInd w:val="0"/>
        <w:ind w:left="1134" w:hanging="567"/>
        <w:jc w:val="both"/>
        <w:rPr>
          <w:rFonts w:ascii="Bookman Old Style" w:hAnsi="Bookman Old Style" w:cs="Arial"/>
          <w:b/>
          <w:bCs/>
          <w:color w:val="000000" w:themeColor="text1"/>
          <w:lang w:val="es-CO"/>
        </w:rPr>
      </w:pPr>
      <w:r w:rsidRPr="00D81030">
        <w:rPr>
          <w:rFonts w:ascii="Bookman Old Style" w:hAnsi="Bookman Old Style" w:cs="Arial"/>
          <w:b/>
          <w:bCs/>
          <w:color w:val="000000" w:themeColor="text1"/>
          <w:lang w:val="es-CO"/>
        </w:rPr>
        <w:t>Desde cualquier Fuente de Suministro mediante la modalidad de contrato de suministro de contingencia</w:t>
      </w:r>
      <w:r w:rsidR="00B3583F" w:rsidRPr="00D81030">
        <w:rPr>
          <w:rFonts w:ascii="Bookman Old Style" w:hAnsi="Bookman Old Style" w:cs="Arial"/>
          <w:b/>
          <w:bCs/>
          <w:color w:val="000000" w:themeColor="text1"/>
          <w:lang w:val="es-CO"/>
        </w:rPr>
        <w:t>,</w:t>
      </w:r>
      <w:r w:rsidRPr="00D81030">
        <w:rPr>
          <w:rFonts w:ascii="Bookman Old Style" w:hAnsi="Bookman Old Style" w:cs="Arial"/>
          <w:b/>
          <w:bCs/>
          <w:color w:val="000000" w:themeColor="text1"/>
          <w:lang w:val="es-CO"/>
        </w:rPr>
        <w:t xml:space="preserve"> CSC.</w:t>
      </w:r>
    </w:p>
    <w:p w14:paraId="36A1A504" w14:textId="77777777" w:rsidR="0006302B" w:rsidRPr="00D81030" w:rsidRDefault="0006302B" w:rsidP="0006302B">
      <w:pPr>
        <w:pStyle w:val="Prrafodelista"/>
        <w:rPr>
          <w:rFonts w:ascii="Bookman Old Style" w:hAnsi="Bookman Old Style" w:cs="Arial"/>
          <w:color w:val="000000" w:themeColor="text1"/>
        </w:rPr>
      </w:pPr>
    </w:p>
    <w:p w14:paraId="72446736" w14:textId="36754BAB" w:rsidR="0006302B" w:rsidRPr="00D81030" w:rsidRDefault="0006302B" w:rsidP="0006302B">
      <w:pPr>
        <w:pStyle w:val="Prrafodelista"/>
        <w:numPr>
          <w:ilvl w:val="0"/>
          <w:numId w:val="15"/>
        </w:numPr>
        <w:autoSpaceDE w:val="0"/>
        <w:autoSpaceDN w:val="0"/>
        <w:adjustRightInd w:val="0"/>
        <w:ind w:left="1134" w:hanging="567"/>
        <w:jc w:val="both"/>
        <w:rPr>
          <w:rFonts w:ascii="Bookman Old Style" w:hAnsi="Bookman Old Style" w:cs="Arial"/>
          <w:b/>
          <w:bCs/>
          <w:color w:val="000000" w:themeColor="text1"/>
          <w:sz w:val="24"/>
          <w:szCs w:val="24"/>
        </w:rPr>
      </w:pPr>
      <w:r w:rsidRPr="00D81030">
        <w:rPr>
          <w:rFonts w:ascii="Bookman Old Style" w:hAnsi="Bookman Old Style" w:cs="Arial"/>
          <w:b/>
          <w:bCs/>
          <w:color w:val="000000" w:themeColor="text1"/>
          <w:sz w:val="24"/>
          <w:szCs w:val="24"/>
        </w:rPr>
        <w:t xml:space="preserve">Cuando provenga de una </w:t>
      </w:r>
      <w:r w:rsidR="00CF1F6D" w:rsidRPr="00D81030">
        <w:rPr>
          <w:rFonts w:ascii="Bookman Old Style" w:hAnsi="Bookman Old Style" w:cs="Arial"/>
          <w:b/>
          <w:bCs/>
          <w:color w:val="000000" w:themeColor="text1"/>
          <w:sz w:val="24"/>
          <w:szCs w:val="24"/>
        </w:rPr>
        <w:t xml:space="preserve">nueva </w:t>
      </w:r>
      <w:r w:rsidRPr="00D81030">
        <w:rPr>
          <w:rFonts w:ascii="Bookman Old Style" w:hAnsi="Bookman Old Style" w:cs="Arial"/>
          <w:b/>
          <w:bCs/>
          <w:color w:val="000000" w:themeColor="text1"/>
          <w:sz w:val="24"/>
          <w:szCs w:val="24"/>
        </w:rPr>
        <w:t>Fuente de Suministro costa afuera.</w:t>
      </w:r>
      <w:r w:rsidR="00BE1163" w:rsidRPr="00D81030">
        <w:rPr>
          <w:rFonts w:ascii="Bookman Old Style" w:hAnsi="Bookman Old Style" w:cs="Arial"/>
          <w:b/>
          <w:bCs/>
          <w:color w:val="000000" w:themeColor="text1"/>
          <w:sz w:val="24"/>
          <w:szCs w:val="24"/>
        </w:rPr>
        <w:t xml:space="preserve"> Se entenderá por fuente </w:t>
      </w:r>
      <w:r w:rsidR="00360739" w:rsidRPr="00D81030">
        <w:rPr>
          <w:rFonts w:ascii="Bookman Old Style" w:hAnsi="Bookman Old Style" w:cs="Arial"/>
          <w:b/>
          <w:bCs/>
          <w:color w:val="000000" w:themeColor="text1"/>
          <w:sz w:val="24"/>
          <w:szCs w:val="24"/>
        </w:rPr>
        <w:t xml:space="preserve">nueva </w:t>
      </w:r>
      <w:r w:rsidR="00BE1163" w:rsidRPr="00D81030">
        <w:rPr>
          <w:rFonts w:ascii="Bookman Old Style" w:hAnsi="Bookman Old Style" w:cs="Arial"/>
          <w:b/>
          <w:bCs/>
          <w:color w:val="000000" w:themeColor="text1"/>
          <w:sz w:val="24"/>
          <w:szCs w:val="24"/>
        </w:rPr>
        <w:t xml:space="preserve">aquella que declare comercialidad con posterioridad a la entrada en vigencia de la presente resolución. </w:t>
      </w:r>
    </w:p>
    <w:p w14:paraId="45387DE0" w14:textId="77777777" w:rsidR="0006302B" w:rsidRPr="00D81030" w:rsidRDefault="0006302B" w:rsidP="0006302B">
      <w:pPr>
        <w:pStyle w:val="Prrafodelista"/>
        <w:autoSpaceDE w:val="0"/>
        <w:autoSpaceDN w:val="0"/>
        <w:adjustRightInd w:val="0"/>
        <w:ind w:left="1134"/>
        <w:jc w:val="both"/>
        <w:rPr>
          <w:rFonts w:ascii="Bookman Old Style" w:hAnsi="Bookman Old Style" w:cs="Arial"/>
          <w:b/>
          <w:bCs/>
          <w:color w:val="000000" w:themeColor="text1"/>
          <w:sz w:val="24"/>
          <w:szCs w:val="24"/>
        </w:rPr>
      </w:pPr>
    </w:p>
    <w:p w14:paraId="2E51E0D8" w14:textId="6BC48827" w:rsidR="0006302B" w:rsidRPr="002D5416" w:rsidRDefault="0006302B" w:rsidP="002D5416">
      <w:pPr>
        <w:pStyle w:val="Prrafodelista"/>
        <w:numPr>
          <w:ilvl w:val="0"/>
          <w:numId w:val="15"/>
        </w:numPr>
        <w:autoSpaceDE w:val="0"/>
        <w:autoSpaceDN w:val="0"/>
        <w:adjustRightInd w:val="0"/>
        <w:ind w:left="1134" w:hanging="567"/>
        <w:jc w:val="both"/>
        <w:rPr>
          <w:rFonts w:ascii="Bookman Old Style" w:hAnsi="Bookman Old Style" w:cs="Arial"/>
          <w:color w:val="000000" w:themeColor="text1"/>
        </w:rPr>
      </w:pPr>
      <w:r w:rsidRPr="00112A6D">
        <w:rPr>
          <w:rFonts w:ascii="Bookman Old Style" w:hAnsi="Bookman Old Style" w:cs="Arial"/>
          <w:b/>
          <w:bCs/>
          <w:color w:val="000000" w:themeColor="text1"/>
          <w:sz w:val="24"/>
          <w:szCs w:val="24"/>
        </w:rPr>
        <w:t xml:space="preserve">Cuando provenga de </w:t>
      </w:r>
      <w:r>
        <w:rPr>
          <w:rFonts w:ascii="Bookman Old Style" w:hAnsi="Bookman Old Style" w:cs="Arial"/>
          <w:b/>
          <w:bCs/>
          <w:color w:val="000000" w:themeColor="text1"/>
          <w:sz w:val="24"/>
          <w:szCs w:val="24"/>
        </w:rPr>
        <w:t>Fuentes de Suministro</w:t>
      </w:r>
      <w:r w:rsidRPr="00112A6D">
        <w:rPr>
          <w:rFonts w:ascii="Bookman Old Style" w:hAnsi="Bookman Old Style" w:cs="Arial"/>
          <w:b/>
          <w:bCs/>
          <w:color w:val="000000" w:themeColor="text1"/>
          <w:sz w:val="24"/>
          <w:szCs w:val="24"/>
        </w:rPr>
        <w:t xml:space="preserve"> nacionales que requieren logísticas especiales para su comercialización, como GNC o GNL</w:t>
      </w:r>
      <w:r w:rsidR="00B3583F">
        <w:rPr>
          <w:rFonts w:ascii="Bookman Old Style" w:hAnsi="Bookman Old Style" w:cs="Arial"/>
          <w:b/>
          <w:bCs/>
          <w:color w:val="000000" w:themeColor="text1"/>
          <w:sz w:val="24"/>
          <w:szCs w:val="24"/>
        </w:rPr>
        <w:t>.</w:t>
      </w:r>
    </w:p>
    <w:p w14:paraId="212E63FF" w14:textId="77777777" w:rsidR="0006302B" w:rsidRDefault="0006302B" w:rsidP="0006302B">
      <w:pPr>
        <w:pStyle w:val="Prrafodelista"/>
        <w:rPr>
          <w:rFonts w:ascii="Bookman Old Style" w:hAnsi="Bookman Old Style" w:cs="Arial"/>
          <w:color w:val="000000" w:themeColor="text1"/>
        </w:rPr>
      </w:pPr>
    </w:p>
    <w:p w14:paraId="23FBE1DD" w14:textId="77777777" w:rsidR="0006302B" w:rsidRPr="0013707D" w:rsidRDefault="0006302B" w:rsidP="0006302B">
      <w:pPr>
        <w:pStyle w:val="ARTICULOS"/>
        <w:numPr>
          <w:ilvl w:val="1"/>
          <w:numId w:val="13"/>
        </w:numPr>
        <w:ind w:left="567" w:hanging="567"/>
        <w:rPr>
          <w:color w:val="000000" w:themeColor="text1"/>
          <w:lang w:val="es-CO"/>
        </w:rPr>
      </w:pPr>
      <w:r w:rsidRPr="0013707D">
        <w:rPr>
          <w:color w:val="000000" w:themeColor="text1"/>
          <w:lang w:val="es-CO"/>
        </w:rPr>
        <w:t xml:space="preserve">Los </w:t>
      </w:r>
      <w:r w:rsidRPr="0013707D">
        <w:rPr>
          <w:rFonts w:cs="Arial"/>
          <w:color w:val="000000" w:themeColor="text1"/>
          <w:lang w:val="es-CO"/>
        </w:rPr>
        <w:t xml:space="preserve">comercializadores de gas importado sólo </w:t>
      </w:r>
      <w:r w:rsidRPr="0013707D">
        <w:rPr>
          <w:color w:val="000000" w:themeColor="text1"/>
          <w:lang w:val="es-CO"/>
        </w:rPr>
        <w:t>podrán comercializar gas natural mediante negociaciones directas</w:t>
      </w:r>
      <w:r w:rsidRPr="0013707D">
        <w:rPr>
          <w:rFonts w:cs="Arial"/>
          <w:color w:val="000000" w:themeColor="text1"/>
          <w:lang w:val="es-CO"/>
        </w:rPr>
        <w:t>, en cualquier momento del año,</w:t>
      </w:r>
      <w:r w:rsidRPr="0013707D">
        <w:rPr>
          <w:color w:val="000000" w:themeColor="text1"/>
          <w:lang w:val="es-CO"/>
        </w:rPr>
        <w:t xml:space="preserve"> en los siguientes casos:</w:t>
      </w:r>
    </w:p>
    <w:p w14:paraId="1114A8C4" w14:textId="77777777" w:rsidR="0006302B" w:rsidRPr="0013707D" w:rsidRDefault="0006302B" w:rsidP="0006302B">
      <w:pPr>
        <w:pStyle w:val="Prrafodelista"/>
        <w:rPr>
          <w:rFonts w:ascii="Bookman Old Style" w:hAnsi="Bookman Old Style"/>
          <w:b/>
          <w:color w:val="000000" w:themeColor="text1"/>
          <w:sz w:val="24"/>
          <w:szCs w:val="24"/>
        </w:rPr>
      </w:pPr>
    </w:p>
    <w:p w14:paraId="609B13A2" w14:textId="77777777" w:rsidR="0006302B" w:rsidRPr="0013707D" w:rsidRDefault="0006302B" w:rsidP="0006302B">
      <w:pPr>
        <w:numPr>
          <w:ilvl w:val="0"/>
          <w:numId w:val="16"/>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Cuando se destine a la atención de la demanda del sector térmico, en los términos señalados en la Resolución CREG 062 de 2013, o aquellas que la modifiquen o sustituyan.</w:t>
      </w:r>
    </w:p>
    <w:p w14:paraId="384D230A" w14:textId="77777777" w:rsidR="0006302B" w:rsidRPr="0013707D" w:rsidRDefault="0006302B" w:rsidP="0006302B">
      <w:pPr>
        <w:pStyle w:val="Prrafodelista"/>
        <w:ind w:left="1134"/>
        <w:contextualSpacing/>
        <w:jc w:val="both"/>
        <w:rPr>
          <w:rFonts w:ascii="Bookman Old Style" w:hAnsi="Bookman Old Style" w:cs="Arial"/>
          <w:color w:val="000000" w:themeColor="text1"/>
          <w:sz w:val="24"/>
          <w:szCs w:val="24"/>
          <w:lang w:eastAsia="es-ES"/>
        </w:rPr>
      </w:pPr>
    </w:p>
    <w:p w14:paraId="024613C6" w14:textId="77777777" w:rsidR="0006302B" w:rsidRDefault="0006302B" w:rsidP="0006302B">
      <w:pPr>
        <w:numPr>
          <w:ilvl w:val="0"/>
          <w:numId w:val="16"/>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Cuando se ofrezca mediante la modalidad de contrato de suministro de contingencia.</w:t>
      </w:r>
    </w:p>
    <w:p w14:paraId="55713DF0" w14:textId="77777777" w:rsidR="0006302B" w:rsidRDefault="0006302B" w:rsidP="0006302B">
      <w:pPr>
        <w:pStyle w:val="Prrafodelista"/>
        <w:rPr>
          <w:rFonts w:ascii="Bookman Old Style" w:hAnsi="Bookman Old Style"/>
          <w:color w:val="000000" w:themeColor="text1"/>
        </w:rPr>
      </w:pPr>
    </w:p>
    <w:p w14:paraId="74620411" w14:textId="2B4493B0" w:rsidR="0006302B" w:rsidRPr="00C16DFF" w:rsidRDefault="0006302B" w:rsidP="0006302B">
      <w:pPr>
        <w:numPr>
          <w:ilvl w:val="0"/>
          <w:numId w:val="16"/>
        </w:numPr>
        <w:autoSpaceDE w:val="0"/>
        <w:autoSpaceDN w:val="0"/>
        <w:adjustRightInd w:val="0"/>
        <w:ind w:left="1134" w:hanging="567"/>
        <w:jc w:val="both"/>
        <w:rPr>
          <w:rFonts w:ascii="Bookman Old Style" w:hAnsi="Bookman Old Style" w:cs="Arial"/>
          <w:b/>
          <w:bCs/>
          <w:color w:val="000000" w:themeColor="text1"/>
          <w:lang w:val="es-CO"/>
        </w:rPr>
      </w:pPr>
      <w:r w:rsidRPr="00C16DFF">
        <w:rPr>
          <w:rFonts w:ascii="Bookman Old Style" w:hAnsi="Bookman Old Style" w:cs="Arial"/>
          <w:b/>
          <w:bCs/>
          <w:color w:val="000000" w:themeColor="text1"/>
        </w:rPr>
        <w:t xml:space="preserve">Cuando se destine en general al servicio público de gas combustible, ya sea que </w:t>
      </w:r>
      <w:r w:rsidRPr="00C16DFF">
        <w:rPr>
          <w:rFonts w:ascii="Bookman Old Style" w:hAnsi="Bookman Old Style"/>
          <w:b/>
          <w:bCs/>
          <w:color w:val="000000" w:themeColor="text1"/>
        </w:rPr>
        <w:t>se trate de cualquiera de las siguientes situaciones: i.) suministro de gas natural mediante interconexión internacional; ii.) suministro de gas natural mediante infraestructuras de importación establecidas en el Plan de Abastecimiento de Gas Natural vigente; iii.) suministro de gas natural licuado</w:t>
      </w:r>
      <w:r w:rsidR="00B3583F">
        <w:rPr>
          <w:rFonts w:ascii="Bookman Old Style" w:hAnsi="Bookman Old Style"/>
          <w:b/>
          <w:bCs/>
          <w:color w:val="000000" w:themeColor="text1"/>
        </w:rPr>
        <w:t>,</w:t>
      </w:r>
      <w:r w:rsidRPr="00C16DFF">
        <w:rPr>
          <w:rFonts w:ascii="Bookman Old Style" w:hAnsi="Bookman Old Style"/>
          <w:b/>
          <w:bCs/>
          <w:color w:val="000000" w:themeColor="text1"/>
        </w:rPr>
        <w:t xml:space="preserve"> o de gas natural comprimido; o, iv) suministro de gas natural mediante infraestructuras de importación no establecidas en el Plan de Abastecimiento de Gas Natural vigente</w:t>
      </w:r>
      <w:r w:rsidRPr="00C16DFF">
        <w:rPr>
          <w:rFonts w:ascii="Bookman Old Style" w:hAnsi="Bookman Old Style"/>
          <w:b/>
          <w:bCs/>
          <w:color w:val="000000" w:themeColor="text1"/>
          <w:lang w:val="es-CO"/>
        </w:rPr>
        <w:t>.</w:t>
      </w:r>
    </w:p>
    <w:p w14:paraId="6F42F5E3" w14:textId="77777777" w:rsidR="0006302B" w:rsidRPr="00230961" w:rsidRDefault="0006302B" w:rsidP="0006302B">
      <w:pPr>
        <w:autoSpaceDE w:val="0"/>
        <w:autoSpaceDN w:val="0"/>
        <w:adjustRightInd w:val="0"/>
        <w:jc w:val="both"/>
        <w:rPr>
          <w:rFonts w:ascii="Bookman Old Style" w:hAnsi="Bookman Old Style" w:cs="Arial"/>
          <w:color w:val="000000" w:themeColor="text1"/>
          <w:highlight w:val="green"/>
          <w:lang w:val="es-CO"/>
        </w:rPr>
      </w:pPr>
    </w:p>
    <w:p w14:paraId="76DFED16" w14:textId="2600B1EF" w:rsidR="0006302B" w:rsidRPr="00191320" w:rsidRDefault="00B9317C" w:rsidP="00A4790E">
      <w:pPr>
        <w:pStyle w:val="Prrafodelista"/>
        <w:numPr>
          <w:ilvl w:val="0"/>
          <w:numId w:val="86"/>
        </w:numPr>
        <w:ind w:left="1134" w:hanging="1134"/>
        <w:jc w:val="both"/>
        <w:rPr>
          <w:rFonts w:ascii="Bookman Old Style" w:hAnsi="Bookman Old Style"/>
          <w:b/>
          <w:bCs/>
          <w:vanish/>
          <w:color w:val="000000" w:themeColor="text1"/>
          <w:sz w:val="24"/>
          <w:szCs w:val="24"/>
          <w:highlight w:val="yellow"/>
        </w:rPr>
      </w:pPr>
      <w:r w:rsidRPr="00191320">
        <w:rPr>
          <w:rFonts w:ascii="Bookman Old Style" w:hAnsi="Bookman Old Style"/>
          <w:b/>
          <w:bCs/>
          <w:vanish/>
          <w:color w:val="000000" w:themeColor="text1"/>
          <w:sz w:val="24"/>
          <w:szCs w:val="24"/>
          <w:highlight w:val="yellow"/>
        </w:rPr>
        <w:t>xxxx</w:t>
      </w:r>
    </w:p>
    <w:p w14:paraId="07976D4A" w14:textId="7F896BC6" w:rsidR="0006302B" w:rsidRPr="00D81030" w:rsidRDefault="0006302B" w:rsidP="00A4790E">
      <w:pPr>
        <w:pStyle w:val="Prrafodelista"/>
        <w:numPr>
          <w:ilvl w:val="0"/>
          <w:numId w:val="86"/>
        </w:numPr>
        <w:ind w:left="567" w:hanging="567"/>
        <w:jc w:val="both"/>
        <w:rPr>
          <w:rFonts w:ascii="Bookman Old Style" w:hAnsi="Bookman Old Style"/>
          <w:b/>
          <w:bCs/>
          <w:color w:val="000000" w:themeColor="text1"/>
          <w:sz w:val="24"/>
          <w:szCs w:val="24"/>
        </w:rPr>
      </w:pPr>
      <w:r w:rsidRPr="00C16DFF">
        <w:rPr>
          <w:rFonts w:ascii="Bookman Old Style" w:hAnsi="Bookman Old Style"/>
          <w:b/>
          <w:bCs/>
          <w:color w:val="000000" w:themeColor="text1"/>
          <w:sz w:val="24"/>
          <w:szCs w:val="24"/>
        </w:rPr>
        <w:t xml:space="preserve">Cuando se traten de cantidades </w:t>
      </w:r>
      <w:r>
        <w:rPr>
          <w:rFonts w:ascii="Bookman Old Style" w:hAnsi="Bookman Old Style"/>
          <w:b/>
          <w:bCs/>
          <w:color w:val="000000" w:themeColor="text1"/>
          <w:sz w:val="24"/>
          <w:szCs w:val="24"/>
        </w:rPr>
        <w:t xml:space="preserve">liberadas </w:t>
      </w:r>
      <w:r w:rsidRPr="00D81030">
        <w:rPr>
          <w:rFonts w:ascii="Bookman Old Style" w:hAnsi="Bookman Old Style"/>
          <w:b/>
          <w:bCs/>
          <w:color w:val="000000" w:themeColor="text1"/>
          <w:sz w:val="24"/>
          <w:szCs w:val="24"/>
        </w:rPr>
        <w:t>de gas natural ante eventos de fuerza mayor, caso fortuito o causa extraña que hayan estado comprometidas para la atención del consumo propio de los Productores</w:t>
      </w:r>
      <w:r w:rsidR="00295CA4" w:rsidRPr="00D81030">
        <w:rPr>
          <w:rFonts w:ascii="Bookman Old Style" w:hAnsi="Bookman Old Style"/>
          <w:b/>
          <w:bCs/>
          <w:color w:val="000000" w:themeColor="text1"/>
          <w:sz w:val="24"/>
          <w:szCs w:val="24"/>
        </w:rPr>
        <w:t>,</w:t>
      </w:r>
      <w:r w:rsidRPr="00D81030">
        <w:rPr>
          <w:rFonts w:ascii="Bookman Old Style" w:hAnsi="Bookman Old Style"/>
          <w:b/>
          <w:bCs/>
          <w:color w:val="000000" w:themeColor="text1"/>
          <w:sz w:val="24"/>
          <w:szCs w:val="24"/>
        </w:rPr>
        <w:t xml:space="preserve"> cuyos contratos hayan sido registrados ante el </w:t>
      </w:r>
      <w:r w:rsidR="0022131A" w:rsidRPr="00D81030">
        <w:rPr>
          <w:rFonts w:ascii="Bookman Old Style" w:hAnsi="Bookman Old Style"/>
          <w:b/>
          <w:sz w:val="24"/>
          <w:szCs w:val="24"/>
        </w:rPr>
        <w:t>Gestor</w:t>
      </w:r>
      <w:r w:rsidRPr="00D81030">
        <w:rPr>
          <w:rFonts w:ascii="Bookman Old Style" w:hAnsi="Bookman Old Style"/>
          <w:b/>
          <w:sz w:val="24"/>
          <w:szCs w:val="24"/>
        </w:rPr>
        <w:t xml:space="preserve"> del</w:t>
      </w:r>
      <w:r w:rsidRPr="00D81030">
        <w:rPr>
          <w:rFonts w:ascii="Bookman Old Style" w:hAnsi="Bookman Old Style"/>
          <w:b/>
          <w:bCs/>
          <w:sz w:val="24"/>
          <w:szCs w:val="24"/>
        </w:rPr>
        <w:t xml:space="preserve"> </w:t>
      </w:r>
      <w:r w:rsidRPr="00D81030">
        <w:rPr>
          <w:rFonts w:ascii="Bookman Old Style" w:hAnsi="Bookman Old Style"/>
          <w:b/>
          <w:bCs/>
          <w:color w:val="000000" w:themeColor="text1"/>
          <w:sz w:val="24"/>
          <w:szCs w:val="24"/>
        </w:rPr>
        <w:t xml:space="preserve">Mercado conforme a lo dispuesto </w:t>
      </w:r>
      <w:r w:rsidR="00E06845" w:rsidRPr="00D81030">
        <w:rPr>
          <w:rFonts w:ascii="Bookman Old Style" w:hAnsi="Bookman Old Style"/>
          <w:b/>
          <w:bCs/>
          <w:color w:val="000000" w:themeColor="text1"/>
          <w:sz w:val="24"/>
          <w:szCs w:val="24"/>
        </w:rPr>
        <w:t xml:space="preserve">a lo dispuesto en el </w:t>
      </w:r>
      <w:r w:rsidR="007F3D18">
        <w:rPr>
          <w:rFonts w:ascii="Bookman Old Style" w:hAnsi="Bookman Old Style"/>
          <w:b/>
          <w:bCs/>
          <w:color w:val="000000" w:themeColor="text1"/>
          <w:sz w:val="24"/>
          <w:szCs w:val="24"/>
        </w:rPr>
        <w:t>a</w:t>
      </w:r>
      <w:r w:rsidR="00E06845" w:rsidRPr="00D81030">
        <w:rPr>
          <w:rFonts w:ascii="Bookman Old Style" w:hAnsi="Bookman Old Style"/>
          <w:b/>
          <w:bCs/>
          <w:color w:val="000000" w:themeColor="text1"/>
          <w:sz w:val="24"/>
          <w:szCs w:val="24"/>
        </w:rPr>
        <w:t xml:space="preserve">rtículo 39 de </w:t>
      </w:r>
      <w:r w:rsidRPr="00D81030">
        <w:rPr>
          <w:rFonts w:ascii="Bookman Old Style" w:hAnsi="Bookman Old Style"/>
          <w:b/>
          <w:bCs/>
          <w:color w:val="000000" w:themeColor="text1"/>
          <w:sz w:val="24"/>
          <w:szCs w:val="24"/>
        </w:rPr>
        <w:t>la presente resolución. En este caso</w:t>
      </w:r>
      <w:r w:rsidR="00B3583F" w:rsidRPr="00D81030">
        <w:rPr>
          <w:rFonts w:ascii="Bookman Old Style" w:hAnsi="Bookman Old Style"/>
          <w:b/>
          <w:bCs/>
          <w:color w:val="000000" w:themeColor="text1"/>
          <w:sz w:val="24"/>
          <w:szCs w:val="24"/>
        </w:rPr>
        <w:t>,</w:t>
      </w:r>
      <w:r w:rsidRPr="00D81030">
        <w:rPr>
          <w:rFonts w:ascii="Bookman Old Style" w:hAnsi="Bookman Old Style"/>
          <w:b/>
          <w:bCs/>
          <w:color w:val="000000" w:themeColor="text1"/>
          <w:sz w:val="24"/>
          <w:szCs w:val="24"/>
        </w:rPr>
        <w:t xml:space="preserve"> los Productores </w:t>
      </w:r>
      <w:r w:rsidR="00C063B0" w:rsidRPr="00D81030">
        <w:rPr>
          <w:rFonts w:ascii="Bookman Old Style" w:hAnsi="Bookman Old Style"/>
          <w:b/>
          <w:bCs/>
          <w:color w:val="000000" w:themeColor="text1"/>
          <w:sz w:val="24"/>
          <w:szCs w:val="24"/>
        </w:rPr>
        <w:t xml:space="preserve">podrán </w:t>
      </w:r>
      <w:r w:rsidRPr="00D81030">
        <w:rPr>
          <w:rFonts w:ascii="Bookman Old Style" w:hAnsi="Bookman Old Style"/>
          <w:b/>
          <w:bCs/>
          <w:color w:val="000000" w:themeColor="text1"/>
          <w:sz w:val="24"/>
          <w:szCs w:val="24"/>
        </w:rPr>
        <w:t xml:space="preserve">negociar </w:t>
      </w:r>
      <w:r w:rsidRPr="00D81030">
        <w:rPr>
          <w:rFonts w:ascii="Bookman Old Style" w:hAnsi="Bookman Old Style"/>
          <w:b/>
          <w:bCs/>
          <w:color w:val="000000" w:themeColor="text1"/>
          <w:sz w:val="24"/>
          <w:szCs w:val="24"/>
        </w:rPr>
        <w:lastRenderedPageBreak/>
        <w:t>contratos de suministro directamente</w:t>
      </w:r>
      <w:r w:rsidR="00DE25AC" w:rsidRPr="00D81030">
        <w:rPr>
          <w:rFonts w:ascii="Bookman Old Style" w:hAnsi="Bookman Old Style"/>
          <w:b/>
          <w:bCs/>
          <w:color w:val="000000" w:themeColor="text1"/>
          <w:sz w:val="24"/>
          <w:szCs w:val="24"/>
        </w:rPr>
        <w:t>, solamente</w:t>
      </w:r>
      <w:r w:rsidRPr="00D81030">
        <w:rPr>
          <w:rFonts w:ascii="Bookman Old Style" w:hAnsi="Bookman Old Style"/>
          <w:b/>
          <w:bCs/>
          <w:color w:val="000000" w:themeColor="text1"/>
          <w:sz w:val="24"/>
          <w:szCs w:val="24"/>
        </w:rPr>
        <w:t xml:space="preserve"> de duración semanal. </w:t>
      </w:r>
    </w:p>
    <w:p w14:paraId="574872F1" w14:textId="77777777" w:rsidR="0006302B" w:rsidRPr="00D81030" w:rsidRDefault="0006302B" w:rsidP="0006302B">
      <w:pPr>
        <w:autoSpaceDE w:val="0"/>
        <w:autoSpaceDN w:val="0"/>
        <w:adjustRightInd w:val="0"/>
        <w:ind w:left="0"/>
        <w:jc w:val="both"/>
        <w:rPr>
          <w:rFonts w:ascii="Bookman Old Style" w:hAnsi="Bookman Old Style" w:cs="Arial"/>
          <w:color w:val="000000" w:themeColor="text1"/>
          <w:lang w:val="es-CO"/>
        </w:rPr>
      </w:pPr>
    </w:p>
    <w:bookmarkEnd w:id="50"/>
    <w:bookmarkEnd w:id="51"/>
    <w:bookmarkEnd w:id="52"/>
    <w:bookmarkEnd w:id="53"/>
    <w:p w14:paraId="7B0C3692" w14:textId="51321212" w:rsidR="0006302B" w:rsidRPr="00D81030" w:rsidRDefault="0006302B" w:rsidP="0006302B">
      <w:pPr>
        <w:pStyle w:val="ARTICULOS"/>
        <w:outlineLvl w:val="0"/>
        <w:rPr>
          <w:lang w:val="es-CO"/>
        </w:rPr>
      </w:pPr>
      <w:r w:rsidRPr="00D81030">
        <w:rPr>
          <w:b/>
          <w:lang w:val="es-CO"/>
        </w:rPr>
        <w:t>Contratos objeto de las negociaciones directas en cualquier momento del año.</w:t>
      </w:r>
      <w:r w:rsidRPr="00D81030">
        <w:rPr>
          <w:lang w:val="es-CO"/>
        </w:rPr>
        <w:t xml:space="preserve"> En las negociaciones directas a las que se hace referencia en el </w:t>
      </w:r>
      <w:r w:rsidR="00C40303">
        <w:rPr>
          <w:lang w:val="es-CO"/>
        </w:rPr>
        <w:t>a</w:t>
      </w:r>
      <w:r w:rsidRPr="00D81030">
        <w:rPr>
          <w:lang w:val="es-CO"/>
        </w:rPr>
        <w:t xml:space="preserve">rtículo 19 de esta Resolución sólo se podrán pactar contratos de suministro a los que se hace referencia en los numerales </w:t>
      </w:r>
      <w:r w:rsidRPr="00D81030">
        <w:rPr>
          <w:lang w:val="es-CO"/>
        </w:rPr>
        <w:fldChar w:fldCharType="begin"/>
      </w:r>
      <w:r w:rsidRPr="00D81030">
        <w:rPr>
          <w:lang w:val="es-CO"/>
        </w:rPr>
        <w:instrText xml:space="preserve"> REF _Ref329186455 \r \h  \* MERGEFORMAT </w:instrText>
      </w:r>
      <w:r w:rsidRPr="00D81030">
        <w:rPr>
          <w:lang w:val="es-CO"/>
        </w:rPr>
      </w:r>
      <w:r w:rsidRPr="00D81030">
        <w:rPr>
          <w:lang w:val="es-CO"/>
        </w:rPr>
        <w:fldChar w:fldCharType="separate"/>
      </w:r>
      <w:r w:rsidR="00636B6A">
        <w:rPr>
          <w:lang w:val="es-CO"/>
        </w:rPr>
        <w:t>1</w:t>
      </w:r>
      <w:r w:rsidRPr="00D81030">
        <w:rPr>
          <w:lang w:val="es-CO"/>
        </w:rPr>
        <w:fldChar w:fldCharType="end"/>
      </w:r>
      <w:r w:rsidRPr="00D81030">
        <w:rPr>
          <w:lang w:val="es-CO"/>
        </w:rPr>
        <w:t xml:space="preserve">, </w:t>
      </w:r>
      <w:r w:rsidR="00C12960" w:rsidRPr="00D81030">
        <w:rPr>
          <w:lang w:val="es-CO"/>
        </w:rPr>
        <w:t>2, 3</w:t>
      </w:r>
      <w:r w:rsidRPr="00D81030">
        <w:rPr>
          <w:lang w:val="es-CO"/>
        </w:rPr>
        <w:t xml:space="preserve">, 4, 5, </w:t>
      </w:r>
      <w:r w:rsidRPr="00D81030">
        <w:rPr>
          <w:b/>
          <w:bCs w:val="0"/>
          <w:lang w:val="es-CO"/>
        </w:rPr>
        <w:t xml:space="preserve">6 </w:t>
      </w:r>
      <w:r w:rsidRPr="00D81030">
        <w:rPr>
          <w:lang w:val="es-CO"/>
        </w:rPr>
        <w:t>y 7</w:t>
      </w:r>
      <w:r w:rsidR="000A1F46" w:rsidRPr="00D81030">
        <w:rPr>
          <w:lang w:val="es-CO"/>
        </w:rPr>
        <w:t>,</w:t>
      </w:r>
      <w:r w:rsidRPr="00D81030">
        <w:rPr>
          <w:lang w:val="es-CO"/>
        </w:rPr>
        <w:t xml:space="preserve"> del </w:t>
      </w:r>
      <w:r w:rsidR="00AC3021">
        <w:rPr>
          <w:lang w:val="es-CO"/>
        </w:rPr>
        <w:t>a</w:t>
      </w:r>
      <w:r w:rsidRPr="00D81030">
        <w:rPr>
          <w:lang w:val="es-CO"/>
        </w:rPr>
        <w:t xml:space="preserve">rtículo 8 de la presente Resolución, los cuales </w:t>
      </w:r>
      <w:r w:rsidRPr="00D81030">
        <w:rPr>
          <w:rFonts w:cs="Arial"/>
          <w:lang w:val="es-CO"/>
        </w:rPr>
        <w:t xml:space="preserve">se sujetarán a lo dispuesto en los capítulos I, II </w:t>
      </w:r>
      <w:r w:rsidRPr="00D81030">
        <w:rPr>
          <w:rFonts w:cs="Arial"/>
          <w:b/>
          <w:bCs w:val="0"/>
          <w:lang w:val="es-CO"/>
        </w:rPr>
        <w:t>y III</w:t>
      </w:r>
      <w:r w:rsidRPr="00D81030">
        <w:rPr>
          <w:rFonts w:cs="Arial"/>
          <w:lang w:val="es-CO"/>
        </w:rPr>
        <w:t xml:space="preserve"> del título III de la presente Resolución</w:t>
      </w:r>
      <w:r w:rsidRPr="00D81030">
        <w:rPr>
          <w:lang w:val="es-CO"/>
        </w:rPr>
        <w:t xml:space="preserve">. Los contratos celebrados tendrán la duración que acuerden las partes, pero deberán tener como fecha de terminación el </w:t>
      </w:r>
      <w:r w:rsidRPr="00D81030">
        <w:rPr>
          <w:b/>
          <w:bCs w:val="0"/>
          <w:lang w:val="es-CO"/>
        </w:rPr>
        <w:t>último día calendario de un Trimestre Estándar</w:t>
      </w:r>
      <w:r w:rsidRPr="00D81030">
        <w:rPr>
          <w:lang w:val="es-CO"/>
        </w:rPr>
        <w:t xml:space="preserve">. </w:t>
      </w:r>
    </w:p>
    <w:p w14:paraId="1E966D90" w14:textId="77777777" w:rsidR="0006302B" w:rsidRPr="00D81030" w:rsidRDefault="0006302B" w:rsidP="0006302B">
      <w:pPr>
        <w:pStyle w:val="ARTICULOS"/>
        <w:numPr>
          <w:ilvl w:val="0"/>
          <w:numId w:val="0"/>
        </w:numPr>
        <w:rPr>
          <w:b/>
          <w:color w:val="000000" w:themeColor="text1"/>
          <w:lang w:val="es-CO"/>
        </w:rPr>
      </w:pPr>
    </w:p>
    <w:p w14:paraId="0BF5DDCB" w14:textId="7FB8725E" w:rsidR="0006302B" w:rsidRPr="00D81030" w:rsidRDefault="0006302B" w:rsidP="0006302B">
      <w:pPr>
        <w:pStyle w:val="ARTICULOS"/>
        <w:numPr>
          <w:ilvl w:val="0"/>
          <w:numId w:val="0"/>
        </w:numPr>
        <w:rPr>
          <w:lang w:val="es-ES"/>
        </w:rPr>
      </w:pPr>
      <w:r w:rsidRPr="00D81030">
        <w:rPr>
          <w:b/>
          <w:bCs w:val="0"/>
          <w:color w:val="000000" w:themeColor="text1"/>
          <w:lang w:val="es-CO" w:eastAsia="es-ES"/>
        </w:rPr>
        <w:t>Parágrafo.</w:t>
      </w:r>
      <w:r w:rsidRPr="00D81030">
        <w:rPr>
          <w:bCs w:val="0"/>
          <w:color w:val="000000" w:themeColor="text1"/>
          <w:lang w:val="es-CO" w:eastAsia="es-ES"/>
        </w:rPr>
        <w:t xml:space="preserve"> De esta disposición se exceptúan los casos señalados en el numeral i del literal a) del numeral 1, en </w:t>
      </w:r>
      <w:r w:rsidR="00665AC9" w:rsidRPr="00D81030">
        <w:rPr>
          <w:bCs w:val="0"/>
          <w:color w:val="000000" w:themeColor="text1"/>
          <w:lang w:val="es-CO" w:eastAsia="es-ES"/>
        </w:rPr>
        <w:t>los</w:t>
      </w:r>
      <w:r w:rsidRPr="00D81030">
        <w:rPr>
          <w:bCs w:val="0"/>
          <w:color w:val="000000" w:themeColor="text1"/>
          <w:lang w:val="es-CO" w:eastAsia="es-ES"/>
        </w:rPr>
        <w:t xml:space="preserve"> literal</w:t>
      </w:r>
      <w:r w:rsidR="00665AC9" w:rsidRPr="00D81030">
        <w:rPr>
          <w:bCs w:val="0"/>
          <w:color w:val="000000" w:themeColor="text1"/>
          <w:lang w:val="es-CO" w:eastAsia="es-ES"/>
        </w:rPr>
        <w:t>es</w:t>
      </w:r>
      <w:r w:rsidRPr="00D81030">
        <w:rPr>
          <w:bCs w:val="0"/>
          <w:color w:val="000000" w:themeColor="text1"/>
          <w:lang w:val="es-CO" w:eastAsia="es-ES"/>
        </w:rPr>
        <w:t xml:space="preserve"> b) </w:t>
      </w:r>
      <w:r w:rsidR="00F47D8A" w:rsidRPr="00D81030">
        <w:rPr>
          <w:b/>
          <w:color w:val="000000" w:themeColor="text1"/>
          <w:lang w:val="es-CO" w:eastAsia="es-ES"/>
        </w:rPr>
        <w:t xml:space="preserve">y </w:t>
      </w:r>
      <w:r w:rsidR="00FB5730">
        <w:rPr>
          <w:b/>
          <w:color w:val="000000" w:themeColor="text1"/>
          <w:lang w:val="es-CO" w:eastAsia="es-ES"/>
        </w:rPr>
        <w:t>f</w:t>
      </w:r>
      <w:r w:rsidR="00F47D8A" w:rsidRPr="00D81030">
        <w:rPr>
          <w:b/>
          <w:color w:val="000000" w:themeColor="text1"/>
          <w:lang w:val="es-CO" w:eastAsia="es-ES"/>
        </w:rPr>
        <w:t>)</w:t>
      </w:r>
      <w:r w:rsidR="00F47D8A" w:rsidRPr="00D81030">
        <w:rPr>
          <w:bCs w:val="0"/>
          <w:color w:val="000000" w:themeColor="text1"/>
          <w:lang w:val="es-CO" w:eastAsia="es-ES"/>
        </w:rPr>
        <w:t xml:space="preserve"> </w:t>
      </w:r>
      <w:r w:rsidRPr="00D81030">
        <w:rPr>
          <w:bCs w:val="0"/>
          <w:color w:val="000000" w:themeColor="text1"/>
          <w:lang w:val="es-CO" w:eastAsia="es-ES"/>
        </w:rPr>
        <w:t>del numeral 1,</w:t>
      </w:r>
      <w:r w:rsidR="00665AC9" w:rsidRPr="00D81030">
        <w:rPr>
          <w:bCs w:val="0"/>
          <w:color w:val="000000" w:themeColor="text1"/>
          <w:lang w:val="es-CO" w:eastAsia="es-ES"/>
        </w:rPr>
        <w:t xml:space="preserve"> </w:t>
      </w:r>
      <w:r w:rsidRPr="00D81030">
        <w:rPr>
          <w:bCs w:val="0"/>
          <w:color w:val="000000" w:themeColor="text1"/>
          <w:lang w:val="es-CO" w:eastAsia="es-ES"/>
        </w:rPr>
        <w:t xml:space="preserve">los literales a) </w:t>
      </w:r>
      <w:r w:rsidRPr="00D81030">
        <w:rPr>
          <w:b/>
          <w:color w:val="000000" w:themeColor="text1"/>
          <w:lang w:val="es-CO" w:eastAsia="es-ES"/>
        </w:rPr>
        <w:t xml:space="preserve">y c) </w:t>
      </w:r>
      <w:r w:rsidRPr="00D81030">
        <w:rPr>
          <w:bCs w:val="0"/>
          <w:color w:val="000000" w:themeColor="text1"/>
          <w:lang w:val="es-CO" w:eastAsia="es-ES"/>
        </w:rPr>
        <w:t>del numeral 2</w:t>
      </w:r>
      <w:r w:rsidRPr="00D81030">
        <w:rPr>
          <w:b/>
          <w:color w:val="000000" w:themeColor="text1"/>
          <w:lang w:val="es-CO" w:eastAsia="es-ES"/>
        </w:rPr>
        <w:t xml:space="preserve"> </w:t>
      </w:r>
      <w:r w:rsidRPr="00D81030">
        <w:rPr>
          <w:bCs w:val="0"/>
          <w:color w:val="000000" w:themeColor="text1"/>
          <w:lang w:val="es-CO" w:eastAsia="es-ES"/>
        </w:rPr>
        <w:t xml:space="preserve">del </w:t>
      </w:r>
      <w:r w:rsidR="00AC3021">
        <w:rPr>
          <w:bCs w:val="0"/>
          <w:color w:val="000000" w:themeColor="text1"/>
          <w:lang w:val="es-CO" w:eastAsia="es-ES"/>
        </w:rPr>
        <w:t>a</w:t>
      </w:r>
      <w:r w:rsidRPr="00D81030">
        <w:rPr>
          <w:bCs w:val="0"/>
          <w:color w:val="000000" w:themeColor="text1"/>
          <w:lang w:val="es-CO" w:eastAsia="es-ES"/>
        </w:rPr>
        <w:t xml:space="preserve">rtículo 19 de esta Resolución, </w:t>
      </w:r>
      <w:r w:rsidRPr="00D81030">
        <w:rPr>
          <w:b/>
          <w:color w:val="000000" w:themeColor="text1"/>
          <w:lang w:val="es-CO" w:eastAsia="es-ES"/>
        </w:rPr>
        <w:t>siempre y cuando el suministro del gas que se contrat</w:t>
      </w:r>
      <w:r w:rsidR="008B151A">
        <w:rPr>
          <w:b/>
          <w:color w:val="000000" w:themeColor="text1"/>
          <w:lang w:val="es-CO" w:eastAsia="es-ES"/>
        </w:rPr>
        <w:t>e</w:t>
      </w:r>
      <w:r w:rsidRPr="00D81030">
        <w:rPr>
          <w:b/>
          <w:color w:val="000000" w:themeColor="text1"/>
          <w:lang w:val="es-CO" w:eastAsia="es-ES"/>
        </w:rPr>
        <w:t xml:space="preserve"> provenga de una sola Fuente de Suministro</w:t>
      </w:r>
      <w:r w:rsidR="00221D7C" w:rsidRPr="00D81030">
        <w:rPr>
          <w:b/>
          <w:color w:val="000000" w:themeColor="text1"/>
          <w:lang w:val="es-CO" w:eastAsia="es-ES"/>
        </w:rPr>
        <w:t xml:space="preserve"> y no tenga por objeto el suministro </w:t>
      </w:r>
      <w:r w:rsidR="005D3FB0" w:rsidRPr="00D81030">
        <w:rPr>
          <w:b/>
          <w:color w:val="000000" w:themeColor="text1"/>
          <w:lang w:val="es-CO" w:eastAsia="es-ES"/>
        </w:rPr>
        <w:t xml:space="preserve">de gas natural </w:t>
      </w:r>
      <w:r w:rsidR="00221D7C" w:rsidRPr="00D81030">
        <w:rPr>
          <w:b/>
          <w:color w:val="000000" w:themeColor="text1"/>
          <w:lang w:val="es-CO" w:eastAsia="es-ES"/>
        </w:rPr>
        <w:t>en firme o con garantía de firmeza</w:t>
      </w:r>
      <w:r w:rsidR="008A1383" w:rsidRPr="00D81030">
        <w:rPr>
          <w:b/>
          <w:color w:val="000000" w:themeColor="text1"/>
          <w:lang w:val="es-CO" w:eastAsia="es-ES"/>
        </w:rPr>
        <w:t xml:space="preserve"> de una cantidad del gas contratado</w:t>
      </w:r>
      <w:r w:rsidRPr="00D81030">
        <w:rPr>
          <w:b/>
          <w:color w:val="000000" w:themeColor="text1"/>
          <w:lang w:val="es-CO" w:eastAsia="es-ES"/>
        </w:rPr>
        <w:t xml:space="preserve">. </w:t>
      </w:r>
      <w:r w:rsidRPr="00D81030">
        <w:rPr>
          <w:bCs w:val="0"/>
          <w:color w:val="000000" w:themeColor="text1"/>
          <w:lang w:val="es-CO" w:eastAsia="es-ES"/>
        </w:rPr>
        <w:t>En estos casos</w:t>
      </w:r>
      <w:r w:rsidR="005D3FB0" w:rsidRPr="00D81030">
        <w:rPr>
          <w:bCs w:val="0"/>
          <w:color w:val="000000" w:themeColor="text1"/>
          <w:lang w:val="es-CO" w:eastAsia="es-ES"/>
        </w:rPr>
        <w:t xml:space="preserve"> </w:t>
      </w:r>
      <w:r w:rsidR="00576559" w:rsidRPr="00D81030">
        <w:rPr>
          <w:b/>
          <w:color w:val="000000" w:themeColor="text1"/>
          <w:lang w:val="es-CO" w:eastAsia="es-ES"/>
        </w:rPr>
        <w:t>exceptuados</w:t>
      </w:r>
      <w:r w:rsidR="00576559" w:rsidRPr="00D81030">
        <w:rPr>
          <w:bCs w:val="0"/>
          <w:color w:val="000000" w:themeColor="text1"/>
          <w:lang w:val="es-CO" w:eastAsia="es-ES"/>
        </w:rPr>
        <w:t xml:space="preserve"> </w:t>
      </w:r>
      <w:r w:rsidRPr="00D81030">
        <w:rPr>
          <w:bCs w:val="0"/>
          <w:color w:val="000000" w:themeColor="text1"/>
          <w:lang w:val="es-CO" w:eastAsia="es-ES"/>
        </w:rPr>
        <w:t>las partes</w:t>
      </w:r>
      <w:r w:rsidR="00D4238E">
        <w:rPr>
          <w:bCs w:val="0"/>
          <w:color w:val="000000" w:themeColor="text1"/>
          <w:lang w:val="es-CO" w:eastAsia="es-ES"/>
        </w:rPr>
        <w:t>,</w:t>
      </w:r>
      <w:r w:rsidRPr="00D81030">
        <w:rPr>
          <w:bCs w:val="0"/>
          <w:color w:val="000000" w:themeColor="text1"/>
          <w:lang w:val="es-CO" w:eastAsia="es-ES"/>
        </w:rPr>
        <w:t xml:space="preserve"> </w:t>
      </w:r>
      <w:r w:rsidR="007B5CAA" w:rsidRPr="00D81030">
        <w:rPr>
          <w:b/>
          <w:color w:val="000000" w:themeColor="text1"/>
          <w:lang w:val="es-CO" w:eastAsia="es-ES"/>
        </w:rPr>
        <w:t>de común acuerdo,</w:t>
      </w:r>
      <w:r w:rsidR="007B5CAA" w:rsidRPr="00D81030">
        <w:rPr>
          <w:bCs w:val="0"/>
          <w:color w:val="000000" w:themeColor="text1"/>
          <w:lang w:val="es-CO" w:eastAsia="es-ES"/>
        </w:rPr>
        <w:t xml:space="preserve"> </w:t>
      </w:r>
      <w:r w:rsidRPr="00D81030">
        <w:rPr>
          <w:bCs w:val="0"/>
          <w:color w:val="000000" w:themeColor="text1"/>
          <w:lang w:val="es-CO" w:eastAsia="es-ES"/>
        </w:rPr>
        <w:t>definirán las condiciones de los contratos que celebren</w:t>
      </w:r>
      <w:r w:rsidR="007848DA" w:rsidRPr="00D81030">
        <w:rPr>
          <w:bCs w:val="0"/>
          <w:color w:val="000000" w:themeColor="text1"/>
          <w:lang w:val="es-CO" w:eastAsia="es-ES"/>
        </w:rPr>
        <w:t>.</w:t>
      </w:r>
    </w:p>
    <w:p w14:paraId="724A7C3A" w14:textId="77777777" w:rsidR="0006302B" w:rsidRPr="00D81030" w:rsidRDefault="0006302B" w:rsidP="0006302B">
      <w:pPr>
        <w:pStyle w:val="ARTICULOS"/>
        <w:numPr>
          <w:ilvl w:val="0"/>
          <w:numId w:val="0"/>
        </w:numPr>
        <w:outlineLvl w:val="0"/>
        <w:rPr>
          <w:lang w:val="es-CO"/>
        </w:rPr>
      </w:pPr>
    </w:p>
    <w:p w14:paraId="2E8CA1DA" w14:textId="62087A0E" w:rsidR="0006302B" w:rsidRPr="00D81030" w:rsidRDefault="00866A78" w:rsidP="0006302B">
      <w:pPr>
        <w:pStyle w:val="ARTICULOS"/>
        <w:rPr>
          <w:b/>
          <w:color w:val="000000" w:themeColor="text1"/>
          <w:lang w:val="es-CO"/>
        </w:rPr>
      </w:pPr>
      <w:bookmarkStart w:id="54" w:name="_Ref452478136"/>
      <w:r w:rsidRPr="00D81030">
        <w:rPr>
          <w:b/>
          <w:lang w:val="es-CO"/>
        </w:rPr>
        <w:t>Entrega y d</w:t>
      </w:r>
      <w:r w:rsidR="00A56D38" w:rsidRPr="00D81030">
        <w:rPr>
          <w:b/>
          <w:lang w:val="es-CO"/>
        </w:rPr>
        <w:t>ivulgación de información sobre PTDVF/CIDVF</w:t>
      </w:r>
      <w:r w:rsidR="0044069C" w:rsidRPr="00D81030">
        <w:rPr>
          <w:b/>
          <w:lang w:val="es-CO"/>
        </w:rPr>
        <w:t>,</w:t>
      </w:r>
      <w:r w:rsidR="00A56D38" w:rsidRPr="00D81030">
        <w:rPr>
          <w:b/>
          <w:lang w:val="es-CO"/>
        </w:rPr>
        <w:t xml:space="preserve"> disposición a comprar </w:t>
      </w:r>
      <w:r w:rsidR="0044069C" w:rsidRPr="00D81030">
        <w:rPr>
          <w:b/>
          <w:lang w:val="es-CO"/>
        </w:rPr>
        <w:t xml:space="preserve">y </w:t>
      </w:r>
      <w:r w:rsidRPr="00D81030">
        <w:rPr>
          <w:b/>
          <w:lang w:val="es-CO"/>
        </w:rPr>
        <w:t xml:space="preserve">realización de </w:t>
      </w:r>
      <w:r w:rsidR="0044069C" w:rsidRPr="00D81030">
        <w:rPr>
          <w:b/>
          <w:lang w:val="es-CO"/>
        </w:rPr>
        <w:t xml:space="preserve">balances comerciales </w:t>
      </w:r>
      <w:r w:rsidR="00A56D38" w:rsidRPr="00D81030">
        <w:rPr>
          <w:b/>
          <w:lang w:val="es-CO"/>
        </w:rPr>
        <w:t>en el Mercado Primario</w:t>
      </w:r>
      <w:r w:rsidR="0006302B" w:rsidRPr="00D81030">
        <w:rPr>
          <w:b/>
          <w:lang w:val="es-CO"/>
        </w:rPr>
        <w:t>.</w:t>
      </w:r>
      <w:r w:rsidR="0006302B" w:rsidRPr="00D81030">
        <w:rPr>
          <w:lang w:val="es-CO"/>
        </w:rPr>
        <w:t xml:space="preserve"> </w:t>
      </w:r>
      <w:r w:rsidR="0006302B" w:rsidRPr="00D81030">
        <w:rPr>
          <w:b/>
          <w:bCs w:val="0"/>
          <w:lang w:val="es-CO"/>
        </w:rPr>
        <w:t xml:space="preserve">En el mercado primario, durante cada Trimestre Estándar de negociación, se procederá con la negociación de contratos de suministro que requieren Respaldo Físico </w:t>
      </w:r>
      <w:r w:rsidR="0006302B" w:rsidRPr="00D81030">
        <w:rPr>
          <w:b/>
          <w:bCs w:val="0"/>
          <w:lang w:val="es-ES"/>
        </w:rPr>
        <w:t>para asumir y cumplir compromisos contractuales Firmes o que</w:t>
      </w:r>
      <w:r w:rsidR="00030C5B">
        <w:rPr>
          <w:b/>
          <w:bCs w:val="0"/>
          <w:lang w:val="es-ES"/>
        </w:rPr>
        <w:t xml:space="preserve"> garantizan firmeza</w:t>
      </w:r>
      <w:r w:rsidR="0006302B" w:rsidRPr="00D81030">
        <w:rPr>
          <w:b/>
          <w:bCs w:val="0"/>
          <w:lang w:val="es-ES"/>
        </w:rPr>
        <w:t xml:space="preserve">, </w:t>
      </w:r>
      <w:r w:rsidR="0006302B" w:rsidRPr="00D81030">
        <w:rPr>
          <w:b/>
          <w:bCs w:val="0"/>
          <w:lang w:val="es-CO"/>
        </w:rPr>
        <w:t xml:space="preserve">para cada uno de </w:t>
      </w:r>
      <w:r w:rsidR="00086E50" w:rsidRPr="00D81030">
        <w:rPr>
          <w:b/>
          <w:bCs w:val="0"/>
          <w:lang w:val="es-CO"/>
        </w:rPr>
        <w:t xml:space="preserve">por lo menos, </w:t>
      </w:r>
      <w:r w:rsidR="0006302B" w:rsidRPr="00D81030">
        <w:rPr>
          <w:b/>
          <w:bCs w:val="0"/>
          <w:lang w:val="es-CO"/>
        </w:rPr>
        <w:t xml:space="preserve">los siguientes veinte (20) trimestres estándar. </w:t>
      </w:r>
    </w:p>
    <w:p w14:paraId="32A95DA6" w14:textId="77777777" w:rsidR="0006302B" w:rsidRPr="00D81030" w:rsidRDefault="0006302B" w:rsidP="0006302B">
      <w:pPr>
        <w:pStyle w:val="ARTICULOS"/>
        <w:numPr>
          <w:ilvl w:val="0"/>
          <w:numId w:val="0"/>
        </w:numPr>
        <w:rPr>
          <w:b/>
          <w:bCs w:val="0"/>
          <w:strike/>
          <w:lang w:val="es-CO"/>
        </w:rPr>
      </w:pPr>
    </w:p>
    <w:p w14:paraId="7F73EE74" w14:textId="7A3F594D" w:rsidR="0006302B" w:rsidRPr="00D81030" w:rsidRDefault="0006302B" w:rsidP="0006302B">
      <w:pPr>
        <w:pStyle w:val="ARTICULOS"/>
        <w:numPr>
          <w:ilvl w:val="0"/>
          <w:numId w:val="0"/>
        </w:numPr>
        <w:rPr>
          <w:b/>
          <w:bCs w:val="0"/>
          <w:lang w:val="es-CO"/>
        </w:rPr>
      </w:pPr>
      <w:r w:rsidRPr="00D81030">
        <w:rPr>
          <w:b/>
          <w:bCs w:val="0"/>
          <w:lang w:val="es-CO"/>
        </w:rPr>
        <w:t xml:space="preserve">Para cada uno de los veinte (20) trimestres estándar posteriores a los anteriormente mencionados, es decir, para el Trimestre Estándar veintiuno (21) hasta el Trimestre Estándar </w:t>
      </w:r>
      <w:r w:rsidR="005F5889" w:rsidRPr="00D81030">
        <w:rPr>
          <w:b/>
          <w:bCs w:val="0"/>
          <w:lang w:val="es-CO"/>
        </w:rPr>
        <w:t>con el que se cuente con información de PTDV de las declaraciones de producción que se realizan al Ministerio de Minas y Energía</w:t>
      </w:r>
      <w:r w:rsidRPr="00D81030">
        <w:rPr>
          <w:b/>
          <w:bCs w:val="0"/>
          <w:lang w:val="es-CO"/>
        </w:rPr>
        <w:t>, el</w:t>
      </w:r>
      <w:r w:rsidRPr="00D81030">
        <w:rPr>
          <w:b/>
          <w:lang w:val="es-CO"/>
        </w:rPr>
        <w:t xml:space="preserve"> </w:t>
      </w:r>
      <w:r w:rsidR="0022131A" w:rsidRPr="00D81030">
        <w:rPr>
          <w:b/>
          <w:lang w:val="es-CO"/>
        </w:rPr>
        <w:t>Gestor</w:t>
      </w:r>
      <w:r w:rsidRPr="00D81030">
        <w:rPr>
          <w:b/>
          <w:bCs w:val="0"/>
          <w:lang w:val="es-CO"/>
        </w:rPr>
        <w:t xml:space="preserve"> del Mercado publicará la información de PTDVF y CIDVF por cada Punto de Referencia, de las Fuentes de Suministro que la hubiesen declarado, así como las cantidades demandadas que hubiesen reportado los compradores para dicho punto</w:t>
      </w:r>
      <w:r w:rsidR="00086E50" w:rsidRPr="00D81030">
        <w:rPr>
          <w:b/>
          <w:bCs w:val="0"/>
          <w:lang w:val="es-CO"/>
        </w:rPr>
        <w:t>, en el plazo previsto en el literal c. que se establece a continuación</w:t>
      </w:r>
      <w:r w:rsidRPr="00D81030">
        <w:rPr>
          <w:b/>
          <w:bCs w:val="0"/>
          <w:lang w:val="es-CO"/>
        </w:rPr>
        <w:t xml:space="preserve">. </w:t>
      </w:r>
      <w:r w:rsidR="00DD712F" w:rsidRPr="00D81030">
        <w:rPr>
          <w:b/>
          <w:bCs w:val="0"/>
          <w:lang w:val="es-CO"/>
        </w:rPr>
        <w:t xml:space="preserve">Para </w:t>
      </w:r>
      <w:r w:rsidRPr="00D81030">
        <w:rPr>
          <w:b/>
          <w:bCs w:val="0"/>
          <w:lang w:val="es-CO"/>
        </w:rPr>
        <w:t xml:space="preserve">esos trimestres </w:t>
      </w:r>
      <w:r w:rsidR="00086E50" w:rsidRPr="00D81030">
        <w:rPr>
          <w:b/>
          <w:bCs w:val="0"/>
          <w:lang w:val="es-CO"/>
        </w:rPr>
        <w:t xml:space="preserve">posteriores </w:t>
      </w:r>
      <w:r w:rsidRPr="00D81030">
        <w:rPr>
          <w:b/>
          <w:bCs w:val="0"/>
          <w:lang w:val="es-CO"/>
        </w:rPr>
        <w:t>no se realizarán balances comerciales</w:t>
      </w:r>
      <w:r w:rsidR="00D07AF7" w:rsidRPr="00D81030">
        <w:rPr>
          <w:b/>
          <w:bCs w:val="0"/>
          <w:lang w:val="es-CO"/>
        </w:rPr>
        <w:t>,</w:t>
      </w:r>
      <w:r w:rsidRPr="00D81030">
        <w:rPr>
          <w:b/>
          <w:bCs w:val="0"/>
          <w:lang w:val="es-CO"/>
        </w:rPr>
        <w:t xml:space="preserve"> y el mecanismo de comercialización será el de negociación directa. La información entregada de oferta y demanda será publicada por el</w:t>
      </w:r>
      <w:r w:rsidRPr="00D81030">
        <w:rPr>
          <w:b/>
          <w:lang w:val="es-CO"/>
        </w:rPr>
        <w:t xml:space="preserve"> </w:t>
      </w:r>
      <w:r w:rsidR="0022131A" w:rsidRPr="00D81030">
        <w:rPr>
          <w:b/>
          <w:lang w:val="es-CO"/>
        </w:rPr>
        <w:t>Gestor</w:t>
      </w:r>
      <w:r w:rsidRPr="00D81030">
        <w:rPr>
          <w:b/>
          <w:bCs w:val="0"/>
          <w:lang w:val="es-CO"/>
        </w:rPr>
        <w:t xml:space="preserve"> del Mercado, de acuerdo con lo estipulado en el </w:t>
      </w:r>
      <w:r w:rsidR="00086E50" w:rsidRPr="00D81030">
        <w:rPr>
          <w:b/>
          <w:bCs w:val="0"/>
          <w:lang w:val="es-CO"/>
        </w:rPr>
        <w:t xml:space="preserve">literal d. del </w:t>
      </w:r>
      <w:r w:rsidRPr="00D81030">
        <w:rPr>
          <w:b/>
          <w:bCs w:val="0"/>
          <w:lang w:val="es-CO"/>
        </w:rPr>
        <w:t xml:space="preserve">presente </w:t>
      </w:r>
      <w:r w:rsidR="000336FE">
        <w:rPr>
          <w:b/>
          <w:bCs w:val="0"/>
          <w:lang w:val="es-CO"/>
        </w:rPr>
        <w:t>a</w:t>
      </w:r>
      <w:r w:rsidRPr="00D81030">
        <w:rPr>
          <w:b/>
          <w:bCs w:val="0"/>
          <w:lang w:val="es-CO"/>
        </w:rPr>
        <w:t>rtículo.</w:t>
      </w:r>
    </w:p>
    <w:p w14:paraId="1D8FD473" w14:textId="77777777" w:rsidR="0006302B" w:rsidRPr="00D81030" w:rsidRDefault="0006302B" w:rsidP="0006302B">
      <w:pPr>
        <w:pStyle w:val="ARTICULOS"/>
        <w:numPr>
          <w:ilvl w:val="0"/>
          <w:numId w:val="0"/>
        </w:numPr>
        <w:rPr>
          <w:b/>
          <w:bCs w:val="0"/>
          <w:lang w:val="es-CO"/>
        </w:rPr>
      </w:pPr>
    </w:p>
    <w:p w14:paraId="7E4F54AA" w14:textId="4B03FC79" w:rsidR="0006302B" w:rsidRPr="00D81030" w:rsidRDefault="00DD712F" w:rsidP="0006302B">
      <w:pPr>
        <w:pStyle w:val="ARTICULOS"/>
        <w:numPr>
          <w:ilvl w:val="0"/>
          <w:numId w:val="0"/>
        </w:numPr>
        <w:rPr>
          <w:b/>
          <w:bCs w:val="0"/>
          <w:lang w:val="es-CO"/>
        </w:rPr>
      </w:pPr>
      <w:r w:rsidRPr="00D81030">
        <w:rPr>
          <w:b/>
          <w:bCs w:val="0"/>
          <w:lang w:val="es-CO"/>
        </w:rPr>
        <w:t>A</w:t>
      </w:r>
      <w:r w:rsidR="0006302B" w:rsidRPr="00D81030">
        <w:rPr>
          <w:b/>
          <w:bCs w:val="0"/>
          <w:lang w:val="es-CO"/>
        </w:rPr>
        <w:t xml:space="preserve"> </w:t>
      </w:r>
      <w:r w:rsidR="00F60F1A" w:rsidRPr="00D81030">
        <w:rPr>
          <w:b/>
          <w:bCs w:val="0"/>
          <w:lang w:val="es-CO"/>
        </w:rPr>
        <w:t>continuación,</w:t>
      </w:r>
      <w:r w:rsidR="0006302B" w:rsidRPr="00D81030">
        <w:rPr>
          <w:b/>
          <w:bCs w:val="0"/>
          <w:lang w:val="es-CO"/>
        </w:rPr>
        <w:t xml:space="preserve"> se determina el procedimiento a seguir </w:t>
      </w:r>
      <w:r w:rsidRPr="00D81030">
        <w:rPr>
          <w:b/>
          <w:bCs w:val="0"/>
          <w:lang w:val="es-CO"/>
        </w:rPr>
        <w:t xml:space="preserve">por los agentes que se </w:t>
      </w:r>
      <w:r w:rsidR="00962EE6" w:rsidRPr="00D81030">
        <w:rPr>
          <w:b/>
          <w:bCs w:val="0"/>
          <w:lang w:val="es-CO"/>
        </w:rPr>
        <w:t xml:space="preserve">enuncian </w:t>
      </w:r>
      <w:r w:rsidRPr="00D81030">
        <w:rPr>
          <w:b/>
          <w:bCs w:val="0"/>
          <w:lang w:val="es-CO"/>
        </w:rPr>
        <w:t xml:space="preserve">y </w:t>
      </w:r>
      <w:r w:rsidR="00F43A72" w:rsidRPr="00D81030">
        <w:rPr>
          <w:b/>
          <w:bCs w:val="0"/>
          <w:lang w:val="es-CO"/>
        </w:rPr>
        <w:t xml:space="preserve">por </w:t>
      </w:r>
      <w:r w:rsidRPr="00D81030">
        <w:rPr>
          <w:b/>
          <w:bCs w:val="0"/>
          <w:lang w:val="es-CO"/>
        </w:rPr>
        <w:t xml:space="preserve">el Gestor del Mercado </w:t>
      </w:r>
      <w:r w:rsidR="0006302B" w:rsidRPr="00D81030">
        <w:rPr>
          <w:b/>
          <w:bCs w:val="0"/>
          <w:lang w:val="es-CO"/>
        </w:rPr>
        <w:t xml:space="preserve">para </w:t>
      </w:r>
      <w:r w:rsidRPr="00D81030">
        <w:rPr>
          <w:b/>
          <w:bCs w:val="0"/>
          <w:lang w:val="es-CO"/>
        </w:rPr>
        <w:t>la d</w:t>
      </w:r>
      <w:r w:rsidRPr="00D81030">
        <w:rPr>
          <w:b/>
          <w:lang w:val="es-CO"/>
        </w:rPr>
        <w:t>ivulgación de información sobre PTDVF/CIDVF, la disposición a comprar de parte de los agentes y la realización de los balances comerciales en el Mercado Primario</w:t>
      </w:r>
      <w:r w:rsidR="0006302B" w:rsidRPr="00D81030">
        <w:rPr>
          <w:b/>
          <w:bCs w:val="0"/>
          <w:lang w:val="es-ES"/>
        </w:rPr>
        <w:t>:</w:t>
      </w:r>
    </w:p>
    <w:p w14:paraId="2AD72D7A" w14:textId="77777777" w:rsidR="0006302B" w:rsidRPr="00D81030" w:rsidRDefault="0006302B" w:rsidP="0006302B">
      <w:pPr>
        <w:pStyle w:val="Prrafodelista"/>
        <w:ind w:left="360"/>
        <w:jc w:val="both"/>
        <w:outlineLvl w:val="0"/>
        <w:rPr>
          <w:rFonts w:ascii="Bookman Old Style" w:hAnsi="Bookman Old Style"/>
          <w:b/>
          <w:bCs/>
        </w:rPr>
      </w:pPr>
    </w:p>
    <w:p w14:paraId="1BF86EE0" w14:textId="4008265E" w:rsidR="0006302B" w:rsidRPr="00D81030" w:rsidRDefault="0006302B" w:rsidP="00571EDB">
      <w:pPr>
        <w:pStyle w:val="Prrafodelista"/>
        <w:numPr>
          <w:ilvl w:val="1"/>
          <w:numId w:val="85"/>
        </w:numPr>
        <w:ind w:left="426" w:hanging="426"/>
        <w:jc w:val="both"/>
        <w:outlineLvl w:val="0"/>
        <w:rPr>
          <w:rFonts w:asciiTheme="minorHAnsi" w:eastAsiaTheme="minorEastAsia" w:hAnsiTheme="minorHAnsi" w:cstheme="minorBidi"/>
          <w:b/>
          <w:bCs/>
          <w:sz w:val="24"/>
          <w:szCs w:val="24"/>
        </w:rPr>
      </w:pPr>
      <w:r w:rsidRPr="000A4B7F">
        <w:rPr>
          <w:rFonts w:ascii="Bookman Old Style" w:hAnsi="Bookman Old Style"/>
          <w:b/>
          <w:bCs/>
          <w:sz w:val="24"/>
          <w:szCs w:val="24"/>
        </w:rPr>
        <w:t xml:space="preserve">Los </w:t>
      </w:r>
      <w:r>
        <w:rPr>
          <w:rFonts w:ascii="Bookman Old Style" w:hAnsi="Bookman Old Style"/>
          <w:b/>
          <w:bCs/>
          <w:sz w:val="24"/>
          <w:szCs w:val="24"/>
        </w:rPr>
        <w:t xml:space="preserve">Vendedores del Mercado Primario de que trata el </w:t>
      </w:r>
      <w:r w:rsidR="00824F24">
        <w:rPr>
          <w:rFonts w:ascii="Bookman Old Style" w:hAnsi="Bookman Old Style"/>
          <w:b/>
          <w:bCs/>
          <w:sz w:val="24"/>
          <w:szCs w:val="24"/>
        </w:rPr>
        <w:t>a</w:t>
      </w:r>
      <w:r>
        <w:rPr>
          <w:rFonts w:ascii="Bookman Old Style" w:hAnsi="Bookman Old Style"/>
          <w:b/>
          <w:bCs/>
          <w:sz w:val="24"/>
          <w:szCs w:val="24"/>
        </w:rPr>
        <w:t xml:space="preserve">rtículo 16 de la presente resolución, </w:t>
      </w:r>
      <w:r w:rsidRPr="000A4B7F">
        <w:rPr>
          <w:rFonts w:ascii="Bookman Old Style" w:hAnsi="Bookman Old Style"/>
          <w:b/>
          <w:bCs/>
          <w:sz w:val="24"/>
          <w:szCs w:val="24"/>
        </w:rPr>
        <w:t xml:space="preserve">deberán declarar </w:t>
      </w:r>
      <w:r w:rsidRPr="000A4B7F">
        <w:rPr>
          <w:rFonts w:ascii="Bookman Old Style" w:eastAsia="Bookman Old Style" w:hAnsi="Bookman Old Style" w:cs="Bookman Old Style"/>
          <w:b/>
          <w:bCs/>
          <w:color w:val="000000" w:themeColor="text1"/>
          <w:sz w:val="24"/>
          <w:szCs w:val="24"/>
        </w:rPr>
        <w:t xml:space="preserve">al </w:t>
      </w:r>
      <w:r w:rsidR="00962EE6">
        <w:rPr>
          <w:rFonts w:ascii="Bookman Old Style" w:eastAsia="Bookman Old Style" w:hAnsi="Bookman Old Style" w:cs="Bookman Old Style"/>
          <w:b/>
          <w:bCs/>
          <w:color w:val="000000" w:themeColor="text1"/>
          <w:sz w:val="24"/>
          <w:szCs w:val="24"/>
        </w:rPr>
        <w:t>Gestor</w:t>
      </w:r>
      <w:r w:rsidRPr="000A4B7F">
        <w:rPr>
          <w:rFonts w:ascii="Bookman Old Style" w:eastAsia="Bookman Old Style" w:hAnsi="Bookman Old Style" w:cs="Bookman Old Style"/>
          <w:b/>
          <w:bCs/>
          <w:color w:val="000000" w:themeColor="text1"/>
          <w:sz w:val="24"/>
          <w:szCs w:val="24"/>
        </w:rPr>
        <w:t xml:space="preserve"> del Mercado, con sujeción a lo previsto en el </w:t>
      </w:r>
      <w:r w:rsidR="00824F24">
        <w:rPr>
          <w:rFonts w:ascii="Bookman Old Style" w:eastAsia="Bookman Old Style" w:hAnsi="Bookman Old Style" w:cs="Bookman Old Style"/>
          <w:b/>
          <w:bCs/>
          <w:color w:val="000000" w:themeColor="text1"/>
          <w:sz w:val="24"/>
          <w:szCs w:val="24"/>
        </w:rPr>
        <w:t>a</w:t>
      </w:r>
      <w:r w:rsidRPr="000A4B7F">
        <w:rPr>
          <w:rFonts w:ascii="Bookman Old Style" w:eastAsia="Bookman Old Style" w:hAnsi="Bookman Old Style" w:cs="Bookman Old Style"/>
          <w:b/>
          <w:bCs/>
          <w:color w:val="000000" w:themeColor="text1"/>
          <w:sz w:val="24"/>
          <w:szCs w:val="24"/>
        </w:rPr>
        <w:t xml:space="preserve">rtículo 8 de la Resolución CREG 080 de </w:t>
      </w:r>
      <w:r w:rsidRPr="000A4B7F">
        <w:rPr>
          <w:rFonts w:ascii="Bookman Old Style" w:eastAsia="Bookman Old Style" w:hAnsi="Bookman Old Style" w:cs="Bookman Old Style"/>
          <w:b/>
          <w:bCs/>
          <w:color w:val="000000" w:themeColor="text1"/>
          <w:sz w:val="24"/>
          <w:szCs w:val="24"/>
        </w:rPr>
        <w:lastRenderedPageBreak/>
        <w:t xml:space="preserve">2019, </w:t>
      </w:r>
      <w:r w:rsidRPr="000A4B7F">
        <w:rPr>
          <w:rFonts w:ascii="Bookman Old Style" w:hAnsi="Bookman Old Style"/>
          <w:b/>
          <w:bCs/>
          <w:sz w:val="24"/>
          <w:szCs w:val="24"/>
        </w:rPr>
        <w:t xml:space="preserve">la </w:t>
      </w:r>
      <w:r w:rsidRPr="00D81030">
        <w:rPr>
          <w:rFonts w:ascii="Bookman Old Style" w:hAnsi="Bookman Old Style"/>
          <w:b/>
          <w:bCs/>
          <w:sz w:val="24"/>
          <w:szCs w:val="24"/>
        </w:rPr>
        <w:t>PTDVF y la CIDVF por cada una de la totalidad de las Fuentes de Suministro</w:t>
      </w:r>
      <w:r w:rsidR="000C2083" w:rsidRPr="00D81030">
        <w:rPr>
          <w:rFonts w:ascii="Bookman Old Style" w:hAnsi="Bookman Old Style"/>
          <w:b/>
          <w:bCs/>
          <w:sz w:val="24"/>
          <w:szCs w:val="24"/>
        </w:rPr>
        <w:t>, sin excepción ninguna</w:t>
      </w:r>
      <w:r w:rsidRPr="00D81030">
        <w:rPr>
          <w:rFonts w:ascii="Bookman Old Style" w:hAnsi="Bookman Old Style"/>
          <w:b/>
          <w:bCs/>
          <w:sz w:val="24"/>
          <w:szCs w:val="24"/>
        </w:rPr>
        <w:t xml:space="preserve">, teniendo en cuenta lo siguiente:  </w:t>
      </w:r>
    </w:p>
    <w:p w14:paraId="24C23AC7" w14:textId="77777777" w:rsidR="0006302B" w:rsidRPr="00D81030" w:rsidRDefault="0006302B" w:rsidP="00571EDB">
      <w:pPr>
        <w:pStyle w:val="Prrafodelista"/>
        <w:ind w:left="851" w:hanging="851"/>
        <w:jc w:val="both"/>
        <w:outlineLvl w:val="0"/>
        <w:rPr>
          <w:rFonts w:ascii="Bookman Old Style" w:hAnsi="Bookman Old Style"/>
          <w:b/>
          <w:bCs/>
          <w:sz w:val="24"/>
          <w:szCs w:val="24"/>
        </w:rPr>
      </w:pPr>
    </w:p>
    <w:p w14:paraId="4A55AEFF" w14:textId="77777777" w:rsidR="0006302B" w:rsidRPr="00D81030" w:rsidRDefault="0006302B" w:rsidP="00571EDB">
      <w:pPr>
        <w:pStyle w:val="Prrafodelista"/>
        <w:numPr>
          <w:ilvl w:val="2"/>
          <w:numId w:val="85"/>
        </w:numPr>
        <w:ind w:left="851" w:hanging="142"/>
        <w:jc w:val="both"/>
        <w:outlineLvl w:val="0"/>
        <w:rPr>
          <w:rFonts w:ascii="Bookman Old Style" w:eastAsia="Bookman Old Style" w:hAnsi="Bookman Old Style" w:cs="Bookman Old Style"/>
          <w:b/>
          <w:bCs/>
          <w:sz w:val="24"/>
          <w:szCs w:val="24"/>
        </w:rPr>
      </w:pPr>
      <w:r w:rsidRPr="00D81030">
        <w:rPr>
          <w:rFonts w:ascii="Bookman Old Style" w:hAnsi="Bookman Old Style"/>
          <w:b/>
          <w:bCs/>
          <w:sz w:val="24"/>
          <w:szCs w:val="24"/>
        </w:rPr>
        <w:t>La declaración debe presentarse el primer día hábil del Trimestre Estándar de negociación</w:t>
      </w:r>
      <w:r w:rsidRPr="00D81030">
        <w:rPr>
          <w:rFonts w:ascii="Bookman Old Style" w:eastAsia="Bookman Old Style" w:hAnsi="Bookman Old Style" w:cs="Bookman Old Style"/>
          <w:b/>
          <w:bCs/>
          <w:sz w:val="24"/>
          <w:szCs w:val="24"/>
        </w:rPr>
        <w:t>.</w:t>
      </w:r>
    </w:p>
    <w:p w14:paraId="54274A25" w14:textId="77777777" w:rsidR="0006302B" w:rsidRPr="00D81030" w:rsidRDefault="0006302B" w:rsidP="00571EDB">
      <w:pPr>
        <w:ind w:left="851" w:hanging="142"/>
        <w:jc w:val="both"/>
        <w:outlineLvl w:val="0"/>
        <w:rPr>
          <w:b/>
          <w:bCs/>
        </w:rPr>
      </w:pPr>
    </w:p>
    <w:p w14:paraId="025461A9" w14:textId="77777777" w:rsidR="0006302B" w:rsidRPr="00D81030" w:rsidRDefault="0006302B" w:rsidP="00571EDB">
      <w:pPr>
        <w:pStyle w:val="Prrafodelista"/>
        <w:numPr>
          <w:ilvl w:val="2"/>
          <w:numId w:val="85"/>
        </w:numPr>
        <w:ind w:left="851" w:hanging="142"/>
        <w:jc w:val="both"/>
        <w:outlineLvl w:val="0"/>
        <w:rPr>
          <w:rFonts w:ascii="Bookman Old Style" w:eastAsiaTheme="minorEastAsia" w:hAnsi="Bookman Old Style" w:cstheme="minorBidi"/>
          <w:b/>
          <w:bCs/>
          <w:sz w:val="24"/>
          <w:szCs w:val="24"/>
        </w:rPr>
      </w:pPr>
      <w:r w:rsidRPr="00D81030">
        <w:rPr>
          <w:rFonts w:ascii="Bookman Old Style" w:eastAsiaTheme="minorEastAsia" w:hAnsi="Bookman Old Style" w:cstheme="minorBidi"/>
          <w:b/>
          <w:bCs/>
          <w:sz w:val="24"/>
          <w:szCs w:val="24"/>
        </w:rPr>
        <w:t>Las cantidades deben presentarse con desagregación mensual.</w:t>
      </w:r>
    </w:p>
    <w:p w14:paraId="7A33394D" w14:textId="77777777" w:rsidR="0006302B" w:rsidRPr="00D81030" w:rsidRDefault="0006302B" w:rsidP="00571EDB">
      <w:pPr>
        <w:pStyle w:val="Prrafodelista"/>
        <w:ind w:left="851" w:hanging="142"/>
        <w:jc w:val="both"/>
        <w:outlineLvl w:val="0"/>
        <w:rPr>
          <w:rFonts w:ascii="Bookman Old Style" w:eastAsiaTheme="minorEastAsia" w:hAnsi="Bookman Old Style" w:cstheme="minorBidi"/>
          <w:b/>
          <w:bCs/>
          <w:sz w:val="24"/>
          <w:szCs w:val="24"/>
        </w:rPr>
      </w:pPr>
    </w:p>
    <w:p w14:paraId="1A2A45EC" w14:textId="7EA927BB" w:rsidR="0006302B" w:rsidRPr="00D81030" w:rsidRDefault="00962EE6" w:rsidP="00571EDB">
      <w:pPr>
        <w:pStyle w:val="Prrafodelista"/>
        <w:numPr>
          <w:ilvl w:val="2"/>
          <w:numId w:val="85"/>
        </w:numPr>
        <w:ind w:left="851" w:hanging="142"/>
        <w:jc w:val="both"/>
        <w:outlineLvl w:val="0"/>
        <w:rPr>
          <w:rFonts w:ascii="Bookman Old Style" w:eastAsiaTheme="minorEastAsia" w:hAnsi="Bookman Old Style" w:cstheme="minorBidi"/>
          <w:b/>
          <w:bCs/>
          <w:sz w:val="24"/>
          <w:szCs w:val="24"/>
        </w:rPr>
      </w:pPr>
      <w:r w:rsidRPr="00D81030">
        <w:rPr>
          <w:rFonts w:ascii="Bookman Old Style" w:hAnsi="Bookman Old Style"/>
          <w:b/>
          <w:bCs/>
          <w:sz w:val="24"/>
          <w:szCs w:val="24"/>
        </w:rPr>
        <w:t xml:space="preserve">La declaración de </w:t>
      </w:r>
      <w:r w:rsidR="0006302B" w:rsidRPr="00D81030">
        <w:rPr>
          <w:rFonts w:ascii="Bookman Old Style" w:hAnsi="Bookman Old Style"/>
          <w:b/>
          <w:bCs/>
          <w:sz w:val="24"/>
          <w:szCs w:val="24"/>
        </w:rPr>
        <w:t>las cantidades disponibles para suministro</w:t>
      </w:r>
      <w:r w:rsidR="00C66A9C" w:rsidRPr="00D81030">
        <w:rPr>
          <w:rFonts w:ascii="Bookman Old Style" w:hAnsi="Bookman Old Style"/>
          <w:b/>
          <w:bCs/>
          <w:sz w:val="24"/>
          <w:szCs w:val="24"/>
        </w:rPr>
        <w:t xml:space="preserve"> </w:t>
      </w:r>
      <w:r w:rsidR="008B6EED" w:rsidRPr="00D81030">
        <w:rPr>
          <w:rFonts w:ascii="Bookman Old Style" w:hAnsi="Bookman Old Style"/>
          <w:b/>
          <w:bCs/>
          <w:sz w:val="24"/>
          <w:szCs w:val="24"/>
        </w:rPr>
        <w:t xml:space="preserve">mediante contratos </w:t>
      </w:r>
      <w:r w:rsidR="00C66A9C" w:rsidRPr="00D81030">
        <w:rPr>
          <w:rFonts w:ascii="Bookman Old Style" w:hAnsi="Bookman Old Style"/>
          <w:b/>
          <w:bCs/>
          <w:sz w:val="24"/>
          <w:szCs w:val="24"/>
        </w:rPr>
        <w:t>en firme o con garantía de firmeza</w:t>
      </w:r>
      <w:r w:rsidR="00A3416B" w:rsidRPr="00D81030">
        <w:rPr>
          <w:rFonts w:ascii="Bookman Old Style" w:hAnsi="Bookman Old Style"/>
          <w:b/>
          <w:bCs/>
          <w:sz w:val="24"/>
          <w:szCs w:val="24"/>
        </w:rPr>
        <w:t>,</w:t>
      </w:r>
      <w:r w:rsidR="0006302B" w:rsidRPr="00D81030">
        <w:rPr>
          <w:rFonts w:ascii="Bookman Old Style" w:hAnsi="Bookman Old Style"/>
          <w:b/>
          <w:bCs/>
          <w:sz w:val="24"/>
          <w:szCs w:val="24"/>
        </w:rPr>
        <w:t xml:space="preserve"> </w:t>
      </w:r>
      <w:r w:rsidR="002E6F1C" w:rsidRPr="00D81030">
        <w:rPr>
          <w:rFonts w:ascii="Bookman Old Style" w:hAnsi="Bookman Old Style"/>
          <w:b/>
          <w:bCs/>
          <w:sz w:val="24"/>
          <w:szCs w:val="24"/>
        </w:rPr>
        <w:t xml:space="preserve">discriminando por </w:t>
      </w:r>
      <w:r w:rsidR="00674473">
        <w:rPr>
          <w:rFonts w:ascii="Bookman Old Style" w:hAnsi="Bookman Old Style"/>
          <w:b/>
          <w:bCs/>
          <w:sz w:val="24"/>
          <w:szCs w:val="24"/>
        </w:rPr>
        <w:t>la forma</w:t>
      </w:r>
      <w:r w:rsidR="000C2083" w:rsidRPr="00D81030">
        <w:rPr>
          <w:rFonts w:ascii="Bookman Old Style" w:hAnsi="Bookman Old Style"/>
          <w:b/>
          <w:bCs/>
          <w:sz w:val="24"/>
          <w:szCs w:val="24"/>
        </w:rPr>
        <w:t xml:space="preserve"> del suministro (</w:t>
      </w:r>
      <w:r w:rsidR="002E6F1C" w:rsidRPr="00D81030">
        <w:rPr>
          <w:rFonts w:ascii="Bookman Old Style" w:hAnsi="Bookman Old Style"/>
          <w:b/>
          <w:bCs/>
          <w:sz w:val="24"/>
          <w:szCs w:val="24"/>
        </w:rPr>
        <w:t xml:space="preserve">gas natural, </w:t>
      </w:r>
      <w:r w:rsidR="0006302B" w:rsidRPr="00D81030">
        <w:rPr>
          <w:rFonts w:ascii="Bookman Old Style" w:hAnsi="Bookman Old Style"/>
          <w:b/>
          <w:bCs/>
          <w:sz w:val="24"/>
          <w:szCs w:val="24"/>
        </w:rPr>
        <w:t>gas natural licuado</w:t>
      </w:r>
      <w:r w:rsidR="002E6F1C" w:rsidRPr="00D81030">
        <w:rPr>
          <w:rFonts w:ascii="Bookman Old Style" w:hAnsi="Bookman Old Style"/>
          <w:b/>
          <w:bCs/>
          <w:sz w:val="24"/>
          <w:szCs w:val="24"/>
        </w:rPr>
        <w:t>-GNL</w:t>
      </w:r>
      <w:r w:rsidR="00D07AF7" w:rsidRPr="00D81030">
        <w:rPr>
          <w:rFonts w:ascii="Bookman Old Style" w:hAnsi="Bookman Old Style"/>
          <w:b/>
          <w:bCs/>
          <w:sz w:val="24"/>
          <w:szCs w:val="24"/>
        </w:rPr>
        <w:t>,</w:t>
      </w:r>
      <w:r w:rsidR="0006302B" w:rsidRPr="00D81030">
        <w:rPr>
          <w:rFonts w:ascii="Bookman Old Style" w:hAnsi="Bookman Old Style"/>
          <w:b/>
          <w:bCs/>
          <w:sz w:val="24"/>
          <w:szCs w:val="24"/>
        </w:rPr>
        <w:t xml:space="preserve"> gas natural comprimido</w:t>
      </w:r>
      <w:r w:rsidR="002E6F1C" w:rsidRPr="00D81030">
        <w:rPr>
          <w:rFonts w:ascii="Bookman Old Style" w:hAnsi="Bookman Old Style"/>
          <w:b/>
          <w:bCs/>
          <w:sz w:val="24"/>
          <w:szCs w:val="24"/>
        </w:rPr>
        <w:t>-GNC</w:t>
      </w:r>
      <w:r w:rsidRPr="00D81030">
        <w:rPr>
          <w:rFonts w:ascii="Bookman Old Style" w:hAnsi="Bookman Old Style"/>
          <w:b/>
          <w:bCs/>
          <w:sz w:val="24"/>
          <w:szCs w:val="24"/>
        </w:rPr>
        <w:t>)</w:t>
      </w:r>
      <w:r w:rsidR="00A8104D" w:rsidRPr="00D81030">
        <w:rPr>
          <w:rFonts w:ascii="Bookman Old Style" w:hAnsi="Bookman Old Style"/>
          <w:b/>
          <w:bCs/>
          <w:sz w:val="24"/>
          <w:szCs w:val="24"/>
        </w:rPr>
        <w:t>,</w:t>
      </w:r>
      <w:r w:rsidR="00D07AF7" w:rsidRPr="00D81030">
        <w:rPr>
          <w:rFonts w:ascii="Bookman Old Style" w:hAnsi="Bookman Old Style"/>
          <w:b/>
          <w:bCs/>
          <w:sz w:val="24"/>
          <w:szCs w:val="24"/>
        </w:rPr>
        <w:t xml:space="preserve"> </w:t>
      </w:r>
      <w:r w:rsidR="00A8104D" w:rsidRPr="00D81030">
        <w:rPr>
          <w:rFonts w:ascii="Bookman Old Style" w:hAnsi="Bookman Old Style"/>
          <w:b/>
          <w:bCs/>
          <w:sz w:val="24"/>
          <w:szCs w:val="24"/>
        </w:rPr>
        <w:t>en</w:t>
      </w:r>
      <w:r w:rsidR="00713FA9" w:rsidRPr="00D81030">
        <w:rPr>
          <w:rFonts w:ascii="Bookman Old Style" w:hAnsi="Bookman Old Style"/>
          <w:b/>
          <w:bCs/>
          <w:sz w:val="24"/>
          <w:szCs w:val="24"/>
        </w:rPr>
        <w:t xml:space="preserve"> MBTUD</w:t>
      </w:r>
      <w:r w:rsidR="002E6F1C" w:rsidRPr="00D81030">
        <w:rPr>
          <w:rFonts w:ascii="Bookman Old Style" w:hAnsi="Bookman Old Style"/>
          <w:b/>
          <w:bCs/>
          <w:sz w:val="24"/>
          <w:szCs w:val="24"/>
        </w:rPr>
        <w:t xml:space="preserve">. Dicha desagregación de </w:t>
      </w:r>
      <w:r w:rsidR="0006302B" w:rsidRPr="00D81030">
        <w:rPr>
          <w:rFonts w:ascii="Bookman Old Style" w:hAnsi="Bookman Old Style"/>
          <w:b/>
          <w:bCs/>
          <w:sz w:val="24"/>
          <w:szCs w:val="24"/>
        </w:rPr>
        <w:t xml:space="preserve">las cantidades </w:t>
      </w:r>
      <w:r w:rsidR="002E6F1C" w:rsidRPr="00D81030">
        <w:rPr>
          <w:rFonts w:ascii="Bookman Old Style" w:hAnsi="Bookman Old Style"/>
          <w:b/>
          <w:bCs/>
          <w:sz w:val="24"/>
          <w:szCs w:val="24"/>
        </w:rPr>
        <w:t xml:space="preserve">debe estar </w:t>
      </w:r>
      <w:r w:rsidR="0006302B" w:rsidRPr="00D81030">
        <w:rPr>
          <w:rFonts w:ascii="Bookman Old Style" w:hAnsi="Bookman Old Style"/>
          <w:b/>
          <w:bCs/>
          <w:sz w:val="24"/>
          <w:szCs w:val="24"/>
        </w:rPr>
        <w:t xml:space="preserve">por </w:t>
      </w:r>
      <w:r w:rsidR="00F60F1A" w:rsidRPr="00D81030">
        <w:rPr>
          <w:rFonts w:ascii="Bookman Old Style" w:hAnsi="Bookman Old Style"/>
          <w:b/>
          <w:bCs/>
          <w:sz w:val="24"/>
          <w:szCs w:val="24"/>
        </w:rPr>
        <w:t>Punto de Entrega</w:t>
      </w:r>
      <w:r w:rsidR="0006302B" w:rsidRPr="00D81030">
        <w:rPr>
          <w:rFonts w:ascii="Bookman Old Style" w:hAnsi="Bookman Old Style"/>
          <w:b/>
          <w:bCs/>
          <w:sz w:val="24"/>
          <w:szCs w:val="24"/>
        </w:rPr>
        <w:t xml:space="preserve"> y </w:t>
      </w:r>
      <w:r w:rsidR="000C2083" w:rsidRPr="00D81030">
        <w:rPr>
          <w:rFonts w:ascii="Bookman Old Style" w:hAnsi="Bookman Old Style"/>
          <w:b/>
          <w:bCs/>
          <w:sz w:val="24"/>
          <w:szCs w:val="24"/>
        </w:rPr>
        <w:t xml:space="preserve">por </w:t>
      </w:r>
      <w:r w:rsidR="0006302B" w:rsidRPr="00D81030">
        <w:rPr>
          <w:rFonts w:ascii="Bookman Old Style" w:hAnsi="Bookman Old Style"/>
          <w:b/>
          <w:bCs/>
          <w:sz w:val="24"/>
          <w:szCs w:val="24"/>
        </w:rPr>
        <w:t>Fuente de Suministro</w:t>
      </w:r>
      <w:r w:rsidR="00E06845" w:rsidRPr="00D81030">
        <w:rPr>
          <w:rFonts w:ascii="Bookman Old Style" w:hAnsi="Bookman Old Style"/>
          <w:b/>
          <w:bCs/>
          <w:sz w:val="24"/>
          <w:szCs w:val="24"/>
        </w:rPr>
        <w:t xml:space="preserve">, </w:t>
      </w:r>
      <w:r w:rsidR="00E06845" w:rsidRPr="00D81030">
        <w:rPr>
          <w:rFonts w:ascii="Bookman Old Style" w:eastAsiaTheme="minorEastAsia" w:hAnsi="Bookman Old Style" w:cstheme="minorBidi"/>
          <w:b/>
          <w:bCs/>
          <w:sz w:val="24"/>
          <w:szCs w:val="24"/>
        </w:rPr>
        <w:t>precisando los diferentes puntos de entrega para una misma fuente de suministro en caso de que ello sea posible.</w:t>
      </w:r>
    </w:p>
    <w:p w14:paraId="3D81C3B5" w14:textId="77777777" w:rsidR="00FA3F4D" w:rsidRPr="00D81030" w:rsidRDefault="00FA3F4D" w:rsidP="00571EDB">
      <w:pPr>
        <w:pStyle w:val="Prrafodelista"/>
        <w:ind w:left="851" w:hanging="142"/>
        <w:rPr>
          <w:rFonts w:ascii="Bookman Old Style" w:eastAsiaTheme="minorEastAsia" w:hAnsi="Bookman Old Style" w:cstheme="minorBidi"/>
          <w:b/>
          <w:bCs/>
          <w:sz w:val="24"/>
          <w:szCs w:val="24"/>
        </w:rPr>
      </w:pPr>
    </w:p>
    <w:p w14:paraId="5D6B12A9" w14:textId="2698AFA3" w:rsidR="0006302B" w:rsidRPr="00D81030" w:rsidRDefault="0006302B" w:rsidP="00571EDB">
      <w:pPr>
        <w:pStyle w:val="Prrafodelista"/>
        <w:numPr>
          <w:ilvl w:val="2"/>
          <w:numId w:val="85"/>
        </w:numPr>
        <w:ind w:left="851" w:hanging="142"/>
        <w:jc w:val="both"/>
        <w:outlineLvl w:val="0"/>
        <w:rPr>
          <w:rFonts w:ascii="Bookman Old Style" w:eastAsia="Bookman Old Style" w:hAnsi="Bookman Old Style" w:cs="Bookman Old Style"/>
          <w:b/>
          <w:bCs/>
          <w:sz w:val="24"/>
          <w:szCs w:val="24"/>
          <w:lang w:val="es-ES"/>
        </w:rPr>
      </w:pPr>
      <w:r w:rsidRPr="00D81030">
        <w:rPr>
          <w:rFonts w:ascii="Bookman Old Style" w:hAnsi="Bookman Old Style"/>
          <w:b/>
          <w:bCs/>
          <w:sz w:val="24"/>
          <w:szCs w:val="24"/>
          <w:lang w:val="es-ES"/>
        </w:rPr>
        <w:t xml:space="preserve">La declaración de </w:t>
      </w:r>
      <w:r w:rsidRPr="00D81030">
        <w:rPr>
          <w:rFonts w:ascii="Bookman Old Style" w:eastAsia="Bookman Old Style" w:hAnsi="Bookman Old Style" w:cs="Bookman Old Style"/>
          <w:b/>
          <w:bCs/>
          <w:color w:val="000000" w:themeColor="text1"/>
          <w:sz w:val="24"/>
          <w:szCs w:val="24"/>
          <w:lang w:val="es-ES"/>
        </w:rPr>
        <w:t>la PTDVF y la CIDVF</w:t>
      </w:r>
      <w:r w:rsidRPr="00D81030">
        <w:rPr>
          <w:rFonts w:ascii="Bookman Old Style" w:hAnsi="Bookman Old Style"/>
          <w:b/>
          <w:bCs/>
          <w:sz w:val="24"/>
          <w:szCs w:val="24"/>
          <w:lang w:val="es-ES"/>
        </w:rPr>
        <w:t xml:space="preserve"> deberá ser como mínimo para </w:t>
      </w:r>
      <w:r w:rsidR="00E06845" w:rsidRPr="00D81030">
        <w:rPr>
          <w:rFonts w:ascii="Bookman Old Style" w:hAnsi="Bookman Old Style"/>
          <w:b/>
          <w:bCs/>
          <w:sz w:val="24"/>
          <w:szCs w:val="24"/>
          <w:lang w:val="es-ES"/>
        </w:rPr>
        <w:t xml:space="preserve">los </w:t>
      </w:r>
      <w:r w:rsidRPr="00D81030">
        <w:rPr>
          <w:rFonts w:ascii="Bookman Old Style" w:hAnsi="Bookman Old Style"/>
          <w:b/>
          <w:bCs/>
          <w:sz w:val="24"/>
          <w:szCs w:val="24"/>
          <w:lang w:val="es-ES"/>
        </w:rPr>
        <w:t>veinte (20) trimestres estándar siguientes al Trimestre Estándar de negociación</w:t>
      </w:r>
      <w:r w:rsidR="00CE22CB">
        <w:rPr>
          <w:rFonts w:ascii="Bookman Old Style" w:hAnsi="Bookman Old Style"/>
          <w:b/>
          <w:bCs/>
          <w:sz w:val="24"/>
          <w:szCs w:val="24"/>
          <w:lang w:val="es-ES"/>
        </w:rPr>
        <w:t>, y podrá incluir opcionalmente declaración de PTDVF y l</w:t>
      </w:r>
      <w:r w:rsidR="000A17B3">
        <w:rPr>
          <w:rFonts w:ascii="Bookman Old Style" w:hAnsi="Bookman Old Style"/>
          <w:b/>
          <w:bCs/>
          <w:sz w:val="24"/>
          <w:szCs w:val="24"/>
          <w:lang w:val="es-ES"/>
        </w:rPr>
        <w:t>a</w:t>
      </w:r>
      <w:r w:rsidR="00CE22CB">
        <w:rPr>
          <w:rFonts w:ascii="Bookman Old Style" w:hAnsi="Bookman Old Style"/>
          <w:b/>
          <w:bCs/>
          <w:sz w:val="24"/>
          <w:szCs w:val="24"/>
          <w:lang w:val="es-ES"/>
        </w:rPr>
        <w:t xml:space="preserve"> CIDVF para el segundo y tercer mes del mismo trimestre de negociación</w:t>
      </w:r>
      <w:r w:rsidRPr="00D81030">
        <w:rPr>
          <w:rFonts w:ascii="Bookman Old Style" w:hAnsi="Bookman Old Style"/>
          <w:b/>
          <w:bCs/>
          <w:sz w:val="24"/>
          <w:szCs w:val="24"/>
          <w:lang w:val="es-ES"/>
        </w:rPr>
        <w:t xml:space="preserve">. En caso de que se quieran ofrecer cantidades para asumir y cumplir compromisos contractuales Firmes o </w:t>
      </w:r>
      <w:r w:rsidR="008D78F7" w:rsidRPr="00D81030">
        <w:rPr>
          <w:rFonts w:ascii="Bookman Old Style" w:hAnsi="Bookman Old Style"/>
          <w:b/>
          <w:bCs/>
          <w:sz w:val="24"/>
          <w:szCs w:val="24"/>
          <w:lang w:val="es-ES"/>
        </w:rPr>
        <w:t xml:space="preserve">que </w:t>
      </w:r>
      <w:r w:rsidR="008D78F7">
        <w:rPr>
          <w:rFonts w:ascii="Bookman Old Style" w:hAnsi="Bookman Old Style"/>
          <w:b/>
          <w:bCs/>
          <w:sz w:val="24"/>
          <w:szCs w:val="24"/>
          <w:lang w:val="es-ES"/>
        </w:rPr>
        <w:t>garantizan</w:t>
      </w:r>
      <w:r w:rsidR="00030C5B">
        <w:rPr>
          <w:rFonts w:ascii="Bookman Old Style" w:hAnsi="Bookman Old Style"/>
          <w:b/>
          <w:bCs/>
          <w:sz w:val="24"/>
          <w:szCs w:val="24"/>
          <w:lang w:val="es-ES"/>
        </w:rPr>
        <w:t xml:space="preserve"> firmeza</w:t>
      </w:r>
      <w:r w:rsidRPr="00D81030">
        <w:rPr>
          <w:rFonts w:ascii="Bookman Old Style" w:hAnsi="Bookman Old Style"/>
          <w:b/>
          <w:bCs/>
          <w:sz w:val="24"/>
          <w:szCs w:val="24"/>
          <w:lang w:val="es-ES"/>
        </w:rPr>
        <w:t xml:space="preserve"> </w:t>
      </w:r>
      <w:r w:rsidRPr="00D81030">
        <w:rPr>
          <w:rFonts w:ascii="Bookman Old Style" w:eastAsia="Bookman Old Style" w:hAnsi="Bookman Old Style" w:cs="Bookman Old Style"/>
          <w:b/>
          <w:bCs/>
          <w:sz w:val="24"/>
          <w:szCs w:val="24"/>
          <w:lang w:val="es-ES"/>
        </w:rPr>
        <w:t xml:space="preserve">para períodos superiores a dicho número de trimestres estándar, la declaración </w:t>
      </w:r>
      <w:r w:rsidR="00383A2D" w:rsidRPr="00D81030">
        <w:rPr>
          <w:rFonts w:ascii="Bookman Old Style" w:eastAsia="Bookman Old Style" w:hAnsi="Bookman Old Style" w:cs="Bookman Old Style"/>
          <w:b/>
          <w:bCs/>
          <w:sz w:val="24"/>
          <w:szCs w:val="24"/>
          <w:lang w:val="es-ES"/>
        </w:rPr>
        <w:t xml:space="preserve">de la PTDVF y la CIDVF </w:t>
      </w:r>
      <w:r w:rsidRPr="00D81030">
        <w:rPr>
          <w:rFonts w:ascii="Bookman Old Style" w:eastAsia="Bookman Old Style" w:hAnsi="Bookman Old Style" w:cs="Bookman Old Style"/>
          <w:b/>
          <w:bCs/>
          <w:sz w:val="24"/>
          <w:szCs w:val="24"/>
          <w:lang w:val="es-ES"/>
        </w:rPr>
        <w:t>deberá incluir dichos períodos.</w:t>
      </w:r>
      <w:r w:rsidR="0054768C" w:rsidRPr="00D81030">
        <w:rPr>
          <w:rFonts w:ascii="Bookman Old Style" w:eastAsia="Bookman Old Style" w:hAnsi="Bookman Old Style" w:cs="Bookman Old Style"/>
          <w:b/>
          <w:bCs/>
          <w:sz w:val="24"/>
          <w:szCs w:val="24"/>
          <w:lang w:val="es-ES"/>
        </w:rPr>
        <w:t xml:space="preserve"> En la declaración se pueden presentar trimestres estándar con cantidades de PTDVF y</w:t>
      </w:r>
      <w:r w:rsidR="001C73E5" w:rsidRPr="00D81030">
        <w:rPr>
          <w:rFonts w:ascii="Bookman Old Style" w:eastAsia="Bookman Old Style" w:hAnsi="Bookman Old Style" w:cs="Bookman Old Style"/>
          <w:b/>
          <w:bCs/>
          <w:sz w:val="24"/>
          <w:szCs w:val="24"/>
          <w:lang w:val="es-ES"/>
        </w:rPr>
        <w:t>/</w:t>
      </w:r>
      <w:r w:rsidR="0054768C" w:rsidRPr="00D81030">
        <w:rPr>
          <w:rFonts w:ascii="Bookman Old Style" w:eastAsia="Bookman Old Style" w:hAnsi="Bookman Old Style" w:cs="Bookman Old Style"/>
          <w:b/>
          <w:bCs/>
          <w:sz w:val="24"/>
          <w:szCs w:val="24"/>
          <w:lang w:val="es-ES"/>
        </w:rPr>
        <w:t xml:space="preserve">o CIDVF </w:t>
      </w:r>
      <w:r w:rsidR="00DF49DF" w:rsidRPr="00D81030">
        <w:rPr>
          <w:rFonts w:ascii="Bookman Old Style" w:eastAsia="Bookman Old Style" w:hAnsi="Bookman Old Style" w:cs="Bookman Old Style"/>
          <w:b/>
          <w:bCs/>
          <w:sz w:val="24"/>
          <w:szCs w:val="24"/>
          <w:lang w:val="es-ES"/>
        </w:rPr>
        <w:t xml:space="preserve">iguales o superiores a </w:t>
      </w:r>
      <w:r w:rsidR="0054768C" w:rsidRPr="00D81030">
        <w:rPr>
          <w:rFonts w:ascii="Bookman Old Style" w:eastAsia="Bookman Old Style" w:hAnsi="Bookman Old Style" w:cs="Bookman Old Style"/>
          <w:b/>
          <w:bCs/>
          <w:sz w:val="24"/>
          <w:szCs w:val="24"/>
          <w:lang w:val="es-ES"/>
        </w:rPr>
        <w:t>cero</w:t>
      </w:r>
      <w:r w:rsidR="00DF49DF" w:rsidRPr="00D81030">
        <w:rPr>
          <w:rFonts w:ascii="Bookman Old Style" w:eastAsia="Bookman Old Style" w:hAnsi="Bookman Old Style" w:cs="Bookman Old Style"/>
          <w:b/>
          <w:bCs/>
          <w:sz w:val="24"/>
          <w:szCs w:val="24"/>
          <w:lang w:val="es-ES"/>
        </w:rPr>
        <w:t xml:space="preserve"> (0)</w:t>
      </w:r>
      <w:r w:rsidR="0054768C" w:rsidRPr="00D81030">
        <w:rPr>
          <w:rFonts w:ascii="Bookman Old Style" w:eastAsia="Bookman Old Style" w:hAnsi="Bookman Old Style" w:cs="Bookman Old Style"/>
          <w:b/>
          <w:bCs/>
          <w:sz w:val="24"/>
          <w:szCs w:val="24"/>
          <w:lang w:val="es-ES"/>
        </w:rPr>
        <w:t xml:space="preserve"> MBTUD.</w:t>
      </w:r>
    </w:p>
    <w:p w14:paraId="6FB7CE29" w14:textId="77777777" w:rsidR="0006302B" w:rsidRPr="00D81030" w:rsidRDefault="0006302B" w:rsidP="00571EDB">
      <w:pPr>
        <w:ind w:left="851" w:hanging="142"/>
        <w:jc w:val="both"/>
        <w:outlineLvl w:val="0"/>
        <w:rPr>
          <w:rFonts w:ascii="Bookman Old Style" w:eastAsia="Bookman Old Style" w:hAnsi="Bookman Old Style" w:cs="Bookman Old Style"/>
          <w:b/>
          <w:bCs/>
        </w:rPr>
      </w:pPr>
    </w:p>
    <w:p w14:paraId="796CE2E4" w14:textId="4A96D52F" w:rsidR="0006302B" w:rsidRDefault="0006302B" w:rsidP="00571EDB">
      <w:pPr>
        <w:pStyle w:val="Prrafodelista"/>
        <w:numPr>
          <w:ilvl w:val="2"/>
          <w:numId w:val="85"/>
        </w:numPr>
        <w:ind w:left="851" w:hanging="142"/>
        <w:jc w:val="both"/>
        <w:outlineLvl w:val="0"/>
        <w:rPr>
          <w:rFonts w:ascii="Bookman Old Style" w:eastAsia="Bookman Old Style" w:hAnsi="Bookman Old Style" w:cs="Bookman Old Style"/>
          <w:b/>
          <w:bCs/>
          <w:sz w:val="24"/>
          <w:szCs w:val="24"/>
        </w:rPr>
      </w:pPr>
      <w:r w:rsidRPr="00D81030">
        <w:rPr>
          <w:rFonts w:ascii="Bookman Old Style" w:eastAsia="Bookman Old Style" w:hAnsi="Bookman Old Style" w:cs="Bookman Old Style"/>
          <w:b/>
          <w:bCs/>
          <w:sz w:val="24"/>
          <w:szCs w:val="24"/>
        </w:rPr>
        <w:t xml:space="preserve">En el momento de la declaración al </w:t>
      </w:r>
      <w:r w:rsidR="0022131A" w:rsidRPr="00D81030">
        <w:rPr>
          <w:rFonts w:ascii="Bookman Old Style" w:eastAsia="Bookman Old Style" w:hAnsi="Bookman Old Style" w:cs="Bookman Old Style"/>
          <w:b/>
          <w:bCs/>
          <w:sz w:val="24"/>
          <w:szCs w:val="24"/>
        </w:rPr>
        <w:t>Gestor</w:t>
      </w:r>
      <w:r w:rsidRPr="00D81030">
        <w:rPr>
          <w:rFonts w:ascii="Bookman Old Style" w:eastAsia="Bookman Old Style" w:hAnsi="Bookman Old Style" w:cs="Bookman Old Style"/>
          <w:b/>
          <w:bCs/>
          <w:sz w:val="24"/>
          <w:szCs w:val="24"/>
        </w:rPr>
        <w:t xml:space="preserve"> del Mercado, se deberá tener en cuenta que la oferta de PTDVF para cada Fuente de Suministro</w:t>
      </w:r>
      <w:r w:rsidR="00467A04">
        <w:rPr>
          <w:rFonts w:ascii="Bookman Old Style" w:eastAsia="Bookman Old Style" w:hAnsi="Bookman Old Style" w:cs="Bookman Old Style"/>
          <w:b/>
          <w:bCs/>
          <w:sz w:val="24"/>
          <w:szCs w:val="24"/>
        </w:rPr>
        <w:t xml:space="preserve"> nacional</w:t>
      </w:r>
      <w:r w:rsidR="00922DB3">
        <w:rPr>
          <w:rFonts w:ascii="Bookman Old Style" w:eastAsia="Bookman Old Style" w:hAnsi="Bookman Old Style" w:cs="Bookman Old Style"/>
          <w:b/>
          <w:bCs/>
          <w:sz w:val="24"/>
          <w:szCs w:val="24"/>
        </w:rPr>
        <w:t xml:space="preserve"> de cada vendedor</w:t>
      </w:r>
      <w:r w:rsidRPr="00D81030">
        <w:rPr>
          <w:rFonts w:ascii="Bookman Old Style" w:eastAsia="Bookman Old Style" w:hAnsi="Bookman Old Style" w:cs="Bookman Old Style"/>
          <w:b/>
          <w:bCs/>
          <w:sz w:val="24"/>
          <w:szCs w:val="24"/>
        </w:rPr>
        <w:t xml:space="preserve">, debe ser igual o inferior a la PTDV y/o CIDV </w:t>
      </w:r>
      <w:r w:rsidR="00962EE6" w:rsidRPr="00D81030">
        <w:rPr>
          <w:rFonts w:ascii="Bookman Old Style" w:eastAsia="Bookman Old Style" w:hAnsi="Bookman Old Style" w:cs="Bookman Old Style"/>
          <w:b/>
          <w:bCs/>
          <w:sz w:val="24"/>
          <w:szCs w:val="24"/>
        </w:rPr>
        <w:t xml:space="preserve">para el respectivo mes, </w:t>
      </w:r>
      <w:r w:rsidRPr="00D81030">
        <w:rPr>
          <w:rFonts w:ascii="Bookman Old Style" w:eastAsia="Bookman Old Style" w:hAnsi="Bookman Old Style" w:cs="Bookman Old Style"/>
          <w:b/>
          <w:bCs/>
          <w:sz w:val="24"/>
          <w:szCs w:val="24"/>
        </w:rPr>
        <w:t xml:space="preserve">declarada </w:t>
      </w:r>
      <w:r w:rsidR="00922DB3">
        <w:rPr>
          <w:rFonts w:ascii="Bookman Old Style" w:eastAsia="Bookman Old Style" w:hAnsi="Bookman Old Style" w:cs="Bookman Old Style"/>
          <w:b/>
          <w:bCs/>
          <w:sz w:val="24"/>
          <w:szCs w:val="24"/>
        </w:rPr>
        <w:t xml:space="preserve">para ese mismo vendedor, </w:t>
      </w:r>
      <w:r w:rsidRPr="00D81030">
        <w:rPr>
          <w:rFonts w:ascii="Bookman Old Style" w:eastAsia="Bookman Old Style" w:hAnsi="Bookman Old Style" w:cs="Bookman Old Style"/>
          <w:b/>
          <w:bCs/>
          <w:sz w:val="24"/>
          <w:szCs w:val="24"/>
        </w:rPr>
        <w:t xml:space="preserve">al Ministerio de Minas y Energía en cumplimiento del </w:t>
      </w:r>
      <w:r w:rsidR="008D78F7">
        <w:rPr>
          <w:rFonts w:ascii="Bookman Old Style" w:eastAsia="Bookman Old Style" w:hAnsi="Bookman Old Style" w:cs="Bookman Old Style"/>
          <w:b/>
          <w:bCs/>
          <w:sz w:val="24"/>
          <w:szCs w:val="24"/>
        </w:rPr>
        <w:t>a</w:t>
      </w:r>
      <w:r w:rsidRPr="00D81030">
        <w:rPr>
          <w:rFonts w:ascii="Bookman Old Style" w:eastAsia="Bookman Old Style" w:hAnsi="Bookman Old Style" w:cs="Bookman Old Style"/>
          <w:b/>
          <w:bCs/>
          <w:sz w:val="24"/>
          <w:szCs w:val="24"/>
        </w:rPr>
        <w:t>rtículo 2.2.2.2.21 del Decreto 1073 de 2015.</w:t>
      </w:r>
      <w:r w:rsidR="00254942">
        <w:rPr>
          <w:rFonts w:ascii="Bookman Old Style" w:eastAsia="Bookman Old Style" w:hAnsi="Bookman Old Style" w:cs="Bookman Old Style"/>
          <w:b/>
          <w:bCs/>
          <w:sz w:val="24"/>
          <w:szCs w:val="24"/>
        </w:rPr>
        <w:t xml:space="preserve"> De no cumplirse con este requisito, el Gestor del Mercado deberá asignar como PTDVF, la cantidad de PTDV </w:t>
      </w:r>
      <w:r w:rsidR="004015C5">
        <w:rPr>
          <w:rFonts w:ascii="Bookman Old Style" w:eastAsia="Bookman Old Style" w:hAnsi="Bookman Old Style" w:cs="Bookman Old Style"/>
          <w:b/>
          <w:bCs/>
          <w:sz w:val="24"/>
          <w:szCs w:val="24"/>
        </w:rPr>
        <w:t xml:space="preserve">vigente </w:t>
      </w:r>
      <w:r w:rsidR="00254942">
        <w:rPr>
          <w:rFonts w:ascii="Bookman Old Style" w:eastAsia="Bookman Old Style" w:hAnsi="Bookman Old Style" w:cs="Bookman Old Style"/>
          <w:b/>
          <w:bCs/>
          <w:sz w:val="24"/>
          <w:szCs w:val="24"/>
        </w:rPr>
        <w:t>para la fuente de Suministro</w:t>
      </w:r>
      <w:r w:rsidR="00467A04">
        <w:rPr>
          <w:rFonts w:ascii="Bookman Old Style" w:eastAsia="Bookman Old Style" w:hAnsi="Bookman Old Style" w:cs="Bookman Old Style"/>
          <w:b/>
          <w:bCs/>
          <w:sz w:val="24"/>
          <w:szCs w:val="24"/>
        </w:rPr>
        <w:t>,</w:t>
      </w:r>
      <w:r w:rsidR="00254942">
        <w:rPr>
          <w:rFonts w:ascii="Bookman Old Style" w:eastAsia="Bookman Old Style" w:hAnsi="Bookman Old Style" w:cs="Bookman Old Style"/>
          <w:b/>
          <w:bCs/>
          <w:sz w:val="24"/>
          <w:szCs w:val="24"/>
        </w:rPr>
        <w:t xml:space="preserve"> que se encuentre publicada por el MME al momento de la declaración del vendedor al Gestor del Mercado.</w:t>
      </w:r>
    </w:p>
    <w:p w14:paraId="0C5CA401" w14:textId="77777777" w:rsidR="00C937B4" w:rsidRPr="00295053" w:rsidRDefault="00C937B4" w:rsidP="00295053">
      <w:pPr>
        <w:pStyle w:val="Prrafodelista"/>
        <w:rPr>
          <w:rFonts w:ascii="Bookman Old Style" w:eastAsia="Bookman Old Style" w:hAnsi="Bookman Old Style" w:cs="Bookman Old Style"/>
          <w:b/>
          <w:bCs/>
          <w:sz w:val="24"/>
          <w:szCs w:val="24"/>
        </w:rPr>
      </w:pPr>
    </w:p>
    <w:p w14:paraId="52F7ED6F" w14:textId="04F1F4CA" w:rsidR="00C937B4" w:rsidRDefault="00C937B4">
      <w:pPr>
        <w:pStyle w:val="Prrafodelista"/>
        <w:ind w:left="851"/>
        <w:jc w:val="both"/>
        <w:outlineLvl w:val="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En todo caso el Gestor del </w:t>
      </w:r>
      <w:r w:rsidR="004015C5">
        <w:rPr>
          <w:rFonts w:ascii="Bookman Old Style" w:eastAsia="Bookman Old Style" w:hAnsi="Bookman Old Style" w:cs="Bookman Old Style"/>
          <w:b/>
          <w:bCs/>
          <w:sz w:val="24"/>
          <w:szCs w:val="24"/>
        </w:rPr>
        <w:t>M</w:t>
      </w:r>
      <w:r>
        <w:rPr>
          <w:rFonts w:ascii="Bookman Old Style" w:eastAsia="Bookman Old Style" w:hAnsi="Bookman Old Style" w:cs="Bookman Old Style"/>
          <w:b/>
          <w:bCs/>
          <w:sz w:val="24"/>
          <w:szCs w:val="24"/>
        </w:rPr>
        <w:t>ercado deberá verificar que la declaración de PTDV vigente publicada por el MME para la fuente de suministro</w:t>
      </w:r>
      <w:r w:rsidR="00922DB3">
        <w:rPr>
          <w:rFonts w:ascii="Bookman Old Style" w:eastAsia="Bookman Old Style" w:hAnsi="Bookman Old Style" w:cs="Bookman Old Style"/>
          <w:b/>
          <w:bCs/>
          <w:sz w:val="24"/>
          <w:szCs w:val="24"/>
        </w:rPr>
        <w:t xml:space="preserve"> para el vendedor</w:t>
      </w:r>
      <w:r>
        <w:rPr>
          <w:rFonts w:ascii="Bookman Old Style" w:eastAsia="Bookman Old Style" w:hAnsi="Bookman Old Style" w:cs="Bookman Old Style"/>
          <w:b/>
          <w:bCs/>
          <w:sz w:val="24"/>
          <w:szCs w:val="24"/>
        </w:rPr>
        <w:t xml:space="preserve">, haya cumplido con lo establecido en el </w:t>
      </w:r>
      <w:r w:rsidR="005D550C">
        <w:rPr>
          <w:rFonts w:ascii="Bookman Old Style" w:eastAsia="Bookman Old Style" w:hAnsi="Bookman Old Style" w:cs="Bookman Old Style"/>
          <w:b/>
          <w:bCs/>
          <w:sz w:val="24"/>
          <w:szCs w:val="24"/>
        </w:rPr>
        <w:t>a</w:t>
      </w:r>
      <w:r>
        <w:rPr>
          <w:rFonts w:ascii="Bookman Old Style" w:eastAsia="Bookman Old Style" w:hAnsi="Bookman Old Style" w:cs="Bookman Old Style"/>
          <w:b/>
          <w:bCs/>
          <w:sz w:val="24"/>
          <w:szCs w:val="24"/>
        </w:rPr>
        <w:t xml:space="preserve">rtículo </w:t>
      </w:r>
      <w:r w:rsidR="004015C5" w:rsidRPr="004015C5">
        <w:rPr>
          <w:rFonts w:ascii="Bookman Old Style" w:eastAsia="Bookman Old Style" w:hAnsi="Bookman Old Style" w:cs="Bookman Old Style"/>
          <w:b/>
          <w:bCs/>
          <w:sz w:val="24"/>
          <w:szCs w:val="24"/>
        </w:rPr>
        <w:t xml:space="preserve">2.2.2.2.22. </w:t>
      </w:r>
      <w:r w:rsidR="004015C5">
        <w:rPr>
          <w:rFonts w:ascii="Bookman Old Style" w:eastAsia="Bookman Old Style" w:hAnsi="Bookman Old Style" w:cs="Bookman Old Style"/>
          <w:b/>
          <w:bCs/>
          <w:sz w:val="24"/>
          <w:szCs w:val="24"/>
        </w:rPr>
        <w:t>“</w:t>
      </w:r>
      <w:r w:rsidR="004015C5" w:rsidRPr="00295053">
        <w:rPr>
          <w:rFonts w:ascii="Bookman Old Style" w:eastAsia="Bookman Old Style" w:hAnsi="Bookman Old Style" w:cs="Bookman Old Style"/>
          <w:b/>
          <w:bCs/>
          <w:i/>
          <w:iCs/>
          <w:sz w:val="24"/>
          <w:szCs w:val="24"/>
        </w:rPr>
        <w:t>Actualización de la declaración de producción</w:t>
      </w:r>
      <w:r w:rsidR="004015C5">
        <w:rPr>
          <w:rFonts w:ascii="Bookman Old Style" w:eastAsia="Bookman Old Style" w:hAnsi="Bookman Old Style" w:cs="Bookman Old Style"/>
          <w:b/>
          <w:bCs/>
          <w:sz w:val="24"/>
          <w:szCs w:val="24"/>
        </w:rPr>
        <w:t xml:space="preserve">” </w:t>
      </w:r>
      <w:r>
        <w:rPr>
          <w:rFonts w:ascii="Bookman Old Style" w:eastAsia="Bookman Old Style" w:hAnsi="Bookman Old Style" w:cs="Bookman Old Style"/>
          <w:b/>
          <w:bCs/>
          <w:sz w:val="24"/>
          <w:szCs w:val="24"/>
        </w:rPr>
        <w:t xml:space="preserve">del Decreto 1073 de 2015. </w:t>
      </w:r>
      <w:r w:rsidR="008A0AED">
        <w:rPr>
          <w:rFonts w:ascii="Bookman Old Style" w:eastAsia="Bookman Old Style" w:hAnsi="Bookman Old Style" w:cs="Bookman Old Style"/>
          <w:b/>
          <w:bCs/>
          <w:sz w:val="24"/>
          <w:szCs w:val="24"/>
        </w:rPr>
        <w:t>S</w:t>
      </w:r>
      <w:r w:rsidR="008A0AED" w:rsidRPr="008A0AED">
        <w:rPr>
          <w:rFonts w:ascii="Bookman Old Style" w:eastAsia="Bookman Old Style" w:hAnsi="Bookman Old Style" w:cs="Bookman Old Style"/>
          <w:b/>
          <w:bCs/>
          <w:sz w:val="24"/>
          <w:szCs w:val="24"/>
        </w:rPr>
        <w:t xml:space="preserve">i se evidencia que la PTDV publicada por el MME y vigente al momento de la declaración al Gestor del Mercado no corresponde realmente a un valor actualizado el Gestor deberá utilizar el menor valor de PTDV que se obtiene entre el valor de PTDV vigente publicado por el MME </w:t>
      </w:r>
      <w:r w:rsidR="00922DB3">
        <w:rPr>
          <w:rFonts w:ascii="Bookman Old Style" w:eastAsia="Bookman Old Style" w:hAnsi="Bookman Old Style" w:cs="Bookman Old Style"/>
          <w:b/>
          <w:bCs/>
          <w:sz w:val="24"/>
          <w:szCs w:val="24"/>
        </w:rPr>
        <w:t xml:space="preserve">para el vendedor </w:t>
      </w:r>
      <w:r w:rsidR="008A0AED" w:rsidRPr="008A0AED">
        <w:rPr>
          <w:rFonts w:ascii="Bookman Old Style" w:eastAsia="Bookman Old Style" w:hAnsi="Bookman Old Style" w:cs="Bookman Old Style"/>
          <w:b/>
          <w:bCs/>
          <w:sz w:val="24"/>
          <w:szCs w:val="24"/>
        </w:rPr>
        <w:t xml:space="preserve">y el </w:t>
      </w:r>
      <w:proofErr w:type="spellStart"/>
      <w:r w:rsidR="008A0AED" w:rsidRPr="008A0AED">
        <w:rPr>
          <w:rFonts w:ascii="Bookman Old Style" w:eastAsia="Bookman Old Style" w:hAnsi="Bookman Old Style" w:cs="Bookman Old Style"/>
          <w:b/>
          <w:bCs/>
          <w:sz w:val="24"/>
          <w:szCs w:val="24"/>
        </w:rPr>
        <w:t>el</w:t>
      </w:r>
      <w:proofErr w:type="spellEnd"/>
      <w:r w:rsidR="008A0AED" w:rsidRPr="008A0AED">
        <w:rPr>
          <w:rFonts w:ascii="Bookman Old Style" w:eastAsia="Bookman Old Style" w:hAnsi="Bookman Old Style" w:cs="Bookman Old Style"/>
          <w:b/>
          <w:bCs/>
          <w:sz w:val="24"/>
          <w:szCs w:val="24"/>
        </w:rPr>
        <w:t xml:space="preserve"> valor que correspondería de PTDV </w:t>
      </w:r>
      <w:r w:rsidR="00922DB3">
        <w:rPr>
          <w:rFonts w:ascii="Bookman Old Style" w:eastAsia="Bookman Old Style" w:hAnsi="Bookman Old Style" w:cs="Bookman Old Style"/>
          <w:b/>
          <w:bCs/>
          <w:sz w:val="24"/>
          <w:szCs w:val="24"/>
        </w:rPr>
        <w:t xml:space="preserve">para ese mismo vendedor </w:t>
      </w:r>
      <w:r w:rsidR="008A0AED" w:rsidRPr="008A0AED">
        <w:rPr>
          <w:rFonts w:ascii="Bookman Old Style" w:eastAsia="Bookman Old Style" w:hAnsi="Bookman Old Style" w:cs="Bookman Old Style"/>
          <w:b/>
          <w:bCs/>
          <w:sz w:val="24"/>
          <w:szCs w:val="24"/>
        </w:rPr>
        <w:t>si se hubiese actualizado la declaración del vendedor al MME</w:t>
      </w:r>
      <w:r w:rsidR="008A0AED">
        <w:rPr>
          <w:rFonts w:ascii="Bookman Old Style" w:eastAsia="Bookman Old Style" w:hAnsi="Bookman Old Style" w:cs="Bookman Old Style"/>
          <w:b/>
          <w:bCs/>
          <w:sz w:val="24"/>
          <w:szCs w:val="24"/>
        </w:rPr>
        <w:t>.</w:t>
      </w:r>
    </w:p>
    <w:p w14:paraId="5642718E" w14:textId="58092BF7" w:rsidR="006C5374" w:rsidRDefault="006C5374">
      <w:pPr>
        <w:pStyle w:val="Prrafodelista"/>
        <w:ind w:left="851"/>
        <w:jc w:val="both"/>
        <w:outlineLvl w:val="0"/>
        <w:rPr>
          <w:rFonts w:ascii="Bookman Old Style" w:eastAsia="Bookman Old Style" w:hAnsi="Bookman Old Style" w:cs="Bookman Old Style"/>
          <w:b/>
          <w:bCs/>
          <w:sz w:val="24"/>
          <w:szCs w:val="24"/>
        </w:rPr>
      </w:pPr>
    </w:p>
    <w:p w14:paraId="54162586" w14:textId="5148A9E5" w:rsidR="006C5374" w:rsidRPr="00D81030" w:rsidRDefault="006C5374" w:rsidP="006C5374">
      <w:pPr>
        <w:pStyle w:val="Prrafodelista"/>
        <w:ind w:left="851"/>
        <w:jc w:val="both"/>
        <w:outlineLvl w:val="0"/>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 xml:space="preserve">De no cumplirse con este requisito, el Gestor del Mercado deberá asignar como PTDVF, la cantidad de PTDV para la fuente de </w:t>
      </w:r>
      <w:r w:rsidR="005D550C">
        <w:rPr>
          <w:rFonts w:ascii="Bookman Old Style" w:eastAsia="Bookman Old Style" w:hAnsi="Bookman Old Style" w:cs="Bookman Old Style"/>
          <w:b/>
          <w:bCs/>
          <w:sz w:val="24"/>
          <w:szCs w:val="24"/>
        </w:rPr>
        <w:t>s</w:t>
      </w:r>
      <w:r>
        <w:rPr>
          <w:rFonts w:ascii="Bookman Old Style" w:eastAsia="Bookman Old Style" w:hAnsi="Bookman Old Style" w:cs="Bookman Old Style"/>
          <w:b/>
          <w:bCs/>
          <w:sz w:val="24"/>
          <w:szCs w:val="24"/>
        </w:rPr>
        <w:t>uministro vigente, que se encuentre publicada por el MME al momento de la declaración del vendedor al Gestor del Mercado.</w:t>
      </w:r>
    </w:p>
    <w:p w14:paraId="70A26B76" w14:textId="77777777" w:rsidR="00467A04" w:rsidRPr="00295053" w:rsidRDefault="00467A04" w:rsidP="00295053">
      <w:pPr>
        <w:pStyle w:val="Prrafodelista"/>
        <w:rPr>
          <w:rFonts w:ascii="Bookman Old Style" w:eastAsia="Bookman Old Style" w:hAnsi="Bookman Old Style" w:cs="Bookman Old Style"/>
          <w:b/>
          <w:bCs/>
          <w:sz w:val="24"/>
          <w:szCs w:val="24"/>
        </w:rPr>
      </w:pPr>
    </w:p>
    <w:p w14:paraId="2A59C529" w14:textId="77777777" w:rsidR="00E22F48" w:rsidRDefault="00467A04" w:rsidP="00E22F48">
      <w:pPr>
        <w:pStyle w:val="Prrafodelista"/>
        <w:numPr>
          <w:ilvl w:val="2"/>
          <w:numId w:val="85"/>
        </w:numPr>
        <w:ind w:left="851" w:hanging="142"/>
        <w:jc w:val="both"/>
        <w:outlineLvl w:val="0"/>
        <w:rPr>
          <w:rFonts w:ascii="Bookman Old Style" w:eastAsia="Bookman Old Style" w:hAnsi="Bookman Old Style" w:cs="Bookman Old Style"/>
          <w:b/>
          <w:bCs/>
          <w:sz w:val="24"/>
          <w:szCs w:val="24"/>
        </w:rPr>
      </w:pPr>
      <w:r w:rsidRPr="00D81030">
        <w:rPr>
          <w:rFonts w:ascii="Bookman Old Style" w:eastAsia="Bookman Old Style" w:hAnsi="Bookman Old Style" w:cs="Bookman Old Style"/>
          <w:b/>
          <w:bCs/>
          <w:sz w:val="24"/>
          <w:szCs w:val="24"/>
        </w:rPr>
        <w:t xml:space="preserve">En el momento de la declaración al Gestor del Mercado, se deberá tener en cuenta que la oferta de </w:t>
      </w:r>
      <w:r w:rsidR="00F359A7">
        <w:rPr>
          <w:rFonts w:ascii="Bookman Old Style" w:eastAsia="Bookman Old Style" w:hAnsi="Bookman Old Style" w:cs="Bookman Old Style"/>
          <w:b/>
          <w:bCs/>
          <w:sz w:val="24"/>
          <w:szCs w:val="24"/>
        </w:rPr>
        <w:t>CI</w:t>
      </w:r>
      <w:r w:rsidRPr="00D81030">
        <w:rPr>
          <w:rFonts w:ascii="Bookman Old Style" w:eastAsia="Bookman Old Style" w:hAnsi="Bookman Old Style" w:cs="Bookman Old Style"/>
          <w:b/>
          <w:bCs/>
          <w:sz w:val="24"/>
          <w:szCs w:val="24"/>
        </w:rPr>
        <w:t xml:space="preserve">DVF para </w:t>
      </w:r>
      <w:r w:rsidR="00F359A7">
        <w:rPr>
          <w:rFonts w:ascii="Bookman Old Style" w:eastAsia="Bookman Old Style" w:hAnsi="Bookman Old Style" w:cs="Bookman Old Style"/>
          <w:b/>
          <w:bCs/>
          <w:sz w:val="24"/>
          <w:szCs w:val="24"/>
        </w:rPr>
        <w:t>el gas natural obtenido en el exterior</w:t>
      </w:r>
      <w:r w:rsidRPr="00D81030">
        <w:rPr>
          <w:rFonts w:ascii="Bookman Old Style" w:eastAsia="Bookman Old Style" w:hAnsi="Bookman Old Style" w:cs="Bookman Old Style"/>
          <w:b/>
          <w:bCs/>
          <w:sz w:val="24"/>
          <w:szCs w:val="24"/>
        </w:rPr>
        <w:t xml:space="preserve">, </w:t>
      </w:r>
      <w:r w:rsidR="00F359A7">
        <w:rPr>
          <w:rFonts w:ascii="Bookman Old Style" w:eastAsia="Bookman Old Style" w:hAnsi="Bookman Old Style" w:cs="Bookman Old Style"/>
          <w:b/>
          <w:bCs/>
          <w:sz w:val="24"/>
          <w:szCs w:val="24"/>
        </w:rPr>
        <w:t>deberá cumplir con alguno de los siguientes requisitos:</w:t>
      </w:r>
    </w:p>
    <w:p w14:paraId="50ED6CE4" w14:textId="77777777" w:rsidR="00E22F48" w:rsidRPr="00295053" w:rsidRDefault="00E22F48" w:rsidP="00295053">
      <w:pPr>
        <w:pStyle w:val="Prrafodelista"/>
        <w:rPr>
          <w:rFonts w:ascii="Bookman Old Style" w:hAnsi="Bookman Old Style" w:cs="Arial"/>
          <w:b/>
          <w:color w:val="000000" w:themeColor="text1"/>
          <w:sz w:val="24"/>
          <w:szCs w:val="24"/>
        </w:rPr>
      </w:pPr>
    </w:p>
    <w:p w14:paraId="6DB66F8F" w14:textId="74A60C0A" w:rsidR="00E22F48" w:rsidRDefault="00E22F48" w:rsidP="00E22F48">
      <w:pPr>
        <w:pStyle w:val="Prrafodelista"/>
        <w:numPr>
          <w:ilvl w:val="4"/>
          <w:numId w:val="85"/>
        </w:numPr>
        <w:ind w:left="1276"/>
        <w:jc w:val="both"/>
        <w:outlineLvl w:val="0"/>
        <w:rPr>
          <w:rFonts w:ascii="Bookman Old Style" w:hAnsi="Bookman Old Style" w:cs="Arial"/>
          <w:b/>
          <w:color w:val="000000" w:themeColor="text1"/>
          <w:sz w:val="24"/>
          <w:szCs w:val="24"/>
        </w:rPr>
      </w:pPr>
      <w:r w:rsidRPr="00295053">
        <w:rPr>
          <w:rFonts w:ascii="Bookman Old Style" w:hAnsi="Bookman Old Style" w:cs="Arial"/>
          <w:b/>
          <w:color w:val="000000" w:themeColor="text1"/>
          <w:sz w:val="24"/>
          <w:szCs w:val="24"/>
        </w:rPr>
        <w:t>Unos plazos de ejecución y cantidades de suministro del gas natural obtenidas en el exterior, por lo menos iguales a la mayor duración y a la mayor cantidad que se declare al Gestor del Mercado en unidades diarias, MBTUD; o,</w:t>
      </w:r>
    </w:p>
    <w:p w14:paraId="2128D7DC" w14:textId="77777777" w:rsidR="00E22F48" w:rsidRPr="00295053" w:rsidRDefault="00E22F48" w:rsidP="00295053">
      <w:pPr>
        <w:pStyle w:val="Prrafodelista"/>
        <w:ind w:left="1276"/>
        <w:jc w:val="both"/>
        <w:outlineLvl w:val="0"/>
        <w:rPr>
          <w:rFonts w:ascii="Bookman Old Style" w:hAnsi="Bookman Old Style" w:cs="Arial"/>
          <w:b/>
          <w:color w:val="000000" w:themeColor="text1"/>
        </w:rPr>
      </w:pPr>
    </w:p>
    <w:p w14:paraId="020948F7" w14:textId="717B6160" w:rsidR="00F359A7" w:rsidRPr="00295053" w:rsidRDefault="00E22F48" w:rsidP="00295053">
      <w:pPr>
        <w:pStyle w:val="Prrafodelista"/>
        <w:numPr>
          <w:ilvl w:val="4"/>
          <w:numId w:val="85"/>
        </w:numPr>
        <w:ind w:left="1276"/>
        <w:jc w:val="both"/>
        <w:outlineLvl w:val="0"/>
        <w:rPr>
          <w:rFonts w:ascii="Bookman Old Style" w:eastAsia="Bookman Old Style" w:hAnsi="Bookman Old Style" w:cs="Bookman Old Style"/>
          <w:b/>
          <w:bCs/>
          <w:sz w:val="24"/>
          <w:szCs w:val="24"/>
        </w:rPr>
      </w:pPr>
      <w:r w:rsidRPr="00295053">
        <w:rPr>
          <w:rFonts w:ascii="Bookman Old Style" w:hAnsi="Bookman Old Style" w:cs="Arial"/>
          <w:b/>
          <w:color w:val="000000" w:themeColor="text1"/>
          <w:sz w:val="24"/>
          <w:szCs w:val="24"/>
        </w:rPr>
        <w:t xml:space="preserve"> Unas cantidades totales de gas natural comprado en el exterior, medidas en unidades de energía, MBTU, que sean iguales o superiores a las cantidades de gas natural, medidas en las mismas unidades de energía, que se declaran al Gestor del Mercado para el período declarado</w:t>
      </w:r>
    </w:p>
    <w:p w14:paraId="3940E7C0" w14:textId="77777777" w:rsidR="00F359A7" w:rsidRPr="00295053" w:rsidRDefault="00F359A7" w:rsidP="00295053">
      <w:pPr>
        <w:pStyle w:val="Prrafodelista"/>
        <w:rPr>
          <w:rFonts w:ascii="Bookman Old Style" w:eastAsia="Bookman Old Style" w:hAnsi="Bookman Old Style" w:cs="Bookman Old Style"/>
          <w:b/>
          <w:bCs/>
          <w:sz w:val="24"/>
          <w:szCs w:val="24"/>
        </w:rPr>
      </w:pPr>
    </w:p>
    <w:p w14:paraId="61A1028C" w14:textId="667B4DD3" w:rsidR="00667328" w:rsidRPr="00D81030" w:rsidRDefault="00667328" w:rsidP="00571EDB">
      <w:pPr>
        <w:pStyle w:val="Prrafodelista"/>
        <w:numPr>
          <w:ilvl w:val="2"/>
          <w:numId w:val="85"/>
        </w:numPr>
        <w:ind w:left="851" w:hanging="142"/>
        <w:jc w:val="both"/>
        <w:outlineLvl w:val="0"/>
        <w:rPr>
          <w:rFonts w:ascii="Bookman Old Style" w:eastAsia="Bookman Old Style" w:hAnsi="Bookman Old Style" w:cs="Bookman Old Style"/>
          <w:b/>
          <w:bCs/>
          <w:sz w:val="24"/>
          <w:szCs w:val="24"/>
        </w:rPr>
      </w:pPr>
      <w:r w:rsidRPr="00D81030">
        <w:rPr>
          <w:rFonts w:ascii="Bookman Old Style" w:eastAsia="Bookman Old Style" w:hAnsi="Bookman Old Style" w:cs="Bookman Old Style"/>
          <w:b/>
          <w:bCs/>
          <w:sz w:val="24"/>
          <w:szCs w:val="24"/>
        </w:rPr>
        <w:t>La declaración del contenido de la minuta del contrato que garantice firmeza</w:t>
      </w:r>
      <w:r w:rsidR="00962EE6" w:rsidRPr="00D81030">
        <w:rPr>
          <w:rFonts w:ascii="Bookman Old Style" w:eastAsia="Bookman Old Style" w:hAnsi="Bookman Old Style" w:cs="Bookman Old Style"/>
          <w:b/>
          <w:bCs/>
          <w:sz w:val="24"/>
          <w:szCs w:val="24"/>
        </w:rPr>
        <w:t>,</w:t>
      </w:r>
      <w:r w:rsidRPr="00D81030">
        <w:rPr>
          <w:rFonts w:ascii="Bookman Old Style" w:eastAsia="Bookman Old Style" w:hAnsi="Bookman Old Style" w:cs="Bookman Old Style"/>
          <w:b/>
          <w:bCs/>
          <w:sz w:val="24"/>
          <w:szCs w:val="24"/>
        </w:rPr>
        <w:t xml:space="preserve"> que será utilizada </w:t>
      </w:r>
      <w:r w:rsidR="00757BDF" w:rsidRPr="00D81030">
        <w:rPr>
          <w:rFonts w:ascii="Bookman Old Style" w:eastAsia="Bookman Old Style" w:hAnsi="Bookman Old Style" w:cs="Bookman Old Style"/>
          <w:b/>
          <w:bCs/>
          <w:sz w:val="24"/>
          <w:szCs w:val="24"/>
        </w:rPr>
        <w:t>para la</w:t>
      </w:r>
      <w:r w:rsidR="009F0FE4" w:rsidRPr="00D81030">
        <w:rPr>
          <w:rFonts w:ascii="Bookman Old Style" w:eastAsia="Bookman Old Style" w:hAnsi="Bookman Old Style" w:cs="Bookman Old Style"/>
          <w:b/>
          <w:bCs/>
          <w:sz w:val="24"/>
          <w:szCs w:val="24"/>
        </w:rPr>
        <w:t xml:space="preserve"> </w:t>
      </w:r>
      <w:r w:rsidR="00457D42" w:rsidRPr="00D81030">
        <w:rPr>
          <w:rFonts w:ascii="Bookman Old Style" w:eastAsia="Bookman Old Style" w:hAnsi="Bookman Old Style" w:cs="Bookman Old Style"/>
          <w:b/>
          <w:bCs/>
          <w:sz w:val="24"/>
          <w:szCs w:val="24"/>
        </w:rPr>
        <w:t>modalidad contractual</w:t>
      </w:r>
      <w:r w:rsidR="00757BDF" w:rsidRPr="00D81030">
        <w:rPr>
          <w:rFonts w:ascii="Bookman Old Style" w:eastAsia="Bookman Old Style" w:hAnsi="Bookman Old Style" w:cs="Bookman Old Style"/>
          <w:b/>
          <w:bCs/>
          <w:sz w:val="24"/>
          <w:szCs w:val="24"/>
        </w:rPr>
        <w:t xml:space="preserve"> CF95, </w:t>
      </w:r>
      <w:r w:rsidR="00757BDF" w:rsidRPr="00D81030">
        <w:rPr>
          <w:rFonts w:ascii="Bookman Old Style" w:hAnsi="Bookman Old Style"/>
          <w:b/>
          <w:bCs/>
          <w:color w:val="000000" w:themeColor="text1"/>
          <w:sz w:val="24"/>
          <w:szCs w:val="24"/>
        </w:rPr>
        <w:t>de suministro con firmeza condicionada CFC o de opción de compra de gas OCG</w:t>
      </w:r>
      <w:r w:rsidR="000C2083" w:rsidRPr="00D81030">
        <w:rPr>
          <w:rFonts w:ascii="Bookman Old Style" w:eastAsia="Bookman Old Style" w:hAnsi="Bookman Old Style" w:cs="Bookman Old Style"/>
          <w:b/>
          <w:bCs/>
          <w:sz w:val="24"/>
          <w:szCs w:val="24"/>
        </w:rPr>
        <w:t>,</w:t>
      </w:r>
      <w:r w:rsidR="00457D42" w:rsidRPr="00D81030">
        <w:rPr>
          <w:rFonts w:ascii="Bookman Old Style" w:eastAsia="Bookman Old Style" w:hAnsi="Bookman Old Style" w:cs="Bookman Old Style"/>
          <w:b/>
          <w:bCs/>
          <w:sz w:val="24"/>
          <w:szCs w:val="24"/>
        </w:rPr>
        <w:t xml:space="preserve"> </w:t>
      </w:r>
      <w:r w:rsidR="000C2083" w:rsidRPr="00D81030">
        <w:rPr>
          <w:rFonts w:ascii="Bookman Old Style" w:eastAsia="Bookman Old Style" w:hAnsi="Bookman Old Style" w:cs="Bookman Old Style"/>
          <w:b/>
          <w:bCs/>
          <w:sz w:val="24"/>
          <w:szCs w:val="24"/>
        </w:rPr>
        <w:t xml:space="preserve">solo </w:t>
      </w:r>
      <w:r w:rsidR="006600A8" w:rsidRPr="00D81030">
        <w:rPr>
          <w:rFonts w:ascii="Bookman Old Style" w:eastAsia="Bookman Old Style" w:hAnsi="Bookman Old Style" w:cs="Bookman Old Style"/>
          <w:b/>
          <w:bCs/>
          <w:sz w:val="24"/>
          <w:szCs w:val="24"/>
        </w:rPr>
        <w:t xml:space="preserve">en caso de requerirse </w:t>
      </w:r>
      <w:r w:rsidR="000C2083" w:rsidRPr="00D81030">
        <w:rPr>
          <w:rFonts w:ascii="Bookman Old Style" w:eastAsia="Bookman Old Style" w:hAnsi="Bookman Old Style" w:cs="Bookman Old Style"/>
          <w:b/>
          <w:bCs/>
          <w:sz w:val="24"/>
          <w:szCs w:val="24"/>
        </w:rPr>
        <w:t xml:space="preserve">aplicar </w:t>
      </w:r>
      <w:r w:rsidR="006600A8" w:rsidRPr="00D81030">
        <w:rPr>
          <w:rFonts w:ascii="Bookman Old Style" w:eastAsia="Bookman Old Style" w:hAnsi="Bookman Old Style" w:cs="Bookman Old Style"/>
          <w:b/>
          <w:bCs/>
          <w:sz w:val="24"/>
          <w:szCs w:val="24"/>
        </w:rPr>
        <w:t xml:space="preserve">el mecanismo de subasta </w:t>
      </w:r>
      <w:r w:rsidR="00B04003" w:rsidRPr="00D81030">
        <w:rPr>
          <w:rFonts w:ascii="Bookman Old Style" w:eastAsia="Bookman Old Style" w:hAnsi="Bookman Old Style" w:cs="Bookman Old Style"/>
          <w:b/>
          <w:bCs/>
          <w:sz w:val="24"/>
          <w:szCs w:val="24"/>
        </w:rPr>
        <w:t>reglamentada</w:t>
      </w:r>
      <w:r w:rsidR="004A1BB1" w:rsidRPr="00D81030">
        <w:rPr>
          <w:rFonts w:ascii="Bookman Old Style" w:eastAsia="Bookman Old Style" w:hAnsi="Bookman Old Style" w:cs="Bookman Old Style"/>
          <w:b/>
          <w:bCs/>
          <w:sz w:val="24"/>
          <w:szCs w:val="24"/>
        </w:rPr>
        <w:t xml:space="preserve"> en el Anexo 7 de la presente resolución </w:t>
      </w:r>
      <w:r w:rsidRPr="00D81030">
        <w:rPr>
          <w:rFonts w:ascii="Bookman Old Style" w:eastAsia="Bookman Old Style" w:hAnsi="Bookman Old Style" w:cs="Bookman Old Style"/>
          <w:b/>
          <w:bCs/>
          <w:sz w:val="24"/>
          <w:szCs w:val="24"/>
        </w:rPr>
        <w:t xml:space="preserve">como parte de los mecanismos de comercialización establecidos en el </w:t>
      </w:r>
      <w:r w:rsidR="001706CE">
        <w:rPr>
          <w:rFonts w:ascii="Bookman Old Style" w:eastAsia="Bookman Old Style" w:hAnsi="Bookman Old Style" w:cs="Bookman Old Style"/>
          <w:b/>
          <w:bCs/>
          <w:sz w:val="24"/>
          <w:szCs w:val="24"/>
        </w:rPr>
        <w:t>a</w:t>
      </w:r>
      <w:r w:rsidR="00457D42" w:rsidRPr="00D81030">
        <w:rPr>
          <w:rFonts w:ascii="Bookman Old Style" w:eastAsia="Bookman Old Style" w:hAnsi="Bookman Old Style" w:cs="Bookman Old Style"/>
          <w:b/>
          <w:bCs/>
          <w:sz w:val="24"/>
          <w:szCs w:val="24"/>
        </w:rPr>
        <w:t xml:space="preserve">rtículo 22 </w:t>
      </w:r>
      <w:r w:rsidRPr="00D81030">
        <w:rPr>
          <w:rFonts w:ascii="Bookman Old Style" w:eastAsia="Bookman Old Style" w:hAnsi="Bookman Old Style" w:cs="Bookman Old Style"/>
          <w:b/>
          <w:bCs/>
          <w:sz w:val="24"/>
          <w:szCs w:val="24"/>
        </w:rPr>
        <w:t xml:space="preserve">de </w:t>
      </w:r>
      <w:r w:rsidR="00962EE6" w:rsidRPr="00D81030">
        <w:rPr>
          <w:rFonts w:ascii="Bookman Old Style" w:eastAsia="Bookman Old Style" w:hAnsi="Bookman Old Style" w:cs="Bookman Old Style"/>
          <w:b/>
          <w:bCs/>
          <w:sz w:val="24"/>
          <w:szCs w:val="24"/>
        </w:rPr>
        <w:t>esta</w:t>
      </w:r>
      <w:r w:rsidRPr="00D81030">
        <w:rPr>
          <w:rFonts w:ascii="Bookman Old Style" w:eastAsia="Bookman Old Style" w:hAnsi="Bookman Old Style" w:cs="Bookman Old Style"/>
          <w:b/>
          <w:bCs/>
          <w:sz w:val="24"/>
          <w:szCs w:val="24"/>
        </w:rPr>
        <w:t xml:space="preserve"> Resolución</w:t>
      </w:r>
      <w:r w:rsidR="00D7665D" w:rsidRPr="00D81030">
        <w:rPr>
          <w:rFonts w:ascii="Bookman Old Style" w:eastAsia="Bookman Old Style" w:hAnsi="Bookman Old Style" w:cs="Bookman Old Style"/>
          <w:b/>
          <w:bCs/>
          <w:sz w:val="24"/>
          <w:szCs w:val="24"/>
        </w:rPr>
        <w:t xml:space="preserve">, o en caso de utilizarse mecanismos de concurrencia de interesados </w:t>
      </w:r>
      <w:r w:rsidR="00323EDA" w:rsidRPr="00D81030">
        <w:rPr>
          <w:rFonts w:ascii="Bookman Old Style" w:eastAsia="Bookman Old Style" w:hAnsi="Bookman Old Style" w:cs="Bookman Old Style"/>
          <w:b/>
          <w:bCs/>
          <w:sz w:val="24"/>
          <w:szCs w:val="24"/>
        </w:rPr>
        <w:t>para</w:t>
      </w:r>
      <w:r w:rsidR="00D7665D" w:rsidRPr="00D81030">
        <w:rPr>
          <w:rFonts w:ascii="Bookman Old Style" w:eastAsia="Bookman Old Style" w:hAnsi="Bookman Old Style" w:cs="Bookman Old Style"/>
          <w:b/>
          <w:bCs/>
          <w:sz w:val="24"/>
          <w:szCs w:val="24"/>
        </w:rPr>
        <w:t xml:space="preserve"> las fuentes de suministro </w:t>
      </w:r>
      <w:r w:rsidR="00927C27" w:rsidRPr="00D81030">
        <w:rPr>
          <w:rFonts w:ascii="Bookman Old Style" w:eastAsia="Bookman Old Style" w:hAnsi="Bookman Old Style" w:cs="Bookman Old Style"/>
          <w:b/>
          <w:bCs/>
          <w:sz w:val="24"/>
          <w:szCs w:val="24"/>
        </w:rPr>
        <w:t>que pueden aplicar negociaciones directas</w:t>
      </w:r>
      <w:r w:rsidR="00B04003" w:rsidRPr="00D81030">
        <w:rPr>
          <w:rFonts w:ascii="Bookman Old Style" w:eastAsia="Bookman Old Style" w:hAnsi="Bookman Old Style" w:cs="Bookman Old Style"/>
          <w:b/>
          <w:bCs/>
          <w:sz w:val="24"/>
          <w:szCs w:val="24"/>
        </w:rPr>
        <w:t>.</w:t>
      </w:r>
    </w:p>
    <w:p w14:paraId="61494986" w14:textId="77777777" w:rsidR="0006302B" w:rsidRPr="00D81030" w:rsidRDefault="0006302B" w:rsidP="00571EDB">
      <w:pPr>
        <w:ind w:left="851" w:hanging="851"/>
        <w:jc w:val="both"/>
        <w:outlineLvl w:val="0"/>
        <w:rPr>
          <w:rFonts w:ascii="Bookman Old Style" w:eastAsia="Bookman Old Style" w:hAnsi="Bookman Old Style" w:cs="Bookman Old Style"/>
          <w:b/>
          <w:bCs/>
        </w:rPr>
      </w:pPr>
    </w:p>
    <w:p w14:paraId="45BE3BF8" w14:textId="23657983" w:rsidR="00383A2D" w:rsidRPr="00D81030" w:rsidRDefault="0006302B" w:rsidP="00F260ED">
      <w:pPr>
        <w:pStyle w:val="Prrafodelista"/>
        <w:numPr>
          <w:ilvl w:val="2"/>
          <w:numId w:val="85"/>
        </w:numPr>
        <w:ind w:left="851"/>
        <w:jc w:val="both"/>
        <w:outlineLvl w:val="0"/>
        <w:rPr>
          <w:rFonts w:ascii="Bookman Old Style" w:hAnsi="Bookman Old Style"/>
          <w:b/>
          <w:bCs/>
          <w:sz w:val="24"/>
          <w:szCs w:val="24"/>
        </w:rPr>
      </w:pPr>
      <w:r w:rsidRPr="00D81030">
        <w:rPr>
          <w:rFonts w:ascii="Bookman Old Style" w:hAnsi="Bookman Old Style"/>
          <w:b/>
          <w:bCs/>
          <w:sz w:val="24"/>
          <w:szCs w:val="24"/>
        </w:rPr>
        <w:t>Para la declaración de PTDVF y/o CIDVF los Vendedores de que trata el</w:t>
      </w:r>
      <w:r w:rsidR="00571EDB" w:rsidRPr="00D81030">
        <w:rPr>
          <w:rFonts w:ascii="Bookman Old Style" w:hAnsi="Bookman Old Style"/>
          <w:b/>
          <w:bCs/>
          <w:sz w:val="24"/>
          <w:szCs w:val="24"/>
        </w:rPr>
        <w:t xml:space="preserve"> </w:t>
      </w:r>
      <w:r w:rsidR="001706CE">
        <w:rPr>
          <w:rFonts w:ascii="Bookman Old Style" w:hAnsi="Bookman Old Style"/>
          <w:b/>
          <w:bCs/>
          <w:sz w:val="24"/>
          <w:szCs w:val="24"/>
        </w:rPr>
        <w:t>a</w:t>
      </w:r>
      <w:r w:rsidRPr="00D81030">
        <w:rPr>
          <w:rFonts w:ascii="Bookman Old Style" w:hAnsi="Bookman Old Style"/>
          <w:b/>
          <w:bCs/>
          <w:sz w:val="24"/>
          <w:szCs w:val="24"/>
        </w:rPr>
        <w:t xml:space="preserve">rtículo 16 de la presente Resolución deberán tener en cuenta los </w:t>
      </w:r>
      <w:r w:rsidR="00667328" w:rsidRPr="00D81030">
        <w:rPr>
          <w:rFonts w:ascii="Bookman Old Style" w:hAnsi="Bookman Old Style"/>
          <w:b/>
          <w:bCs/>
          <w:sz w:val="24"/>
          <w:szCs w:val="24"/>
        </w:rPr>
        <w:t xml:space="preserve">compromisos adquiridos con cantidades en firme de los </w:t>
      </w:r>
      <w:r w:rsidRPr="00D81030">
        <w:rPr>
          <w:rFonts w:ascii="Bookman Old Style" w:hAnsi="Bookman Old Style"/>
          <w:b/>
          <w:bCs/>
          <w:sz w:val="24"/>
          <w:szCs w:val="24"/>
        </w:rPr>
        <w:t xml:space="preserve">contratos vigentes registrados </w:t>
      </w:r>
      <w:r w:rsidR="00962EE6" w:rsidRPr="00D81030">
        <w:rPr>
          <w:rFonts w:ascii="Bookman Old Style" w:hAnsi="Bookman Old Style"/>
          <w:b/>
          <w:bCs/>
          <w:sz w:val="24"/>
          <w:szCs w:val="24"/>
        </w:rPr>
        <w:t xml:space="preserve">previamente </w:t>
      </w:r>
      <w:r w:rsidRPr="00D81030">
        <w:rPr>
          <w:rFonts w:ascii="Bookman Old Style" w:hAnsi="Bookman Old Style"/>
          <w:b/>
          <w:bCs/>
          <w:sz w:val="24"/>
          <w:szCs w:val="24"/>
        </w:rPr>
        <w:t xml:space="preserve">ante el </w:t>
      </w:r>
      <w:r w:rsidR="0022131A" w:rsidRPr="00D81030">
        <w:rPr>
          <w:rFonts w:ascii="Bookman Old Style" w:hAnsi="Bookman Old Style"/>
          <w:b/>
          <w:sz w:val="24"/>
          <w:szCs w:val="24"/>
        </w:rPr>
        <w:t>Gestor</w:t>
      </w:r>
      <w:r w:rsidRPr="00D81030">
        <w:rPr>
          <w:rFonts w:ascii="Bookman Old Style" w:hAnsi="Bookman Old Style"/>
          <w:b/>
          <w:sz w:val="24"/>
          <w:szCs w:val="24"/>
        </w:rPr>
        <w:t xml:space="preserve"> del Mercado. Para obtener la PTDVF y/o CIDVF no se podrán </w:t>
      </w:r>
      <w:r w:rsidR="00962EE6" w:rsidRPr="00D81030">
        <w:rPr>
          <w:rFonts w:ascii="Bookman Old Style" w:hAnsi="Bookman Old Style"/>
          <w:b/>
          <w:sz w:val="24"/>
          <w:szCs w:val="24"/>
        </w:rPr>
        <w:t>d</w:t>
      </w:r>
      <w:r w:rsidR="00254942">
        <w:rPr>
          <w:rFonts w:ascii="Bookman Old Style" w:hAnsi="Bookman Old Style"/>
          <w:b/>
          <w:sz w:val="24"/>
          <w:szCs w:val="24"/>
        </w:rPr>
        <w:t>e</w:t>
      </w:r>
      <w:r w:rsidR="00962EE6" w:rsidRPr="00D81030">
        <w:rPr>
          <w:rFonts w:ascii="Bookman Old Style" w:hAnsi="Bookman Old Style"/>
          <w:b/>
          <w:sz w:val="24"/>
          <w:szCs w:val="24"/>
        </w:rPr>
        <w:t>scontar</w:t>
      </w:r>
      <w:r w:rsidRPr="00D81030">
        <w:rPr>
          <w:rFonts w:ascii="Bookman Old Style" w:hAnsi="Bookman Old Style"/>
          <w:b/>
          <w:sz w:val="24"/>
          <w:szCs w:val="24"/>
        </w:rPr>
        <w:t xml:space="preserve"> las cantidades pactadas en contratos de suministro con garantía de firmeza que no hayan sido registrados ante el </w:t>
      </w:r>
      <w:r w:rsidR="0022131A" w:rsidRPr="00D81030">
        <w:rPr>
          <w:rFonts w:ascii="Bookman Old Style" w:hAnsi="Bookman Old Style"/>
          <w:b/>
          <w:sz w:val="24"/>
          <w:szCs w:val="24"/>
        </w:rPr>
        <w:t>Gestor</w:t>
      </w:r>
      <w:r w:rsidRPr="00D81030">
        <w:rPr>
          <w:rFonts w:ascii="Bookman Old Style" w:hAnsi="Bookman Old Style"/>
          <w:b/>
          <w:bCs/>
          <w:sz w:val="24"/>
          <w:szCs w:val="24"/>
        </w:rPr>
        <w:t xml:space="preserve"> del Mercado previamente a la declaración. </w:t>
      </w:r>
    </w:p>
    <w:p w14:paraId="2E0F62C0" w14:textId="77777777" w:rsidR="00383A2D" w:rsidRPr="00D81030" w:rsidRDefault="00383A2D" w:rsidP="006461EF">
      <w:pPr>
        <w:pStyle w:val="Prrafodelista"/>
        <w:rPr>
          <w:rFonts w:ascii="Bookman Old Style" w:hAnsi="Bookman Old Style"/>
          <w:b/>
          <w:bCs/>
          <w:sz w:val="24"/>
          <w:szCs w:val="24"/>
        </w:rPr>
      </w:pPr>
    </w:p>
    <w:p w14:paraId="53968DE5" w14:textId="06F3529C" w:rsidR="0006302B" w:rsidRPr="00D81030" w:rsidRDefault="00383A2D" w:rsidP="006461EF">
      <w:pPr>
        <w:pStyle w:val="Prrafodelista"/>
        <w:ind w:left="851"/>
        <w:jc w:val="both"/>
        <w:outlineLvl w:val="0"/>
        <w:rPr>
          <w:rFonts w:ascii="Bookman Old Style" w:hAnsi="Bookman Old Style"/>
          <w:b/>
          <w:bCs/>
          <w:sz w:val="24"/>
          <w:szCs w:val="24"/>
        </w:rPr>
      </w:pPr>
      <w:r w:rsidRPr="00D81030">
        <w:rPr>
          <w:rFonts w:ascii="Bookman Old Style" w:hAnsi="Bookman Old Style"/>
          <w:b/>
          <w:bCs/>
          <w:sz w:val="24"/>
          <w:szCs w:val="24"/>
        </w:rPr>
        <w:t xml:space="preserve">La condición anterior también se aplica a los contratos registrados en aplicación de lo estipulado en el Parágrafo del </w:t>
      </w:r>
      <w:r w:rsidR="00F46C89">
        <w:rPr>
          <w:rFonts w:ascii="Bookman Old Style" w:hAnsi="Bookman Old Style"/>
          <w:b/>
          <w:bCs/>
          <w:sz w:val="24"/>
          <w:szCs w:val="24"/>
        </w:rPr>
        <w:t>a</w:t>
      </w:r>
      <w:r w:rsidRPr="00D81030">
        <w:rPr>
          <w:rFonts w:ascii="Bookman Old Style" w:hAnsi="Bookman Old Style"/>
          <w:b/>
          <w:bCs/>
          <w:sz w:val="24"/>
          <w:szCs w:val="24"/>
        </w:rPr>
        <w:t>rtículo 20 de la presente resolución, en los que se tiene por objeto el servicio de suministro de una cantidad máxima de gas natural sin interrupciones, durante un período determinado, excepto en los días establecidos para mantenimiento y labores programadas</w:t>
      </w:r>
    </w:p>
    <w:p w14:paraId="51CE5977" w14:textId="77777777" w:rsidR="0006302B" w:rsidRPr="00D81030" w:rsidRDefault="0006302B" w:rsidP="00571EDB">
      <w:pPr>
        <w:ind w:left="426"/>
        <w:jc w:val="both"/>
        <w:outlineLvl w:val="0"/>
        <w:rPr>
          <w:rFonts w:ascii="Bookman Old Style" w:hAnsi="Bookman Old Style"/>
          <w:b/>
          <w:bCs/>
        </w:rPr>
      </w:pPr>
    </w:p>
    <w:p w14:paraId="744B0ACF" w14:textId="09E5359F" w:rsidR="0006302B" w:rsidRPr="00D81030" w:rsidRDefault="0006302B" w:rsidP="00F260ED">
      <w:pPr>
        <w:ind w:left="851"/>
        <w:jc w:val="both"/>
        <w:outlineLvl w:val="0"/>
        <w:rPr>
          <w:rFonts w:ascii="Bookman Old Style" w:hAnsi="Bookman Old Style"/>
          <w:b/>
          <w:bCs/>
        </w:rPr>
      </w:pPr>
      <w:r w:rsidRPr="00D81030">
        <w:rPr>
          <w:rFonts w:ascii="Bookman Old Style" w:hAnsi="Bookman Old Style"/>
          <w:b/>
          <w:bCs/>
        </w:rPr>
        <w:t>La no declaración de esta información al</w:t>
      </w:r>
      <w:r w:rsidRPr="00D81030">
        <w:rPr>
          <w:rFonts w:ascii="Bookman Old Style" w:hAnsi="Bookman Old Style"/>
          <w:b/>
        </w:rPr>
        <w:t xml:space="preserve"> </w:t>
      </w:r>
      <w:r w:rsidR="0022131A" w:rsidRPr="00D81030">
        <w:rPr>
          <w:rFonts w:ascii="Bookman Old Style" w:hAnsi="Bookman Old Style"/>
          <w:b/>
        </w:rPr>
        <w:t>Gestor</w:t>
      </w:r>
      <w:r w:rsidRPr="00D81030">
        <w:rPr>
          <w:rFonts w:ascii="Bookman Old Style" w:hAnsi="Bookman Old Style"/>
          <w:b/>
          <w:bCs/>
        </w:rPr>
        <w:t xml:space="preserve"> del Mercado dentro del plazo señalado deberá ser informado por éste a la Superintendencia de Servicios Públicos Domiciliarios y a la Superintendencia de Industria y Comercio. Dicho incumplimiento podrá ser considerado por la autoridad competente como </w:t>
      </w:r>
      <w:r w:rsidR="008851DB" w:rsidRPr="00D81030">
        <w:rPr>
          <w:rFonts w:ascii="Bookman Old Style" w:hAnsi="Bookman Old Style"/>
          <w:b/>
          <w:bCs/>
        </w:rPr>
        <w:t xml:space="preserve">un </w:t>
      </w:r>
      <w:r w:rsidR="008851DB" w:rsidRPr="00D81030">
        <w:rPr>
          <w:rFonts w:ascii="Bookman Old Style" w:hAnsi="Bookman Old Style"/>
          <w:b/>
          <w:bCs/>
        </w:rPr>
        <w:lastRenderedPageBreak/>
        <w:t xml:space="preserve">incumplimiento a la regulación y/o como </w:t>
      </w:r>
      <w:r w:rsidRPr="00D81030">
        <w:rPr>
          <w:rFonts w:ascii="Bookman Old Style" w:hAnsi="Bookman Old Style"/>
          <w:b/>
          <w:bCs/>
        </w:rPr>
        <w:t xml:space="preserve">una práctica contraria a la libre competencia. </w:t>
      </w:r>
    </w:p>
    <w:p w14:paraId="7DEAAC91" w14:textId="77777777" w:rsidR="0006302B" w:rsidRPr="00D81030" w:rsidRDefault="0006302B" w:rsidP="00571EDB">
      <w:pPr>
        <w:ind w:left="426"/>
        <w:jc w:val="both"/>
        <w:outlineLvl w:val="0"/>
        <w:rPr>
          <w:rFonts w:ascii="Bookman Old Style" w:hAnsi="Bookman Old Style"/>
          <w:b/>
          <w:bCs/>
        </w:rPr>
      </w:pPr>
    </w:p>
    <w:p w14:paraId="2EEB432B" w14:textId="3FB4F11B" w:rsidR="0006302B" w:rsidRPr="00D81030" w:rsidRDefault="0006302B" w:rsidP="00F260ED">
      <w:pPr>
        <w:pStyle w:val="Prrafodelista"/>
        <w:numPr>
          <w:ilvl w:val="2"/>
          <w:numId w:val="85"/>
        </w:numPr>
        <w:ind w:left="851"/>
        <w:jc w:val="both"/>
        <w:outlineLvl w:val="0"/>
        <w:rPr>
          <w:rFonts w:ascii="Bookman Old Style" w:hAnsi="Bookman Old Style"/>
          <w:b/>
          <w:bCs/>
          <w:sz w:val="24"/>
          <w:szCs w:val="24"/>
        </w:rPr>
      </w:pPr>
      <w:r w:rsidRPr="00D81030">
        <w:rPr>
          <w:rFonts w:ascii="Bookman Old Style" w:hAnsi="Bookman Old Style"/>
          <w:b/>
          <w:bCs/>
          <w:sz w:val="24"/>
          <w:szCs w:val="24"/>
        </w:rPr>
        <w:t xml:space="preserve">Los Vendedores señalados en el </w:t>
      </w:r>
      <w:r w:rsidR="00F46C89">
        <w:rPr>
          <w:rFonts w:ascii="Bookman Old Style" w:hAnsi="Bookman Old Style"/>
          <w:b/>
          <w:bCs/>
          <w:sz w:val="24"/>
          <w:szCs w:val="24"/>
        </w:rPr>
        <w:t>a</w:t>
      </w:r>
      <w:r w:rsidRPr="00D81030">
        <w:rPr>
          <w:rFonts w:ascii="Bookman Old Style" w:hAnsi="Bookman Old Style"/>
          <w:b/>
          <w:bCs/>
          <w:sz w:val="24"/>
          <w:szCs w:val="24"/>
        </w:rPr>
        <w:t>rtículo 16 de la presente Resolución, que no presenten las declaraciones de PTDV, PTDVF</w:t>
      </w:r>
      <w:r w:rsidR="00962EE6" w:rsidRPr="00D81030">
        <w:rPr>
          <w:rFonts w:ascii="Bookman Old Style" w:hAnsi="Bookman Old Style"/>
          <w:b/>
          <w:bCs/>
          <w:sz w:val="24"/>
          <w:szCs w:val="24"/>
        </w:rPr>
        <w:t xml:space="preserve">, </w:t>
      </w:r>
      <w:r w:rsidRPr="00D81030">
        <w:rPr>
          <w:rFonts w:ascii="Bookman Old Style" w:hAnsi="Bookman Old Style"/>
          <w:b/>
          <w:bCs/>
          <w:sz w:val="24"/>
          <w:szCs w:val="24"/>
        </w:rPr>
        <w:t>CIDV y CIDVF</w:t>
      </w:r>
      <w:r w:rsidR="00962EE6" w:rsidRPr="00D81030">
        <w:rPr>
          <w:rFonts w:ascii="Bookman Old Style" w:hAnsi="Bookman Old Style"/>
          <w:b/>
          <w:bCs/>
          <w:sz w:val="24"/>
          <w:szCs w:val="24"/>
        </w:rPr>
        <w:t xml:space="preserve"> para una o varias fuentes de suministro</w:t>
      </w:r>
      <w:r w:rsidRPr="00D81030">
        <w:rPr>
          <w:rFonts w:ascii="Bookman Old Style" w:hAnsi="Bookman Old Style"/>
          <w:b/>
          <w:bCs/>
          <w:sz w:val="24"/>
          <w:szCs w:val="24"/>
        </w:rPr>
        <w:t>, no podrán registrar contratos de suministro de gas con destino a la atención de servicio público de gas combustible</w:t>
      </w:r>
      <w:r w:rsidR="001C73E5" w:rsidRPr="00D81030">
        <w:rPr>
          <w:rFonts w:ascii="Bookman Old Style" w:hAnsi="Bookman Old Style"/>
          <w:b/>
          <w:bCs/>
          <w:sz w:val="24"/>
          <w:szCs w:val="24"/>
        </w:rPr>
        <w:t xml:space="preserve"> durante ese trimestre estándar de negociación</w:t>
      </w:r>
      <w:r w:rsidR="00962EE6" w:rsidRPr="00D81030">
        <w:rPr>
          <w:rFonts w:ascii="Bookman Old Style" w:hAnsi="Bookman Old Style"/>
          <w:b/>
          <w:bCs/>
          <w:sz w:val="24"/>
          <w:szCs w:val="24"/>
        </w:rPr>
        <w:t xml:space="preserve"> para tales fuentes de suministro</w:t>
      </w:r>
      <w:r w:rsidRPr="00D81030">
        <w:rPr>
          <w:rFonts w:ascii="Bookman Old Style" w:hAnsi="Bookman Old Style"/>
          <w:b/>
          <w:bCs/>
          <w:sz w:val="24"/>
          <w:szCs w:val="24"/>
        </w:rPr>
        <w:t xml:space="preserve">. </w:t>
      </w:r>
    </w:p>
    <w:p w14:paraId="579FEF8E" w14:textId="77777777" w:rsidR="00C04F22" w:rsidRPr="00D81030" w:rsidRDefault="00C04F22" w:rsidP="00C04F22">
      <w:pPr>
        <w:jc w:val="both"/>
        <w:rPr>
          <w:rFonts w:ascii="Bookman Old Style" w:hAnsi="Bookman Old Style"/>
          <w:b/>
          <w:bCs/>
          <w:lang w:val="es-CO" w:eastAsia="x-none"/>
        </w:rPr>
      </w:pPr>
    </w:p>
    <w:p w14:paraId="157E388D" w14:textId="44F2C6CE" w:rsidR="00C04F22" w:rsidRPr="00D81030" w:rsidRDefault="00C04F22" w:rsidP="00C04F22">
      <w:pPr>
        <w:pStyle w:val="Prrafodelista"/>
        <w:numPr>
          <w:ilvl w:val="3"/>
          <w:numId w:val="85"/>
        </w:numPr>
        <w:ind w:left="851" w:hanging="425"/>
        <w:jc w:val="both"/>
        <w:rPr>
          <w:rFonts w:ascii="Bookman Old Style" w:hAnsi="Bookman Old Style"/>
          <w:b/>
          <w:bCs/>
          <w:sz w:val="24"/>
          <w:szCs w:val="24"/>
        </w:rPr>
      </w:pPr>
      <w:r w:rsidRPr="00D81030">
        <w:rPr>
          <w:rFonts w:ascii="Bookman Old Style" w:hAnsi="Bookman Old Style"/>
          <w:b/>
          <w:bCs/>
          <w:sz w:val="24"/>
          <w:szCs w:val="24"/>
        </w:rPr>
        <w:t xml:space="preserve">Los contratos de suministro </w:t>
      </w:r>
      <w:r w:rsidR="00F62383" w:rsidRPr="00D81030">
        <w:rPr>
          <w:rFonts w:ascii="Bookman Old Style" w:hAnsi="Bookman Old Style"/>
          <w:b/>
          <w:bCs/>
          <w:sz w:val="24"/>
          <w:szCs w:val="24"/>
        </w:rPr>
        <w:t xml:space="preserve">que se hayan suscrito </w:t>
      </w:r>
      <w:r w:rsidR="00C82FC1" w:rsidRPr="00D81030">
        <w:rPr>
          <w:rFonts w:ascii="Bookman Old Style" w:hAnsi="Bookman Old Style"/>
          <w:b/>
          <w:bCs/>
          <w:sz w:val="24"/>
          <w:szCs w:val="24"/>
        </w:rPr>
        <w:t>tomando como fuentes de suministro</w:t>
      </w:r>
      <w:r w:rsidRPr="00D81030">
        <w:rPr>
          <w:rFonts w:ascii="Bookman Old Style" w:hAnsi="Bookman Old Style"/>
          <w:b/>
          <w:bCs/>
          <w:sz w:val="24"/>
          <w:szCs w:val="24"/>
        </w:rPr>
        <w:t xml:space="preserve"> campos </w:t>
      </w:r>
      <w:r w:rsidR="00962EE6" w:rsidRPr="00D81030">
        <w:rPr>
          <w:rFonts w:ascii="Bookman Old Style" w:hAnsi="Bookman Old Style"/>
          <w:b/>
          <w:bCs/>
          <w:sz w:val="24"/>
          <w:szCs w:val="24"/>
        </w:rPr>
        <w:t xml:space="preserve">de producción </w:t>
      </w:r>
      <w:r w:rsidR="00C82FC1" w:rsidRPr="00D81030">
        <w:rPr>
          <w:rFonts w:ascii="Bookman Old Style" w:hAnsi="Bookman Old Style"/>
          <w:b/>
          <w:bCs/>
          <w:sz w:val="24"/>
          <w:szCs w:val="24"/>
        </w:rPr>
        <w:t>que no han realizado</w:t>
      </w:r>
      <w:r w:rsidR="00492B7E" w:rsidRPr="00D81030">
        <w:rPr>
          <w:rFonts w:ascii="Bookman Old Style" w:hAnsi="Bookman Old Style"/>
          <w:b/>
          <w:bCs/>
          <w:sz w:val="24"/>
          <w:szCs w:val="24"/>
        </w:rPr>
        <w:t xml:space="preserve"> la declaración de comercialidad</w:t>
      </w:r>
      <w:r w:rsidRPr="00D81030">
        <w:rPr>
          <w:rFonts w:ascii="Bookman Old Style" w:hAnsi="Bookman Old Style"/>
          <w:b/>
          <w:bCs/>
          <w:sz w:val="24"/>
          <w:szCs w:val="24"/>
        </w:rPr>
        <w:t xml:space="preserve"> ante la ANH, podrán ser registrados posteriormente ante el Gestor del Mercado</w:t>
      </w:r>
      <w:r w:rsidR="00C82FC1" w:rsidRPr="00D81030">
        <w:rPr>
          <w:rFonts w:ascii="Bookman Old Style" w:hAnsi="Bookman Old Style"/>
          <w:b/>
          <w:bCs/>
          <w:sz w:val="24"/>
          <w:szCs w:val="24"/>
        </w:rPr>
        <w:t>, una vez declaren la comercialidad,</w:t>
      </w:r>
      <w:r w:rsidRPr="00D81030">
        <w:rPr>
          <w:rFonts w:ascii="Bookman Old Style" w:hAnsi="Bookman Old Style"/>
          <w:b/>
          <w:bCs/>
          <w:sz w:val="24"/>
          <w:szCs w:val="24"/>
        </w:rPr>
        <w:t xml:space="preserve"> bajo </w:t>
      </w:r>
      <w:r w:rsidR="00962EE6" w:rsidRPr="00D81030">
        <w:rPr>
          <w:rFonts w:ascii="Bookman Old Style" w:hAnsi="Bookman Old Style"/>
          <w:b/>
          <w:bCs/>
          <w:sz w:val="24"/>
          <w:szCs w:val="24"/>
        </w:rPr>
        <w:t xml:space="preserve">cualesquiera </w:t>
      </w:r>
      <w:r w:rsidRPr="00D81030">
        <w:rPr>
          <w:rFonts w:ascii="Bookman Old Style" w:hAnsi="Bookman Old Style"/>
          <w:b/>
          <w:bCs/>
          <w:sz w:val="24"/>
          <w:szCs w:val="24"/>
        </w:rPr>
        <w:t>de las modalidades CREG de tipo firme</w:t>
      </w:r>
      <w:r w:rsidR="009A02CF" w:rsidRPr="00D81030">
        <w:rPr>
          <w:rFonts w:ascii="Bookman Old Style" w:hAnsi="Bookman Old Style"/>
          <w:b/>
          <w:bCs/>
          <w:sz w:val="24"/>
          <w:szCs w:val="24"/>
        </w:rPr>
        <w:t xml:space="preserve"> o con garant</w:t>
      </w:r>
      <w:r w:rsidR="00383385" w:rsidRPr="00D81030">
        <w:rPr>
          <w:rFonts w:ascii="Bookman Old Style" w:hAnsi="Bookman Old Style"/>
          <w:b/>
          <w:bCs/>
          <w:sz w:val="24"/>
          <w:szCs w:val="24"/>
        </w:rPr>
        <w:t>ía</w:t>
      </w:r>
      <w:r w:rsidR="009A02CF" w:rsidRPr="00D81030">
        <w:rPr>
          <w:rFonts w:ascii="Bookman Old Style" w:hAnsi="Bookman Old Style"/>
          <w:b/>
          <w:bCs/>
          <w:sz w:val="24"/>
          <w:szCs w:val="24"/>
        </w:rPr>
        <w:t xml:space="preserve"> de firmeza</w:t>
      </w:r>
      <w:r w:rsidRPr="00D81030">
        <w:rPr>
          <w:rFonts w:ascii="Bookman Old Style" w:hAnsi="Bookman Old Style"/>
          <w:b/>
          <w:bCs/>
          <w:sz w:val="24"/>
          <w:szCs w:val="24"/>
        </w:rPr>
        <w:t xml:space="preserve">, sin necesidad de que el vendedor declare la información </w:t>
      </w:r>
      <w:r w:rsidR="00383385" w:rsidRPr="00D81030">
        <w:rPr>
          <w:rFonts w:ascii="Bookman Old Style" w:hAnsi="Bookman Old Style"/>
          <w:b/>
          <w:bCs/>
          <w:sz w:val="24"/>
          <w:szCs w:val="24"/>
        </w:rPr>
        <w:t xml:space="preserve">requerida en </w:t>
      </w:r>
      <w:r w:rsidR="00AF3F0F" w:rsidRPr="00D81030">
        <w:rPr>
          <w:rFonts w:ascii="Bookman Old Style" w:hAnsi="Bookman Old Style"/>
          <w:b/>
          <w:bCs/>
          <w:sz w:val="24"/>
          <w:szCs w:val="24"/>
        </w:rPr>
        <w:t>los</w:t>
      </w:r>
      <w:r w:rsidR="00383385" w:rsidRPr="00D81030">
        <w:rPr>
          <w:rFonts w:ascii="Bookman Old Style" w:hAnsi="Bookman Old Style"/>
          <w:b/>
          <w:bCs/>
          <w:sz w:val="24"/>
          <w:szCs w:val="24"/>
        </w:rPr>
        <w:t xml:space="preserve"> numeral</w:t>
      </w:r>
      <w:r w:rsidR="00AF3F0F" w:rsidRPr="00D81030">
        <w:rPr>
          <w:rFonts w:ascii="Bookman Old Style" w:hAnsi="Bookman Old Style"/>
          <w:b/>
          <w:bCs/>
          <w:sz w:val="24"/>
          <w:szCs w:val="24"/>
        </w:rPr>
        <w:t>es</w:t>
      </w:r>
      <w:r w:rsidR="00383385" w:rsidRPr="00D81030">
        <w:rPr>
          <w:rFonts w:ascii="Bookman Old Style" w:hAnsi="Bookman Old Style"/>
          <w:b/>
          <w:bCs/>
          <w:sz w:val="24"/>
          <w:szCs w:val="24"/>
        </w:rPr>
        <w:t xml:space="preserve"> iii.</w:t>
      </w:r>
      <w:r w:rsidR="00AF3F0F" w:rsidRPr="00D81030">
        <w:rPr>
          <w:rFonts w:ascii="Bookman Old Style" w:hAnsi="Bookman Old Style"/>
          <w:b/>
          <w:bCs/>
          <w:sz w:val="24"/>
          <w:szCs w:val="24"/>
        </w:rPr>
        <w:t xml:space="preserve"> y iv. </w:t>
      </w:r>
      <w:r w:rsidR="00383385" w:rsidRPr="00D81030">
        <w:rPr>
          <w:rFonts w:ascii="Bookman Old Style" w:hAnsi="Bookman Old Style"/>
          <w:b/>
          <w:bCs/>
          <w:sz w:val="24"/>
          <w:szCs w:val="24"/>
        </w:rPr>
        <w:t>del presente literal.</w:t>
      </w:r>
      <w:r w:rsidRPr="00D81030">
        <w:rPr>
          <w:rFonts w:ascii="Bookman Old Style" w:hAnsi="Bookman Old Style"/>
          <w:b/>
          <w:bCs/>
          <w:sz w:val="24"/>
          <w:szCs w:val="24"/>
        </w:rPr>
        <w:t xml:space="preserve">  </w:t>
      </w:r>
    </w:p>
    <w:p w14:paraId="0F95A224" w14:textId="4DF7145C" w:rsidR="00575412" w:rsidRPr="00D81030" w:rsidRDefault="00575412" w:rsidP="00575412">
      <w:pPr>
        <w:ind w:left="426"/>
        <w:jc w:val="both"/>
        <w:outlineLvl w:val="0"/>
        <w:rPr>
          <w:rFonts w:ascii="Bookman Old Style" w:hAnsi="Bookman Old Style"/>
          <w:b/>
          <w:bCs/>
        </w:rPr>
      </w:pPr>
    </w:p>
    <w:p w14:paraId="50047679" w14:textId="7B6FBFD0" w:rsidR="0006302B" w:rsidRPr="000A4B7F" w:rsidRDefault="0006302B" w:rsidP="00571EDB">
      <w:pPr>
        <w:pStyle w:val="Prrafodelista"/>
        <w:numPr>
          <w:ilvl w:val="1"/>
          <w:numId w:val="85"/>
        </w:numPr>
        <w:ind w:left="426" w:hanging="426"/>
        <w:jc w:val="both"/>
        <w:outlineLvl w:val="0"/>
        <w:rPr>
          <w:rFonts w:ascii="Bookman Old Style" w:hAnsi="Bookman Old Style"/>
          <w:b/>
          <w:bCs/>
          <w:iCs/>
          <w:sz w:val="24"/>
          <w:szCs w:val="24"/>
        </w:rPr>
      </w:pPr>
      <w:r w:rsidRPr="00C9474A">
        <w:rPr>
          <w:rFonts w:ascii="Bookman Old Style" w:hAnsi="Bookman Old Style"/>
          <w:b/>
          <w:bCs/>
          <w:iCs/>
          <w:sz w:val="24"/>
          <w:szCs w:val="24"/>
        </w:rPr>
        <w:t xml:space="preserve">El </w:t>
      </w:r>
      <w:r w:rsidR="0022131A" w:rsidRPr="002D5416">
        <w:rPr>
          <w:rFonts w:ascii="Bookman Old Style" w:hAnsi="Bookman Old Style"/>
          <w:b/>
          <w:iCs/>
          <w:sz w:val="24"/>
          <w:szCs w:val="24"/>
          <w:u w:color="FF0000"/>
        </w:rPr>
        <w:t>Gestor</w:t>
      </w:r>
      <w:r w:rsidRPr="00A8104D">
        <w:rPr>
          <w:rFonts w:ascii="Bookman Old Style" w:hAnsi="Bookman Old Style"/>
          <w:b/>
          <w:bCs/>
          <w:iCs/>
          <w:sz w:val="24"/>
          <w:szCs w:val="24"/>
        </w:rPr>
        <w:t xml:space="preserve"> </w:t>
      </w:r>
      <w:r w:rsidRPr="00C9474A">
        <w:rPr>
          <w:rFonts w:ascii="Bookman Old Style" w:hAnsi="Bookman Old Style"/>
          <w:b/>
          <w:bCs/>
          <w:iCs/>
          <w:sz w:val="24"/>
          <w:szCs w:val="24"/>
        </w:rPr>
        <w:t xml:space="preserve">del Mercado deberá publicar, el segundo día hábil del </w:t>
      </w:r>
      <w:r>
        <w:rPr>
          <w:rFonts w:ascii="Bookman Old Style" w:hAnsi="Bookman Old Style"/>
          <w:b/>
          <w:bCs/>
          <w:iCs/>
          <w:sz w:val="24"/>
          <w:szCs w:val="24"/>
        </w:rPr>
        <w:t>Trimestre Estándar</w:t>
      </w:r>
      <w:r w:rsidRPr="00C9474A">
        <w:rPr>
          <w:rFonts w:ascii="Bookman Old Style" w:hAnsi="Bookman Old Style"/>
          <w:b/>
          <w:bCs/>
          <w:iCs/>
          <w:sz w:val="24"/>
          <w:szCs w:val="24"/>
        </w:rPr>
        <w:t xml:space="preserve"> de negociación, la información declarada por los </w:t>
      </w:r>
      <w:r>
        <w:rPr>
          <w:rFonts w:ascii="Bookman Old Style" w:hAnsi="Bookman Old Style"/>
          <w:b/>
          <w:bCs/>
          <w:iCs/>
          <w:sz w:val="24"/>
          <w:szCs w:val="24"/>
        </w:rPr>
        <w:t>V</w:t>
      </w:r>
      <w:r w:rsidRPr="00C9474A">
        <w:rPr>
          <w:rFonts w:ascii="Bookman Old Style" w:hAnsi="Bookman Old Style"/>
          <w:b/>
          <w:bCs/>
          <w:iCs/>
          <w:sz w:val="24"/>
          <w:szCs w:val="24"/>
        </w:rPr>
        <w:t xml:space="preserve">endedores señalados en el </w:t>
      </w:r>
      <w:r w:rsidR="00C3395A">
        <w:rPr>
          <w:rFonts w:ascii="Bookman Old Style" w:hAnsi="Bookman Old Style"/>
          <w:b/>
          <w:bCs/>
          <w:iCs/>
          <w:sz w:val="24"/>
          <w:szCs w:val="24"/>
        </w:rPr>
        <w:t>a</w:t>
      </w:r>
      <w:r w:rsidRPr="00D66B65">
        <w:rPr>
          <w:rFonts w:ascii="Bookman Old Style" w:hAnsi="Bookman Old Style"/>
          <w:b/>
          <w:bCs/>
          <w:iCs/>
          <w:sz w:val="24"/>
          <w:szCs w:val="24"/>
        </w:rPr>
        <w:t>rtículo 16</w:t>
      </w:r>
      <w:r w:rsidRPr="00C9474A">
        <w:rPr>
          <w:rFonts w:ascii="Bookman Old Style" w:hAnsi="Bookman Old Style"/>
          <w:b/>
          <w:bCs/>
          <w:iCs/>
          <w:sz w:val="24"/>
          <w:szCs w:val="24"/>
        </w:rPr>
        <w:t xml:space="preserve"> de la presente Resolución, de</w:t>
      </w:r>
      <w:r w:rsidRPr="000A4B7F">
        <w:rPr>
          <w:rFonts w:ascii="Bookman Old Style" w:hAnsi="Bookman Old Style"/>
          <w:b/>
          <w:bCs/>
          <w:iCs/>
          <w:sz w:val="24"/>
          <w:szCs w:val="24"/>
        </w:rPr>
        <w:t xml:space="preserve"> acuerdo con lo dispuesto en el literal a. del presente numeral, con el siguiente nivel de detalle:</w:t>
      </w:r>
    </w:p>
    <w:p w14:paraId="5641E123" w14:textId="77777777" w:rsidR="0006302B" w:rsidRPr="000A4B7F" w:rsidRDefault="0006302B" w:rsidP="00571EDB">
      <w:pPr>
        <w:ind w:left="851" w:hanging="851"/>
        <w:jc w:val="both"/>
        <w:outlineLvl w:val="0"/>
        <w:rPr>
          <w:rFonts w:ascii="Bookman Old Style" w:hAnsi="Bookman Old Style"/>
          <w:b/>
          <w:bCs/>
          <w:iCs/>
        </w:rPr>
      </w:pPr>
    </w:p>
    <w:p w14:paraId="3866EC1C" w14:textId="30C1B2AA" w:rsidR="0006302B" w:rsidRPr="000A4B7F"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0A4B7F">
        <w:rPr>
          <w:rFonts w:ascii="Bookman Old Style" w:hAnsi="Bookman Old Style"/>
          <w:b/>
          <w:bCs/>
          <w:iCs/>
          <w:sz w:val="24"/>
          <w:szCs w:val="24"/>
        </w:rPr>
        <w:t xml:space="preserve">Nombre del </w:t>
      </w:r>
      <w:r>
        <w:rPr>
          <w:rFonts w:ascii="Bookman Old Style" w:hAnsi="Bookman Old Style"/>
          <w:b/>
          <w:bCs/>
          <w:iCs/>
          <w:sz w:val="24"/>
          <w:szCs w:val="24"/>
        </w:rPr>
        <w:t>Punto de Referencia</w:t>
      </w:r>
      <w:r w:rsidR="00883135">
        <w:rPr>
          <w:rFonts w:ascii="Bookman Old Style" w:hAnsi="Bookman Old Style"/>
          <w:b/>
          <w:bCs/>
          <w:iCs/>
          <w:sz w:val="24"/>
          <w:szCs w:val="24"/>
        </w:rPr>
        <w:t>.</w:t>
      </w:r>
    </w:p>
    <w:p w14:paraId="5F7CB354" w14:textId="11EFF7D5"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0A4B7F">
        <w:rPr>
          <w:rFonts w:ascii="Bookman Old Style" w:hAnsi="Bookman Old Style"/>
          <w:b/>
          <w:bCs/>
          <w:iCs/>
          <w:sz w:val="24"/>
          <w:szCs w:val="24"/>
        </w:rPr>
        <w:t xml:space="preserve">Nombre de la(s) fuente(s) de suministro que conforma(n) cada </w:t>
      </w:r>
      <w:r>
        <w:rPr>
          <w:rFonts w:ascii="Bookman Old Style" w:hAnsi="Bookman Old Style"/>
          <w:b/>
          <w:bCs/>
          <w:iCs/>
          <w:sz w:val="24"/>
          <w:szCs w:val="24"/>
        </w:rPr>
        <w:t>Punto de Referencia</w:t>
      </w:r>
      <w:r w:rsidR="00883135">
        <w:rPr>
          <w:rFonts w:ascii="Bookman Old Style" w:hAnsi="Bookman Old Style"/>
          <w:b/>
          <w:bCs/>
          <w:iCs/>
          <w:sz w:val="24"/>
          <w:szCs w:val="24"/>
        </w:rPr>
        <w:t>.</w:t>
      </w:r>
    </w:p>
    <w:p w14:paraId="4DF89075" w14:textId="2701F7DB"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 xml:space="preserve">Nombre del </w:t>
      </w:r>
      <w:r w:rsidR="006451F3" w:rsidRPr="00D81030">
        <w:rPr>
          <w:rFonts w:ascii="Bookman Old Style" w:hAnsi="Bookman Old Style"/>
          <w:b/>
          <w:bCs/>
          <w:iCs/>
          <w:sz w:val="24"/>
          <w:szCs w:val="24"/>
        </w:rPr>
        <w:t xml:space="preserve">Punto de Entrega, </w:t>
      </w:r>
      <w:r w:rsidRPr="00D81030">
        <w:rPr>
          <w:rFonts w:ascii="Bookman Old Style" w:hAnsi="Bookman Old Style"/>
          <w:b/>
          <w:bCs/>
          <w:iCs/>
          <w:sz w:val="24"/>
          <w:szCs w:val="24"/>
        </w:rPr>
        <w:t xml:space="preserve">identificando si corresponde o no a </w:t>
      </w:r>
      <w:r w:rsidR="000E6131" w:rsidRPr="00D81030">
        <w:rPr>
          <w:rFonts w:ascii="Bookman Old Style" w:hAnsi="Bookman Old Style"/>
          <w:b/>
          <w:bCs/>
          <w:iCs/>
          <w:sz w:val="24"/>
          <w:szCs w:val="24"/>
        </w:rPr>
        <w:t>u</w:t>
      </w:r>
      <w:r w:rsidRPr="00D81030">
        <w:rPr>
          <w:rFonts w:ascii="Bookman Old Style" w:hAnsi="Bookman Old Style"/>
          <w:b/>
          <w:bCs/>
          <w:iCs/>
          <w:sz w:val="24"/>
          <w:szCs w:val="24"/>
        </w:rPr>
        <w:t>n Punto de Importación</w:t>
      </w:r>
      <w:r w:rsidR="000D0930" w:rsidRPr="00D81030">
        <w:rPr>
          <w:rFonts w:ascii="Bookman Old Style" w:hAnsi="Bookman Old Style"/>
          <w:b/>
          <w:bCs/>
          <w:iCs/>
          <w:sz w:val="24"/>
          <w:szCs w:val="24"/>
        </w:rPr>
        <w:t>,</w:t>
      </w:r>
      <w:r w:rsidRPr="00D81030">
        <w:rPr>
          <w:rFonts w:ascii="Bookman Old Style" w:hAnsi="Bookman Old Style"/>
          <w:b/>
          <w:bCs/>
          <w:iCs/>
          <w:sz w:val="24"/>
          <w:szCs w:val="24"/>
        </w:rPr>
        <w:t xml:space="preserve"> un Punto de Entrada al Sistema Nacional de Transporte</w:t>
      </w:r>
      <w:r w:rsidR="000D0930" w:rsidRPr="00D81030">
        <w:rPr>
          <w:rFonts w:ascii="Bookman Old Style" w:hAnsi="Bookman Old Style"/>
          <w:b/>
          <w:bCs/>
          <w:iCs/>
          <w:sz w:val="24"/>
          <w:szCs w:val="24"/>
        </w:rPr>
        <w:t xml:space="preserve"> u otro punto</w:t>
      </w:r>
      <w:r w:rsidRPr="00D81030">
        <w:rPr>
          <w:rFonts w:ascii="Bookman Old Style" w:hAnsi="Bookman Old Style"/>
          <w:b/>
          <w:bCs/>
          <w:iCs/>
          <w:sz w:val="24"/>
          <w:szCs w:val="24"/>
        </w:rPr>
        <w:t>, cuando corresponda</w:t>
      </w:r>
      <w:r w:rsidR="000E6131" w:rsidRPr="00D81030">
        <w:rPr>
          <w:rFonts w:ascii="Bookman Old Style" w:hAnsi="Bookman Old Style"/>
          <w:b/>
          <w:bCs/>
          <w:iCs/>
          <w:sz w:val="24"/>
          <w:szCs w:val="24"/>
        </w:rPr>
        <w:t>,</w:t>
      </w:r>
      <w:r w:rsidRPr="00D81030">
        <w:rPr>
          <w:rFonts w:ascii="Bookman Old Style" w:hAnsi="Bookman Old Style"/>
          <w:b/>
          <w:bCs/>
          <w:iCs/>
          <w:sz w:val="24"/>
          <w:szCs w:val="24"/>
        </w:rPr>
        <w:t xml:space="preserve"> su ubicación geográfica</w:t>
      </w:r>
      <w:r w:rsidR="00883135" w:rsidRPr="00D81030">
        <w:rPr>
          <w:rFonts w:ascii="Bookman Old Style" w:hAnsi="Bookman Old Style"/>
          <w:b/>
          <w:bCs/>
          <w:iCs/>
          <w:sz w:val="24"/>
          <w:szCs w:val="24"/>
        </w:rPr>
        <w:t xml:space="preserve"> y</w:t>
      </w:r>
      <w:r w:rsidRPr="00D81030">
        <w:rPr>
          <w:rFonts w:ascii="Bookman Old Style" w:hAnsi="Bookman Old Style"/>
          <w:b/>
          <w:bCs/>
          <w:iCs/>
          <w:sz w:val="24"/>
          <w:szCs w:val="24"/>
        </w:rPr>
        <w:t xml:space="preserve"> las Fuentes de Suministro vinculadas con dicho</w:t>
      </w:r>
      <w:r w:rsidR="006451F3" w:rsidRPr="00D81030">
        <w:rPr>
          <w:rFonts w:ascii="Bookman Old Style" w:hAnsi="Bookman Old Style"/>
          <w:b/>
          <w:bCs/>
          <w:iCs/>
          <w:sz w:val="24"/>
          <w:szCs w:val="24"/>
        </w:rPr>
        <w:t xml:space="preserve"> Punto de Entrega</w:t>
      </w:r>
      <w:r w:rsidR="00883135" w:rsidRPr="00D81030">
        <w:rPr>
          <w:rFonts w:ascii="Bookman Old Style" w:hAnsi="Bookman Old Style"/>
          <w:b/>
          <w:bCs/>
          <w:iCs/>
          <w:sz w:val="24"/>
          <w:szCs w:val="24"/>
        </w:rPr>
        <w:t>.</w:t>
      </w:r>
    </w:p>
    <w:p w14:paraId="53CAA468" w14:textId="6D3DCBE7"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Forma del suministro: Gas natural, gas natural licuado o gas natural comprimido</w:t>
      </w:r>
      <w:r w:rsidR="00E23D78">
        <w:rPr>
          <w:rFonts w:ascii="Bookman Old Style" w:hAnsi="Bookman Old Style"/>
          <w:b/>
          <w:bCs/>
          <w:iCs/>
          <w:sz w:val="24"/>
          <w:szCs w:val="24"/>
        </w:rPr>
        <w:t xml:space="preserve">, </w:t>
      </w:r>
      <w:r w:rsidR="00883135" w:rsidRPr="00D81030">
        <w:rPr>
          <w:rFonts w:ascii="Bookman Old Style" w:hAnsi="Bookman Old Style"/>
          <w:b/>
          <w:bCs/>
          <w:iCs/>
          <w:sz w:val="24"/>
          <w:szCs w:val="24"/>
        </w:rPr>
        <w:t>por cada fuente de suministro.</w:t>
      </w:r>
    </w:p>
    <w:p w14:paraId="201203B3" w14:textId="58F13CE1"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Nombre del (de los) vendedor(es) en cada Punto de Referencia</w:t>
      </w:r>
      <w:r w:rsidR="00883135" w:rsidRPr="00D81030">
        <w:rPr>
          <w:rFonts w:ascii="Bookman Old Style" w:hAnsi="Bookman Old Style"/>
          <w:b/>
          <w:bCs/>
          <w:iCs/>
          <w:sz w:val="24"/>
          <w:szCs w:val="24"/>
        </w:rPr>
        <w:t>.</w:t>
      </w:r>
    </w:p>
    <w:p w14:paraId="0D8D319C" w14:textId="77777777"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Año del Trimestre Estándar de la oferta de suministro.</w:t>
      </w:r>
    </w:p>
    <w:p w14:paraId="7CB4D60E" w14:textId="4F167FC7"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Trimestre Estándar de la oferta de suministro (diciembre a febrero, marzo a mayo, junio a agosto, septiembre a noviembre)</w:t>
      </w:r>
      <w:r w:rsidR="00883135" w:rsidRPr="00D81030">
        <w:rPr>
          <w:rFonts w:ascii="Bookman Old Style" w:hAnsi="Bookman Old Style"/>
          <w:b/>
          <w:bCs/>
          <w:iCs/>
          <w:sz w:val="24"/>
          <w:szCs w:val="24"/>
        </w:rPr>
        <w:t>.</w:t>
      </w:r>
    </w:p>
    <w:p w14:paraId="4084D39E" w14:textId="2D30C41E"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Mes que conforma el Trimestre Estándar de la oferta de suministro</w:t>
      </w:r>
      <w:r w:rsidR="00883135" w:rsidRPr="00D81030">
        <w:rPr>
          <w:rFonts w:ascii="Bookman Old Style" w:hAnsi="Bookman Old Style"/>
          <w:b/>
          <w:bCs/>
          <w:iCs/>
          <w:sz w:val="24"/>
          <w:szCs w:val="24"/>
        </w:rPr>
        <w:t>.</w:t>
      </w:r>
    </w:p>
    <w:p w14:paraId="42B72A0B" w14:textId="7CA43BB5" w:rsidR="0006302B" w:rsidRPr="00D81030" w:rsidRDefault="0006302B" w:rsidP="00571EDB">
      <w:pPr>
        <w:pStyle w:val="Prrafodelista"/>
        <w:numPr>
          <w:ilvl w:val="0"/>
          <w:numId w:val="88"/>
        </w:numPr>
        <w:ind w:left="851" w:hanging="425"/>
        <w:jc w:val="both"/>
        <w:outlineLvl w:val="0"/>
        <w:rPr>
          <w:rFonts w:ascii="Bookman Old Style" w:hAnsi="Bookman Old Style"/>
          <w:b/>
          <w:bCs/>
          <w:iCs/>
          <w:sz w:val="24"/>
          <w:szCs w:val="24"/>
        </w:rPr>
      </w:pPr>
      <w:r w:rsidRPr="00D81030">
        <w:rPr>
          <w:rFonts w:ascii="Bookman Old Style" w:hAnsi="Bookman Old Style"/>
          <w:b/>
          <w:bCs/>
          <w:iCs/>
          <w:sz w:val="24"/>
          <w:szCs w:val="24"/>
        </w:rPr>
        <w:t xml:space="preserve">Cantidad </w:t>
      </w:r>
      <w:r w:rsidR="00883135" w:rsidRPr="00D81030">
        <w:rPr>
          <w:rFonts w:ascii="Bookman Old Style" w:hAnsi="Bookman Old Style"/>
          <w:b/>
          <w:bCs/>
          <w:iCs/>
          <w:sz w:val="24"/>
          <w:szCs w:val="24"/>
        </w:rPr>
        <w:t xml:space="preserve">total </w:t>
      </w:r>
      <w:r w:rsidRPr="00D81030">
        <w:rPr>
          <w:rFonts w:ascii="Bookman Old Style" w:hAnsi="Bookman Old Style"/>
          <w:b/>
          <w:bCs/>
          <w:iCs/>
          <w:sz w:val="24"/>
          <w:szCs w:val="24"/>
        </w:rPr>
        <w:t>de PTDVF/CIDVF</w:t>
      </w:r>
      <w:r w:rsidR="00883135" w:rsidRPr="00D81030">
        <w:rPr>
          <w:rFonts w:ascii="Bookman Old Style" w:hAnsi="Bookman Old Style"/>
          <w:b/>
          <w:bCs/>
          <w:iCs/>
          <w:sz w:val="24"/>
          <w:szCs w:val="24"/>
        </w:rPr>
        <w:t xml:space="preserve"> para cada punto de referencia</w:t>
      </w:r>
      <w:r w:rsidRPr="00D81030">
        <w:rPr>
          <w:rFonts w:ascii="Bookman Old Style" w:hAnsi="Bookman Old Style"/>
          <w:b/>
          <w:bCs/>
          <w:iCs/>
          <w:sz w:val="24"/>
          <w:szCs w:val="24"/>
        </w:rPr>
        <w:t xml:space="preserve">, en </w:t>
      </w:r>
      <w:r w:rsidR="00713FA9" w:rsidRPr="00D81030">
        <w:rPr>
          <w:rFonts w:ascii="Bookman Old Style" w:hAnsi="Bookman Old Style"/>
          <w:b/>
          <w:bCs/>
          <w:iCs/>
          <w:sz w:val="24"/>
          <w:szCs w:val="24"/>
        </w:rPr>
        <w:t>MBTUD</w:t>
      </w:r>
      <w:r w:rsidR="002B0832">
        <w:rPr>
          <w:rFonts w:ascii="Bookman Old Style" w:hAnsi="Bookman Old Style"/>
          <w:b/>
          <w:bCs/>
          <w:iCs/>
          <w:sz w:val="24"/>
          <w:szCs w:val="24"/>
        </w:rPr>
        <w:t>, sin detallar las cantidades por cada vendedor</w:t>
      </w:r>
      <w:r w:rsidRPr="00D81030">
        <w:rPr>
          <w:rFonts w:ascii="Bookman Old Style" w:hAnsi="Bookman Old Style"/>
          <w:b/>
          <w:bCs/>
          <w:iCs/>
          <w:sz w:val="24"/>
          <w:szCs w:val="24"/>
        </w:rPr>
        <w:t>.</w:t>
      </w:r>
    </w:p>
    <w:p w14:paraId="1525379D" w14:textId="67FBB12B" w:rsidR="00717C79" w:rsidRPr="00D81030" w:rsidRDefault="00717C79" w:rsidP="006461EF">
      <w:pPr>
        <w:pStyle w:val="Prrafodelista"/>
        <w:numPr>
          <w:ilvl w:val="0"/>
          <w:numId w:val="88"/>
        </w:numPr>
        <w:ind w:left="851" w:hanging="425"/>
        <w:jc w:val="both"/>
        <w:rPr>
          <w:rFonts w:ascii="Bookman Old Style" w:hAnsi="Bookman Old Style"/>
          <w:b/>
          <w:bCs/>
          <w:iCs/>
          <w:sz w:val="24"/>
          <w:szCs w:val="24"/>
        </w:rPr>
      </w:pPr>
      <w:r w:rsidRPr="00D81030">
        <w:rPr>
          <w:rFonts w:ascii="Bookman Old Style" w:hAnsi="Bookman Old Style"/>
          <w:b/>
          <w:bCs/>
          <w:iCs/>
          <w:sz w:val="24"/>
          <w:szCs w:val="24"/>
        </w:rPr>
        <w:t>El contenido de las minutas de los contratos de tipo que garantice firmeza, que serán utilizada</w:t>
      </w:r>
      <w:r w:rsidR="00706FA1" w:rsidRPr="00D81030">
        <w:rPr>
          <w:rFonts w:ascii="Bookman Old Style" w:hAnsi="Bookman Old Style"/>
          <w:b/>
          <w:bCs/>
          <w:iCs/>
          <w:sz w:val="24"/>
          <w:szCs w:val="24"/>
        </w:rPr>
        <w:t>s</w:t>
      </w:r>
      <w:r w:rsidRPr="00D81030">
        <w:rPr>
          <w:rFonts w:ascii="Bookman Old Style" w:hAnsi="Bookman Old Style"/>
          <w:b/>
          <w:bCs/>
          <w:iCs/>
          <w:sz w:val="24"/>
          <w:szCs w:val="24"/>
        </w:rPr>
        <w:t xml:space="preserve"> por cada vendedor</w:t>
      </w:r>
      <w:r w:rsidR="00883135" w:rsidRPr="00D81030">
        <w:rPr>
          <w:rFonts w:ascii="Bookman Old Style" w:hAnsi="Bookman Old Style"/>
          <w:b/>
          <w:bCs/>
          <w:iCs/>
          <w:sz w:val="24"/>
          <w:szCs w:val="24"/>
        </w:rPr>
        <w:t>,</w:t>
      </w:r>
      <w:r w:rsidRPr="00D81030">
        <w:rPr>
          <w:rFonts w:ascii="Bookman Old Style" w:hAnsi="Bookman Old Style"/>
          <w:b/>
          <w:bCs/>
          <w:iCs/>
          <w:sz w:val="24"/>
          <w:szCs w:val="24"/>
        </w:rPr>
        <w:t xml:space="preserve"> como parte de los mecanismos de comercialización establecidos en el </w:t>
      </w:r>
      <w:r w:rsidR="00643E71">
        <w:rPr>
          <w:rFonts w:ascii="Bookman Old Style" w:hAnsi="Bookman Old Style"/>
          <w:b/>
          <w:bCs/>
          <w:iCs/>
          <w:sz w:val="24"/>
          <w:szCs w:val="24"/>
        </w:rPr>
        <w:t>a</w:t>
      </w:r>
      <w:r w:rsidRPr="00D81030">
        <w:rPr>
          <w:rFonts w:ascii="Bookman Old Style" w:hAnsi="Bookman Old Style"/>
          <w:b/>
          <w:bCs/>
          <w:iCs/>
          <w:sz w:val="24"/>
          <w:szCs w:val="24"/>
        </w:rPr>
        <w:t xml:space="preserve">rtículo 19 y en el </w:t>
      </w:r>
      <w:r w:rsidR="00643E71">
        <w:rPr>
          <w:rFonts w:ascii="Bookman Old Style" w:hAnsi="Bookman Old Style"/>
          <w:b/>
          <w:bCs/>
          <w:iCs/>
          <w:sz w:val="24"/>
          <w:szCs w:val="24"/>
        </w:rPr>
        <w:t>a</w:t>
      </w:r>
      <w:r w:rsidRPr="00D81030">
        <w:rPr>
          <w:rFonts w:ascii="Bookman Old Style" w:hAnsi="Bookman Old Style"/>
          <w:b/>
          <w:bCs/>
          <w:iCs/>
          <w:sz w:val="24"/>
          <w:szCs w:val="24"/>
        </w:rPr>
        <w:t>rtículo 22 de la presente Resolución</w:t>
      </w:r>
      <w:r w:rsidR="00706FA1" w:rsidRPr="00D81030">
        <w:rPr>
          <w:rFonts w:ascii="Bookman Old Style" w:hAnsi="Bookman Old Style"/>
          <w:b/>
          <w:bCs/>
          <w:iCs/>
          <w:sz w:val="24"/>
          <w:szCs w:val="24"/>
        </w:rPr>
        <w:t xml:space="preserve">, cuando </w:t>
      </w:r>
      <w:r w:rsidR="00927C27" w:rsidRPr="00D81030">
        <w:rPr>
          <w:rFonts w:ascii="Bookman Old Style" w:hAnsi="Bookman Old Style"/>
          <w:b/>
          <w:bCs/>
          <w:iCs/>
          <w:sz w:val="24"/>
          <w:szCs w:val="24"/>
        </w:rPr>
        <w:t>dicho</w:t>
      </w:r>
      <w:r w:rsidR="00706FA1" w:rsidRPr="00D81030">
        <w:rPr>
          <w:rFonts w:ascii="Bookman Old Style" w:hAnsi="Bookman Old Style"/>
          <w:b/>
          <w:bCs/>
          <w:iCs/>
          <w:sz w:val="24"/>
          <w:szCs w:val="24"/>
        </w:rPr>
        <w:t xml:space="preserve"> mecanismo </w:t>
      </w:r>
      <w:r w:rsidR="00927C27" w:rsidRPr="00D81030">
        <w:rPr>
          <w:rFonts w:ascii="Bookman Old Style" w:hAnsi="Bookman Old Style"/>
          <w:b/>
          <w:bCs/>
          <w:iCs/>
          <w:sz w:val="24"/>
          <w:szCs w:val="24"/>
        </w:rPr>
        <w:t>utilice</w:t>
      </w:r>
      <w:r w:rsidR="008218CA" w:rsidRPr="00D81030">
        <w:rPr>
          <w:rFonts w:ascii="Bookman Old Style" w:hAnsi="Bookman Old Style"/>
          <w:b/>
          <w:bCs/>
          <w:iCs/>
          <w:sz w:val="24"/>
          <w:szCs w:val="24"/>
        </w:rPr>
        <w:t xml:space="preserve"> un</w:t>
      </w:r>
      <w:r w:rsidR="00D64E48" w:rsidRPr="00D81030">
        <w:rPr>
          <w:rFonts w:ascii="Bookman Old Style" w:hAnsi="Bookman Old Style"/>
          <w:b/>
          <w:bCs/>
          <w:iCs/>
          <w:sz w:val="24"/>
          <w:szCs w:val="24"/>
        </w:rPr>
        <w:t xml:space="preserve"> </w:t>
      </w:r>
      <w:r w:rsidR="00927C27" w:rsidRPr="00D81030">
        <w:rPr>
          <w:rFonts w:ascii="Bookman Old Style" w:hAnsi="Bookman Old Style"/>
          <w:b/>
          <w:bCs/>
          <w:iCs/>
          <w:sz w:val="24"/>
          <w:szCs w:val="24"/>
        </w:rPr>
        <w:t>proceso</w:t>
      </w:r>
      <w:r w:rsidR="00D64E48" w:rsidRPr="00D81030">
        <w:rPr>
          <w:rFonts w:ascii="Bookman Old Style" w:hAnsi="Bookman Old Style"/>
          <w:b/>
          <w:bCs/>
          <w:iCs/>
          <w:sz w:val="24"/>
          <w:szCs w:val="24"/>
        </w:rPr>
        <w:t xml:space="preserve"> de</w:t>
      </w:r>
      <w:r w:rsidR="00927C27" w:rsidRPr="00D81030">
        <w:rPr>
          <w:rFonts w:ascii="Bookman Old Style" w:hAnsi="Bookman Old Style"/>
          <w:b/>
          <w:bCs/>
          <w:iCs/>
          <w:sz w:val="24"/>
          <w:szCs w:val="24"/>
        </w:rPr>
        <w:t xml:space="preserve"> </w:t>
      </w:r>
      <w:r w:rsidR="00D64E48" w:rsidRPr="00D81030">
        <w:rPr>
          <w:rFonts w:ascii="Bookman Old Style" w:hAnsi="Bookman Old Style"/>
          <w:b/>
          <w:bCs/>
          <w:iCs/>
          <w:sz w:val="24"/>
          <w:szCs w:val="24"/>
        </w:rPr>
        <w:t xml:space="preserve">concurrencia </w:t>
      </w:r>
      <w:r w:rsidR="008218CA" w:rsidRPr="00D81030">
        <w:rPr>
          <w:rFonts w:ascii="Bookman Old Style" w:hAnsi="Bookman Old Style"/>
          <w:b/>
          <w:bCs/>
          <w:iCs/>
          <w:sz w:val="24"/>
          <w:szCs w:val="24"/>
        </w:rPr>
        <w:t>de interesados (como por ejemplo subastas y convocatorias públicas)</w:t>
      </w:r>
      <w:r w:rsidRPr="00D81030">
        <w:rPr>
          <w:rFonts w:ascii="Bookman Old Style" w:hAnsi="Bookman Old Style"/>
          <w:b/>
          <w:bCs/>
          <w:iCs/>
          <w:sz w:val="24"/>
          <w:szCs w:val="24"/>
        </w:rPr>
        <w:t>.</w:t>
      </w:r>
    </w:p>
    <w:p w14:paraId="07D4B314" w14:textId="77777777" w:rsidR="0006302B" w:rsidRPr="00D81030" w:rsidRDefault="0006302B" w:rsidP="00571EDB">
      <w:pPr>
        <w:ind w:left="851" w:hanging="851"/>
        <w:jc w:val="both"/>
        <w:outlineLvl w:val="0"/>
        <w:rPr>
          <w:rFonts w:ascii="Bookman Old Style" w:hAnsi="Bookman Old Style"/>
          <w:b/>
          <w:bCs/>
          <w:iCs/>
        </w:rPr>
      </w:pPr>
    </w:p>
    <w:p w14:paraId="7219F34A" w14:textId="5905FF36" w:rsidR="008670FD" w:rsidRPr="00D81030" w:rsidRDefault="0006302B" w:rsidP="00571EDB">
      <w:pPr>
        <w:shd w:val="clear" w:color="auto" w:fill="FFFFFF" w:themeFill="background1"/>
        <w:ind w:left="426"/>
        <w:jc w:val="both"/>
        <w:outlineLvl w:val="0"/>
        <w:rPr>
          <w:rFonts w:ascii="Bookman Old Style" w:hAnsi="Bookman Old Style"/>
          <w:b/>
          <w:bCs/>
          <w:iCs/>
        </w:rPr>
      </w:pPr>
      <w:r w:rsidRPr="00D81030">
        <w:rPr>
          <w:rFonts w:ascii="Bookman Old Style" w:hAnsi="Bookman Old Style"/>
          <w:b/>
          <w:bCs/>
          <w:iCs/>
        </w:rPr>
        <w:t>Para</w:t>
      </w:r>
      <w:r w:rsidR="009357DB" w:rsidRPr="00D81030">
        <w:rPr>
          <w:rFonts w:ascii="Bookman Old Style" w:hAnsi="Bookman Old Style"/>
          <w:b/>
          <w:bCs/>
          <w:iCs/>
        </w:rPr>
        <w:t xml:space="preserve"> permitir</w:t>
      </w:r>
      <w:r w:rsidRPr="00D81030">
        <w:rPr>
          <w:rFonts w:ascii="Bookman Old Style" w:hAnsi="Bookman Old Style"/>
          <w:b/>
          <w:bCs/>
          <w:iCs/>
        </w:rPr>
        <w:t xml:space="preserve"> lo anterior, el </w:t>
      </w:r>
      <w:r w:rsidR="0022131A" w:rsidRPr="00D81030">
        <w:rPr>
          <w:rFonts w:ascii="Bookman Old Style" w:hAnsi="Bookman Old Style"/>
          <w:b/>
          <w:iCs/>
        </w:rPr>
        <w:t>Gestor</w:t>
      </w:r>
      <w:r w:rsidRPr="00D81030">
        <w:rPr>
          <w:rFonts w:ascii="Bookman Old Style" w:hAnsi="Bookman Old Style"/>
          <w:b/>
          <w:bCs/>
          <w:iCs/>
        </w:rPr>
        <w:t xml:space="preserve"> del Mercado deberá establecer </w:t>
      </w:r>
      <w:r w:rsidR="00FD649D">
        <w:rPr>
          <w:rFonts w:ascii="Bookman Old Style" w:hAnsi="Bookman Old Style"/>
          <w:b/>
          <w:bCs/>
          <w:iCs/>
        </w:rPr>
        <w:t xml:space="preserve">previamente </w:t>
      </w:r>
      <w:r w:rsidRPr="00D81030">
        <w:rPr>
          <w:rFonts w:ascii="Bookman Old Style" w:hAnsi="Bookman Old Style"/>
          <w:b/>
          <w:bCs/>
          <w:iCs/>
        </w:rPr>
        <w:t>los Puntos de Referencia, con base</w:t>
      </w:r>
      <w:r w:rsidR="007C66B9" w:rsidRPr="00D81030">
        <w:rPr>
          <w:rFonts w:ascii="Bookman Old Style" w:hAnsi="Bookman Old Style"/>
          <w:b/>
          <w:bCs/>
          <w:iCs/>
        </w:rPr>
        <w:t>, entre otros aspectos,</w:t>
      </w:r>
      <w:r w:rsidRPr="00D81030">
        <w:rPr>
          <w:rFonts w:ascii="Bookman Old Style" w:hAnsi="Bookman Old Style"/>
          <w:b/>
          <w:bCs/>
          <w:iCs/>
        </w:rPr>
        <w:t xml:space="preserve"> en los diferentes puntos de entrega identificados en los contratos de </w:t>
      </w:r>
      <w:r w:rsidRPr="00D81030">
        <w:rPr>
          <w:rFonts w:ascii="Bookman Old Style" w:hAnsi="Bookman Old Style"/>
          <w:b/>
          <w:bCs/>
          <w:iCs/>
        </w:rPr>
        <w:lastRenderedPageBreak/>
        <w:t xml:space="preserve">suministro de gas actualmente registrados y en los puntos de entrega reportados por los vendedores señalados en el </w:t>
      </w:r>
      <w:r w:rsidR="006D6E6F">
        <w:rPr>
          <w:rFonts w:ascii="Bookman Old Style" w:hAnsi="Bookman Old Style"/>
          <w:b/>
          <w:bCs/>
          <w:iCs/>
        </w:rPr>
        <w:t>a</w:t>
      </w:r>
      <w:r w:rsidRPr="00D81030">
        <w:rPr>
          <w:rFonts w:ascii="Bookman Old Style" w:hAnsi="Bookman Old Style"/>
          <w:b/>
          <w:bCs/>
          <w:iCs/>
        </w:rPr>
        <w:t>rtículo 16 de la presente Resolución, reportados por éstos en cumplimiento del literal a. del presente numeral.</w:t>
      </w:r>
      <w:r w:rsidR="00E35821" w:rsidRPr="00D81030">
        <w:rPr>
          <w:rFonts w:ascii="Bookman Old Style" w:hAnsi="Bookman Old Style"/>
          <w:b/>
          <w:bCs/>
          <w:iCs/>
        </w:rPr>
        <w:t xml:space="preserve"> Asimismo, debe</w:t>
      </w:r>
      <w:r w:rsidR="00B21B3C">
        <w:rPr>
          <w:rFonts w:ascii="Bookman Old Style" w:hAnsi="Bookman Old Style"/>
          <w:b/>
          <w:bCs/>
          <w:iCs/>
        </w:rPr>
        <w:t>rá</w:t>
      </w:r>
      <w:r w:rsidR="00E35821" w:rsidRPr="00D81030">
        <w:rPr>
          <w:rFonts w:ascii="Bookman Old Style" w:hAnsi="Bookman Old Style"/>
          <w:b/>
          <w:bCs/>
          <w:iCs/>
        </w:rPr>
        <w:t xml:space="preserve"> considerar </w:t>
      </w:r>
      <w:r w:rsidR="00B506C9" w:rsidRPr="00D81030">
        <w:rPr>
          <w:rFonts w:ascii="Bookman Old Style" w:hAnsi="Bookman Old Style"/>
          <w:b/>
          <w:bCs/>
          <w:iCs/>
        </w:rPr>
        <w:t>que los puntos de entrega que conformen un punto de referencia estén conectados a un mismo sistema de transporte o a otros sistemas de transporte interconectados en el S</w:t>
      </w:r>
      <w:r w:rsidR="0081554E">
        <w:rPr>
          <w:rFonts w:ascii="Bookman Old Style" w:hAnsi="Bookman Old Style"/>
          <w:b/>
          <w:bCs/>
          <w:iCs/>
        </w:rPr>
        <w:t>N</w:t>
      </w:r>
      <w:r w:rsidR="00B506C9" w:rsidRPr="00D81030">
        <w:rPr>
          <w:rFonts w:ascii="Bookman Old Style" w:hAnsi="Bookman Old Style"/>
          <w:b/>
          <w:bCs/>
          <w:iCs/>
        </w:rPr>
        <w:t>T</w:t>
      </w:r>
      <w:r w:rsidR="001F20A9" w:rsidRPr="00D81030">
        <w:rPr>
          <w:rFonts w:ascii="Bookman Old Style" w:hAnsi="Bookman Old Style"/>
          <w:b/>
          <w:bCs/>
          <w:iCs/>
        </w:rPr>
        <w:t>.</w:t>
      </w:r>
      <w:r w:rsidR="00DA0EB9" w:rsidRPr="00D81030">
        <w:rPr>
          <w:rFonts w:ascii="Bookman Old Style" w:hAnsi="Bookman Old Style"/>
          <w:b/>
          <w:bCs/>
          <w:iCs/>
        </w:rPr>
        <w:t xml:space="preserve"> Finalmente debe</w:t>
      </w:r>
      <w:r w:rsidR="00B21B3C">
        <w:rPr>
          <w:rFonts w:ascii="Bookman Old Style" w:hAnsi="Bookman Old Style"/>
          <w:b/>
          <w:bCs/>
          <w:iCs/>
        </w:rPr>
        <w:t>rá</w:t>
      </w:r>
      <w:r w:rsidR="00DA0EB9" w:rsidRPr="00D81030">
        <w:rPr>
          <w:rFonts w:ascii="Bookman Old Style" w:hAnsi="Bookman Old Style"/>
          <w:b/>
          <w:bCs/>
          <w:iCs/>
        </w:rPr>
        <w:t xml:space="preserve"> considerar que un Punto de</w:t>
      </w:r>
      <w:r w:rsidR="00DA0EB9">
        <w:rPr>
          <w:rFonts w:ascii="Bookman Old Style" w:hAnsi="Bookman Old Style"/>
          <w:b/>
          <w:bCs/>
          <w:iCs/>
        </w:rPr>
        <w:t xml:space="preserve"> Referencia</w:t>
      </w:r>
      <w:r w:rsidR="00DA0EB9" w:rsidRPr="000A4B7F">
        <w:rPr>
          <w:rFonts w:ascii="Bookman Old Style" w:hAnsi="Bookman Old Style"/>
          <w:b/>
          <w:bCs/>
          <w:iCs/>
        </w:rPr>
        <w:t xml:space="preserve"> puede </w:t>
      </w:r>
      <w:r w:rsidR="00DA0EB9" w:rsidRPr="00D81030">
        <w:rPr>
          <w:rFonts w:ascii="Bookman Old Style" w:hAnsi="Bookman Old Style"/>
          <w:b/>
          <w:bCs/>
          <w:iCs/>
        </w:rPr>
        <w:t>conformarse con uno o varios de los Puntos de Entrega</w:t>
      </w:r>
    </w:p>
    <w:p w14:paraId="1C2DBB30" w14:textId="77777777" w:rsidR="001F20A9" w:rsidRPr="00D81030" w:rsidRDefault="001F20A9" w:rsidP="00571EDB">
      <w:pPr>
        <w:shd w:val="clear" w:color="auto" w:fill="FFFFFF" w:themeFill="background1"/>
        <w:ind w:left="851" w:hanging="851"/>
        <w:jc w:val="both"/>
        <w:outlineLvl w:val="0"/>
        <w:rPr>
          <w:rFonts w:ascii="Bookman Old Style" w:hAnsi="Bookman Old Style"/>
          <w:b/>
          <w:bCs/>
          <w:iCs/>
        </w:rPr>
      </w:pPr>
    </w:p>
    <w:p w14:paraId="05E6B9E5" w14:textId="01934227" w:rsidR="0006302B" w:rsidRPr="00D81030" w:rsidRDefault="007C66B9" w:rsidP="00571EDB">
      <w:pPr>
        <w:shd w:val="clear" w:color="auto" w:fill="FFFFFF" w:themeFill="background1"/>
        <w:ind w:left="426"/>
        <w:jc w:val="both"/>
        <w:outlineLvl w:val="0"/>
        <w:rPr>
          <w:rFonts w:ascii="Bookman Old Style" w:hAnsi="Bookman Old Style"/>
          <w:b/>
          <w:bCs/>
          <w:iCs/>
        </w:rPr>
      </w:pPr>
      <w:r w:rsidRPr="00D81030">
        <w:rPr>
          <w:rFonts w:ascii="Bookman Old Style" w:hAnsi="Bookman Old Style"/>
          <w:b/>
          <w:bCs/>
          <w:iCs/>
        </w:rPr>
        <w:t>El Gestor del Mercado podrá establecer los puntos de referencia utilizando criterios adicionales a los mencionados en la presente resolución, siempre que hayan sido acordados con los vendedores del mercado primario</w:t>
      </w:r>
      <w:r w:rsidR="00F34046" w:rsidRPr="00D81030">
        <w:rPr>
          <w:rFonts w:ascii="Bookman Old Style" w:hAnsi="Bookman Old Style"/>
          <w:b/>
          <w:bCs/>
          <w:iCs/>
        </w:rPr>
        <w:t xml:space="preserve"> y consultados con los compradores</w:t>
      </w:r>
      <w:r w:rsidR="00882944" w:rsidRPr="00D81030">
        <w:rPr>
          <w:rFonts w:ascii="Bookman Old Style" w:hAnsi="Bookman Old Style"/>
          <w:b/>
          <w:bCs/>
          <w:iCs/>
        </w:rPr>
        <w:t xml:space="preserve"> del mismo mercado</w:t>
      </w:r>
      <w:r w:rsidRPr="00D81030">
        <w:rPr>
          <w:rFonts w:ascii="Bookman Old Style" w:hAnsi="Bookman Old Style"/>
          <w:b/>
          <w:bCs/>
          <w:iCs/>
        </w:rPr>
        <w:t>.</w:t>
      </w:r>
    </w:p>
    <w:p w14:paraId="7F763F6F" w14:textId="77777777" w:rsidR="0006302B" w:rsidRPr="00D81030" w:rsidRDefault="0006302B" w:rsidP="00571EDB">
      <w:pPr>
        <w:shd w:val="clear" w:color="auto" w:fill="FFFFFF" w:themeFill="background1"/>
        <w:ind w:left="851" w:hanging="851"/>
        <w:jc w:val="both"/>
        <w:outlineLvl w:val="0"/>
        <w:rPr>
          <w:rFonts w:ascii="Bookman Old Style" w:hAnsi="Bookman Old Style"/>
          <w:b/>
          <w:bCs/>
          <w:iCs/>
        </w:rPr>
      </w:pPr>
    </w:p>
    <w:p w14:paraId="192A6BF7" w14:textId="02B95C33" w:rsidR="006D1CE2" w:rsidRPr="00D81030" w:rsidRDefault="0006302B" w:rsidP="00571EDB">
      <w:pPr>
        <w:shd w:val="clear" w:color="auto" w:fill="FFFFFF" w:themeFill="background1"/>
        <w:ind w:left="426"/>
        <w:jc w:val="both"/>
        <w:outlineLvl w:val="0"/>
        <w:rPr>
          <w:rFonts w:ascii="Bookman Old Style" w:hAnsi="Bookman Old Style"/>
          <w:b/>
          <w:bCs/>
          <w:iCs/>
        </w:rPr>
      </w:pPr>
      <w:r w:rsidRPr="00D81030">
        <w:rPr>
          <w:rFonts w:ascii="Bookman Old Style" w:hAnsi="Bookman Old Style"/>
          <w:b/>
          <w:bCs/>
          <w:iCs/>
        </w:rPr>
        <w:t>De igual manera, se deberá incluir el detalle de los puntos de entrega en el caso de Fuentes de Suministro aisladas, gas natural licuado y gas natural comprimido</w:t>
      </w:r>
      <w:r w:rsidR="00D07AF7" w:rsidRPr="00D81030">
        <w:rPr>
          <w:rFonts w:ascii="Bookman Old Style" w:hAnsi="Bookman Old Style"/>
          <w:b/>
          <w:bCs/>
          <w:iCs/>
        </w:rPr>
        <w:t>,</w:t>
      </w:r>
      <w:r w:rsidRPr="00D81030">
        <w:rPr>
          <w:rFonts w:ascii="Bookman Old Style" w:hAnsi="Bookman Old Style"/>
          <w:b/>
          <w:bCs/>
          <w:iCs/>
        </w:rPr>
        <w:t xml:space="preserve"> que conforman cada Punto de Referencia establecido</w:t>
      </w:r>
      <w:r w:rsidR="006D1CE2" w:rsidRPr="00D81030">
        <w:rPr>
          <w:rFonts w:ascii="Bookman Old Style" w:hAnsi="Bookman Old Style"/>
          <w:b/>
          <w:bCs/>
          <w:iCs/>
        </w:rPr>
        <w:t>.</w:t>
      </w:r>
    </w:p>
    <w:p w14:paraId="459E20CC" w14:textId="77777777" w:rsidR="006D1CE2" w:rsidRPr="00D81030" w:rsidRDefault="006D1CE2" w:rsidP="00571EDB">
      <w:pPr>
        <w:shd w:val="clear" w:color="auto" w:fill="FFFFFF" w:themeFill="background1"/>
        <w:ind w:left="851" w:hanging="851"/>
        <w:jc w:val="both"/>
        <w:outlineLvl w:val="0"/>
        <w:rPr>
          <w:rFonts w:ascii="Bookman Old Style" w:hAnsi="Bookman Old Style"/>
          <w:b/>
          <w:bCs/>
          <w:iCs/>
        </w:rPr>
      </w:pPr>
    </w:p>
    <w:p w14:paraId="3A71F380" w14:textId="36AAE940" w:rsidR="0006302B" w:rsidRPr="00D81030" w:rsidRDefault="0006302B" w:rsidP="000C6B2B">
      <w:pPr>
        <w:pStyle w:val="Prrafodelista"/>
        <w:numPr>
          <w:ilvl w:val="1"/>
          <w:numId w:val="85"/>
        </w:numPr>
        <w:ind w:left="426" w:hanging="426"/>
        <w:jc w:val="both"/>
        <w:outlineLvl w:val="0"/>
        <w:rPr>
          <w:rFonts w:ascii="Bookman Old Style" w:hAnsi="Bookman Old Style"/>
          <w:b/>
          <w:bCs/>
          <w:sz w:val="24"/>
          <w:szCs w:val="24"/>
        </w:rPr>
      </w:pPr>
      <w:r w:rsidRPr="00D81030">
        <w:rPr>
          <w:rFonts w:ascii="Bookman Old Style" w:hAnsi="Bookman Old Style"/>
          <w:b/>
          <w:bCs/>
          <w:sz w:val="24"/>
          <w:szCs w:val="24"/>
        </w:rPr>
        <w:t xml:space="preserve">Los compradores señalados en el </w:t>
      </w:r>
      <w:r w:rsidR="00A53DAA">
        <w:rPr>
          <w:rFonts w:ascii="Bookman Old Style" w:hAnsi="Bookman Old Style"/>
          <w:b/>
          <w:bCs/>
          <w:sz w:val="24"/>
          <w:szCs w:val="24"/>
        </w:rPr>
        <w:t>a</w:t>
      </w:r>
      <w:r w:rsidRPr="00D81030">
        <w:rPr>
          <w:rFonts w:ascii="Bookman Old Style" w:hAnsi="Bookman Old Style"/>
          <w:b/>
          <w:bCs/>
          <w:sz w:val="24"/>
          <w:szCs w:val="24"/>
        </w:rPr>
        <w:t xml:space="preserve">rtículo 17 de la presente Resolución que </w:t>
      </w:r>
      <w:r w:rsidR="002F7988" w:rsidRPr="00D81030">
        <w:rPr>
          <w:rFonts w:ascii="Bookman Old Style" w:hAnsi="Bookman Old Style"/>
          <w:b/>
          <w:bCs/>
          <w:sz w:val="24"/>
          <w:szCs w:val="24"/>
        </w:rPr>
        <w:t xml:space="preserve">deseen adquirir </w:t>
      </w:r>
      <w:r w:rsidRPr="00D81030">
        <w:rPr>
          <w:rFonts w:ascii="Bookman Old Style" w:hAnsi="Bookman Old Style"/>
          <w:b/>
          <w:bCs/>
          <w:sz w:val="24"/>
          <w:szCs w:val="24"/>
        </w:rPr>
        <w:t xml:space="preserve">gas para asumir y cumplir compromisos </w:t>
      </w:r>
      <w:r w:rsidRPr="00D81030">
        <w:rPr>
          <w:rFonts w:ascii="Bookman Old Style" w:hAnsi="Bookman Old Style"/>
          <w:b/>
          <w:bCs/>
          <w:sz w:val="24"/>
          <w:szCs w:val="24"/>
          <w:lang w:val="es-ES"/>
        </w:rPr>
        <w:t>contractuales Firmes o que</w:t>
      </w:r>
      <w:r w:rsidR="00030C5B">
        <w:rPr>
          <w:rFonts w:ascii="Bookman Old Style" w:hAnsi="Bookman Old Style"/>
          <w:b/>
          <w:bCs/>
          <w:sz w:val="24"/>
          <w:szCs w:val="24"/>
          <w:lang w:val="es-ES"/>
        </w:rPr>
        <w:t xml:space="preserve"> garantizan firmeza</w:t>
      </w:r>
      <w:r w:rsidRPr="00D81030">
        <w:rPr>
          <w:rFonts w:ascii="Bookman Old Style" w:hAnsi="Bookman Old Style"/>
          <w:b/>
          <w:bCs/>
          <w:sz w:val="24"/>
          <w:szCs w:val="24"/>
        </w:rPr>
        <w:t xml:space="preserve"> en el Mercado Primario, deberán reportar al</w:t>
      </w:r>
      <w:r w:rsidRPr="00D81030">
        <w:rPr>
          <w:rFonts w:ascii="Bookman Old Style" w:hAnsi="Bookman Old Style"/>
          <w:b/>
          <w:sz w:val="24"/>
          <w:szCs w:val="24"/>
        </w:rPr>
        <w:t xml:space="preserve"> </w:t>
      </w:r>
      <w:r w:rsidR="0022131A" w:rsidRPr="00D81030">
        <w:rPr>
          <w:rFonts w:ascii="Bookman Old Style" w:hAnsi="Bookman Old Style"/>
          <w:b/>
          <w:sz w:val="24"/>
          <w:szCs w:val="24"/>
        </w:rPr>
        <w:t>Gestor</w:t>
      </w:r>
      <w:r w:rsidRPr="00D81030">
        <w:rPr>
          <w:rFonts w:ascii="Bookman Old Style" w:hAnsi="Bookman Old Style"/>
          <w:b/>
          <w:sz w:val="24"/>
          <w:szCs w:val="24"/>
        </w:rPr>
        <w:t xml:space="preserve"> </w:t>
      </w:r>
      <w:r w:rsidRPr="00D81030">
        <w:rPr>
          <w:rFonts w:ascii="Bookman Old Style" w:hAnsi="Bookman Old Style"/>
          <w:b/>
          <w:bCs/>
          <w:sz w:val="24"/>
          <w:szCs w:val="24"/>
        </w:rPr>
        <w:t xml:space="preserve">del Mercado, </w:t>
      </w:r>
      <w:r w:rsidRPr="00D81030">
        <w:rPr>
          <w:rFonts w:ascii="Bookman Old Style" w:eastAsia="Bookman Old Style" w:hAnsi="Bookman Old Style" w:cs="Bookman Old Style"/>
          <w:b/>
          <w:bCs/>
          <w:color w:val="000000" w:themeColor="text1"/>
          <w:sz w:val="24"/>
          <w:szCs w:val="24"/>
        </w:rPr>
        <w:t xml:space="preserve">con sujeción a lo previsto en el </w:t>
      </w:r>
      <w:r w:rsidR="00A53DAA">
        <w:rPr>
          <w:rFonts w:ascii="Bookman Old Style" w:eastAsia="Bookman Old Style" w:hAnsi="Bookman Old Style" w:cs="Bookman Old Style"/>
          <w:b/>
          <w:bCs/>
          <w:color w:val="000000" w:themeColor="text1"/>
          <w:sz w:val="24"/>
          <w:szCs w:val="24"/>
        </w:rPr>
        <w:t>a</w:t>
      </w:r>
      <w:r w:rsidRPr="00D81030">
        <w:rPr>
          <w:rFonts w:ascii="Bookman Old Style" w:eastAsia="Bookman Old Style" w:hAnsi="Bookman Old Style" w:cs="Bookman Old Style"/>
          <w:b/>
          <w:bCs/>
          <w:color w:val="000000" w:themeColor="text1"/>
          <w:sz w:val="24"/>
          <w:szCs w:val="24"/>
        </w:rPr>
        <w:t xml:space="preserve">rtículo 8 de la Resolución CREG 080 de 2019, la siguiente </w:t>
      </w:r>
      <w:r w:rsidRPr="00D81030">
        <w:rPr>
          <w:rFonts w:ascii="Bookman Old Style" w:hAnsi="Bookman Old Style"/>
          <w:b/>
          <w:bCs/>
          <w:sz w:val="24"/>
          <w:szCs w:val="24"/>
        </w:rPr>
        <w:t>información</w:t>
      </w:r>
      <w:r w:rsidR="00F06564" w:rsidRPr="00D81030">
        <w:rPr>
          <w:rFonts w:ascii="Bookman Old Style" w:hAnsi="Bookman Old Style"/>
          <w:b/>
          <w:bCs/>
          <w:sz w:val="24"/>
          <w:szCs w:val="24"/>
        </w:rPr>
        <w:t xml:space="preserve"> y cumplimiento de requisitos</w:t>
      </w:r>
      <w:r w:rsidRPr="00D81030">
        <w:rPr>
          <w:rFonts w:ascii="Bookman Old Style" w:hAnsi="Bookman Old Style"/>
          <w:b/>
          <w:bCs/>
          <w:sz w:val="24"/>
          <w:szCs w:val="24"/>
        </w:rPr>
        <w:t>, a más tardar e</w:t>
      </w:r>
      <w:r w:rsidRPr="00D81030">
        <w:rPr>
          <w:rFonts w:ascii="Bookman Old Style" w:eastAsia="Bookman Old Style" w:hAnsi="Bookman Old Style" w:cs="Bookman Old Style"/>
          <w:b/>
          <w:bCs/>
          <w:color w:val="000000" w:themeColor="text1"/>
          <w:sz w:val="24"/>
          <w:szCs w:val="24"/>
        </w:rPr>
        <w:t>l quinto día hábil del Trimestre Estándar de negociación</w:t>
      </w:r>
      <w:r w:rsidRPr="00D81030">
        <w:rPr>
          <w:rFonts w:ascii="Bookman Old Style" w:hAnsi="Bookman Old Style"/>
          <w:b/>
          <w:bCs/>
          <w:sz w:val="24"/>
          <w:szCs w:val="24"/>
        </w:rPr>
        <w:t>:</w:t>
      </w:r>
    </w:p>
    <w:p w14:paraId="4097417A" w14:textId="77777777" w:rsidR="0006302B" w:rsidRPr="00D81030" w:rsidRDefault="0006302B" w:rsidP="00571EDB">
      <w:pPr>
        <w:pStyle w:val="Prrafodelista"/>
        <w:ind w:left="851" w:hanging="851"/>
        <w:jc w:val="both"/>
        <w:outlineLvl w:val="0"/>
        <w:rPr>
          <w:b/>
          <w:bCs/>
          <w:color w:val="000000" w:themeColor="text1"/>
        </w:rPr>
      </w:pPr>
      <w:r w:rsidRPr="00D81030">
        <w:rPr>
          <w:rFonts w:ascii="Bookman Old Style" w:hAnsi="Bookman Old Style"/>
          <w:b/>
          <w:bCs/>
          <w:sz w:val="24"/>
          <w:szCs w:val="24"/>
        </w:rPr>
        <w:t xml:space="preserve"> </w:t>
      </w:r>
    </w:p>
    <w:p w14:paraId="05B7C635" w14:textId="72BE8CF9" w:rsidR="0006302B" w:rsidRPr="00D81030" w:rsidRDefault="0006302B" w:rsidP="000C6B2B">
      <w:pPr>
        <w:pStyle w:val="Prrafodelista"/>
        <w:numPr>
          <w:ilvl w:val="2"/>
          <w:numId w:val="85"/>
        </w:numPr>
        <w:ind w:left="851" w:hanging="284"/>
        <w:jc w:val="both"/>
        <w:rPr>
          <w:rFonts w:ascii="Bookman Old Style" w:hAnsi="Bookman Old Style"/>
          <w:b/>
          <w:bCs/>
          <w:sz w:val="24"/>
          <w:szCs w:val="24"/>
        </w:rPr>
      </w:pPr>
      <w:r w:rsidRPr="00D81030">
        <w:rPr>
          <w:rFonts w:ascii="Bookman Old Style" w:hAnsi="Bookman Old Style"/>
          <w:b/>
          <w:bCs/>
          <w:sz w:val="24"/>
          <w:szCs w:val="24"/>
        </w:rPr>
        <w:t xml:space="preserve">Las cantidades totales de gas natural </w:t>
      </w:r>
      <w:r w:rsidR="00883135" w:rsidRPr="00D81030">
        <w:rPr>
          <w:rFonts w:ascii="Bookman Old Style" w:hAnsi="Bookman Old Style"/>
          <w:b/>
          <w:bCs/>
          <w:sz w:val="24"/>
          <w:szCs w:val="24"/>
        </w:rPr>
        <w:t xml:space="preserve">que desean adquirir </w:t>
      </w:r>
      <w:r w:rsidR="006208D5" w:rsidRPr="00D81030">
        <w:rPr>
          <w:rFonts w:ascii="Bookman Old Style" w:hAnsi="Bookman Old Style"/>
          <w:b/>
          <w:bCs/>
          <w:sz w:val="24"/>
          <w:szCs w:val="24"/>
        </w:rPr>
        <w:t xml:space="preserve">en cada punto de referencia, </w:t>
      </w:r>
      <w:r w:rsidR="002D10CA">
        <w:rPr>
          <w:rFonts w:ascii="Bookman Old Style" w:hAnsi="Bookman Old Style"/>
          <w:b/>
          <w:bCs/>
          <w:sz w:val="24"/>
          <w:szCs w:val="24"/>
        </w:rPr>
        <w:t xml:space="preserve">sin que se declaren cantidades en diferentes puntos de referencia para una misma demanda, </w:t>
      </w:r>
      <w:r w:rsidRPr="00D81030">
        <w:rPr>
          <w:rFonts w:ascii="Bookman Old Style" w:hAnsi="Bookman Old Style"/>
          <w:b/>
          <w:bCs/>
          <w:sz w:val="24"/>
          <w:szCs w:val="24"/>
        </w:rPr>
        <w:t>para cada uno de los veinte (20) trimestres estándar siguientes al Trimestre Estándar de negociación</w:t>
      </w:r>
      <w:r w:rsidR="00CE22CB">
        <w:rPr>
          <w:rFonts w:ascii="Bookman Old Style" w:hAnsi="Bookman Old Style"/>
          <w:b/>
          <w:bCs/>
          <w:sz w:val="24"/>
          <w:szCs w:val="24"/>
        </w:rPr>
        <w:t xml:space="preserve"> y opcionalmente para el segundo y tercer mes del mismo trimestre de negociación</w:t>
      </w:r>
      <w:r w:rsidRPr="00D81030">
        <w:rPr>
          <w:rFonts w:ascii="Bookman Old Style" w:hAnsi="Bookman Old Style"/>
          <w:b/>
          <w:bCs/>
          <w:sz w:val="24"/>
          <w:szCs w:val="24"/>
        </w:rPr>
        <w:t>. En caso de requerir cantidades para trimestres estándar posteriores</w:t>
      </w:r>
      <w:r w:rsidR="0019156B">
        <w:rPr>
          <w:rFonts w:ascii="Bookman Old Style" w:hAnsi="Bookman Old Style"/>
          <w:b/>
          <w:bCs/>
          <w:sz w:val="24"/>
          <w:szCs w:val="24"/>
        </w:rPr>
        <w:t xml:space="preserve"> a los veinte (20) trimestres estándar siguientes</w:t>
      </w:r>
      <w:r w:rsidRPr="00D81030">
        <w:rPr>
          <w:rFonts w:ascii="Bookman Old Style" w:hAnsi="Bookman Old Style"/>
          <w:b/>
          <w:bCs/>
          <w:sz w:val="24"/>
          <w:szCs w:val="24"/>
        </w:rPr>
        <w:t>, la información deberá incluir el reporte de dichos periodos. Lo anterior se deberá entregar con la desagregación</w:t>
      </w:r>
      <w:r w:rsidR="000C6B2B" w:rsidRPr="00D81030">
        <w:rPr>
          <w:rFonts w:ascii="Bookman Old Style" w:hAnsi="Bookman Old Style"/>
          <w:b/>
          <w:bCs/>
          <w:sz w:val="24"/>
          <w:szCs w:val="24"/>
        </w:rPr>
        <w:t xml:space="preserve"> </w:t>
      </w:r>
      <w:r w:rsidR="00883135" w:rsidRPr="00D81030">
        <w:rPr>
          <w:rFonts w:ascii="Bookman Old Style" w:hAnsi="Bookman Old Style"/>
          <w:b/>
          <w:bCs/>
          <w:sz w:val="24"/>
          <w:szCs w:val="24"/>
        </w:rPr>
        <w:t xml:space="preserve">adicional </w:t>
      </w:r>
      <w:r w:rsidR="000C6B2B" w:rsidRPr="00D81030">
        <w:rPr>
          <w:rFonts w:ascii="Bookman Old Style" w:hAnsi="Bookman Old Style"/>
          <w:b/>
          <w:bCs/>
          <w:sz w:val="24"/>
          <w:szCs w:val="24"/>
        </w:rPr>
        <w:t>de las cantidades de gas natural licuado</w:t>
      </w:r>
      <w:r w:rsidR="00E23D78">
        <w:rPr>
          <w:rFonts w:ascii="Bookman Old Style" w:hAnsi="Bookman Old Style"/>
          <w:b/>
          <w:bCs/>
          <w:sz w:val="24"/>
          <w:szCs w:val="24"/>
        </w:rPr>
        <w:t xml:space="preserve"> y/o</w:t>
      </w:r>
      <w:r w:rsidR="00F1735B" w:rsidRPr="00D81030">
        <w:rPr>
          <w:rFonts w:ascii="Bookman Old Style" w:hAnsi="Bookman Old Style"/>
          <w:b/>
          <w:bCs/>
          <w:sz w:val="24"/>
          <w:szCs w:val="24"/>
        </w:rPr>
        <w:t xml:space="preserve"> </w:t>
      </w:r>
      <w:r w:rsidR="000C6B2B" w:rsidRPr="00D81030">
        <w:rPr>
          <w:rFonts w:ascii="Bookman Old Style" w:hAnsi="Bookman Old Style"/>
          <w:b/>
          <w:bCs/>
          <w:sz w:val="24"/>
          <w:szCs w:val="24"/>
        </w:rPr>
        <w:t>gas natural comprimido</w:t>
      </w:r>
      <w:r w:rsidR="00F1735B" w:rsidRPr="00D81030">
        <w:rPr>
          <w:rFonts w:ascii="Bookman Old Style" w:hAnsi="Bookman Old Style"/>
          <w:b/>
          <w:bCs/>
          <w:sz w:val="24"/>
          <w:szCs w:val="24"/>
        </w:rPr>
        <w:t xml:space="preserve"> </w:t>
      </w:r>
      <w:r w:rsidR="000C6B2B" w:rsidRPr="00D81030">
        <w:rPr>
          <w:rFonts w:ascii="Bookman Old Style" w:hAnsi="Bookman Old Style"/>
          <w:b/>
          <w:bCs/>
          <w:sz w:val="24"/>
          <w:szCs w:val="24"/>
        </w:rPr>
        <w:t>requeridas, expresadas en</w:t>
      </w:r>
      <w:r w:rsidR="00713FA9" w:rsidRPr="00D81030">
        <w:rPr>
          <w:rFonts w:ascii="Bookman Old Style" w:hAnsi="Bookman Old Style"/>
          <w:b/>
          <w:bCs/>
          <w:sz w:val="24"/>
          <w:szCs w:val="24"/>
        </w:rPr>
        <w:t xml:space="preserve"> MBTUD</w:t>
      </w:r>
      <w:r w:rsidR="00A8104D" w:rsidRPr="00D81030">
        <w:rPr>
          <w:rFonts w:ascii="Bookman Old Style" w:hAnsi="Bookman Old Style"/>
          <w:b/>
          <w:bCs/>
          <w:sz w:val="24"/>
          <w:szCs w:val="24"/>
        </w:rPr>
        <w:t>.</w:t>
      </w:r>
    </w:p>
    <w:p w14:paraId="41E5B8DB" w14:textId="77777777" w:rsidR="0006302B" w:rsidRPr="00D81030" w:rsidRDefault="0006302B" w:rsidP="000C6B2B">
      <w:pPr>
        <w:pStyle w:val="Prrafodelista"/>
        <w:ind w:left="851" w:hanging="284"/>
        <w:jc w:val="both"/>
        <w:outlineLvl w:val="0"/>
        <w:rPr>
          <w:b/>
          <w:bCs/>
        </w:rPr>
      </w:pPr>
    </w:p>
    <w:p w14:paraId="24F182E0" w14:textId="77777777" w:rsidR="0006302B" w:rsidRPr="000A4B7F" w:rsidRDefault="0006302B" w:rsidP="000C6B2B">
      <w:pPr>
        <w:pStyle w:val="Prrafodelista"/>
        <w:numPr>
          <w:ilvl w:val="2"/>
          <w:numId w:val="85"/>
        </w:numPr>
        <w:ind w:left="851" w:hanging="284"/>
        <w:jc w:val="both"/>
        <w:outlineLvl w:val="0"/>
        <w:rPr>
          <w:rFonts w:ascii="Bookman Old Style" w:eastAsia="Bookman Old Style" w:hAnsi="Bookman Old Style" w:cs="Bookman Old Style"/>
          <w:b/>
          <w:bCs/>
          <w:sz w:val="24"/>
          <w:szCs w:val="24"/>
          <w:lang w:val="es-ES"/>
        </w:rPr>
      </w:pPr>
      <w:r w:rsidRPr="00D81030">
        <w:rPr>
          <w:rFonts w:ascii="Bookman Old Style" w:eastAsia="Bookman Old Style" w:hAnsi="Bookman Old Style" w:cs="Bookman Old Style"/>
          <w:b/>
          <w:bCs/>
          <w:sz w:val="24"/>
          <w:szCs w:val="24"/>
        </w:rPr>
        <w:t xml:space="preserve">Las cantidades de gas </w:t>
      </w:r>
      <w:r w:rsidRPr="00D81030">
        <w:rPr>
          <w:rFonts w:ascii="Bookman Old Style" w:eastAsia="Bookman Old Style" w:hAnsi="Bookman Old Style" w:cs="Bookman Old Style"/>
          <w:b/>
          <w:bCs/>
          <w:sz w:val="24"/>
          <w:szCs w:val="24"/>
          <w:lang w:val="es-ES"/>
        </w:rPr>
        <w:t>a su</w:t>
      </w:r>
      <w:r w:rsidRPr="00D81030">
        <w:rPr>
          <w:rFonts w:ascii="Bookman Old Style" w:hAnsi="Bookman Old Style"/>
          <w:b/>
          <w:bCs/>
          <w:sz w:val="24"/>
          <w:szCs w:val="24"/>
          <w:lang w:val="es-ES"/>
        </w:rPr>
        <w:t>ministrar podrán ser distintas entre los diferentes Trimestres Estándar, pero entre</w:t>
      </w:r>
      <w:r w:rsidRPr="000A4B7F">
        <w:rPr>
          <w:rFonts w:ascii="Bookman Old Style" w:hAnsi="Bookman Old Style"/>
          <w:b/>
          <w:bCs/>
          <w:sz w:val="24"/>
          <w:szCs w:val="24"/>
          <w:lang w:val="es-ES"/>
        </w:rPr>
        <w:t xml:space="preserve"> los meses de cada trimestre</w:t>
      </w:r>
      <w:r>
        <w:rPr>
          <w:rFonts w:ascii="Bookman Old Style" w:hAnsi="Bookman Old Style"/>
          <w:b/>
          <w:bCs/>
          <w:sz w:val="24"/>
          <w:szCs w:val="24"/>
          <w:lang w:val="es-ES"/>
        </w:rPr>
        <w:t>,</w:t>
      </w:r>
      <w:r w:rsidRPr="000A4B7F">
        <w:rPr>
          <w:rFonts w:ascii="Bookman Old Style" w:hAnsi="Bookman Old Style"/>
          <w:b/>
          <w:bCs/>
          <w:sz w:val="24"/>
          <w:szCs w:val="24"/>
          <w:lang w:val="es-ES"/>
        </w:rPr>
        <w:t xml:space="preserve"> deberán corresponder a un mismo valor.</w:t>
      </w:r>
    </w:p>
    <w:p w14:paraId="603692A1" w14:textId="77777777" w:rsidR="0006302B" w:rsidRPr="000A4B7F" w:rsidRDefault="0006302B" w:rsidP="000C6B2B">
      <w:pPr>
        <w:ind w:left="851" w:hanging="284"/>
        <w:jc w:val="both"/>
        <w:outlineLvl w:val="0"/>
        <w:rPr>
          <w:b/>
          <w:bCs/>
        </w:rPr>
      </w:pPr>
    </w:p>
    <w:p w14:paraId="28A420BA" w14:textId="55C3053B" w:rsidR="0006302B" w:rsidRPr="00D81030" w:rsidRDefault="0006302B" w:rsidP="000C6B2B">
      <w:pPr>
        <w:pStyle w:val="Prrafodelista"/>
        <w:numPr>
          <w:ilvl w:val="2"/>
          <w:numId w:val="85"/>
        </w:numPr>
        <w:ind w:left="851" w:hanging="284"/>
        <w:jc w:val="both"/>
        <w:outlineLvl w:val="0"/>
        <w:rPr>
          <w:rFonts w:asciiTheme="minorHAnsi" w:eastAsiaTheme="minorEastAsia" w:hAnsiTheme="minorHAnsi" w:cstheme="minorBidi"/>
          <w:b/>
          <w:bCs/>
        </w:rPr>
      </w:pPr>
      <w:r w:rsidRPr="000A4B7F">
        <w:rPr>
          <w:rFonts w:ascii="Bookman Old Style" w:hAnsi="Bookman Old Style"/>
          <w:b/>
          <w:bCs/>
          <w:sz w:val="24"/>
          <w:szCs w:val="24"/>
          <w:lang w:val="es-ES"/>
        </w:rPr>
        <w:t>Se deben especificar las cantidades</w:t>
      </w:r>
      <w:r w:rsidRPr="000A4B7F">
        <w:rPr>
          <w:rFonts w:ascii="Bookman Old Style" w:hAnsi="Bookman Old Style"/>
          <w:b/>
          <w:bCs/>
          <w:sz w:val="24"/>
          <w:szCs w:val="24"/>
        </w:rPr>
        <w:t xml:space="preserve"> de gas que tengan como destino la </w:t>
      </w:r>
      <w:r w:rsidRPr="008558F5">
        <w:rPr>
          <w:rFonts w:ascii="Bookman Old Style" w:hAnsi="Bookman Old Style"/>
          <w:b/>
          <w:bCs/>
          <w:sz w:val="24"/>
          <w:szCs w:val="24"/>
        </w:rPr>
        <w:t xml:space="preserve">atención de la Demanda Esencial, conforme a lo dispuesto en el </w:t>
      </w:r>
      <w:r w:rsidR="00CF508E">
        <w:rPr>
          <w:rFonts w:ascii="Bookman Old Style" w:hAnsi="Bookman Old Style"/>
          <w:b/>
          <w:bCs/>
          <w:sz w:val="24"/>
          <w:szCs w:val="24"/>
        </w:rPr>
        <w:t>a</w:t>
      </w:r>
      <w:r w:rsidRPr="00D66B65">
        <w:rPr>
          <w:rFonts w:ascii="Bookman Old Style" w:hAnsi="Bookman Old Style"/>
          <w:b/>
          <w:bCs/>
          <w:sz w:val="24"/>
          <w:szCs w:val="24"/>
        </w:rPr>
        <w:t>rtículo 2.</w:t>
      </w:r>
      <w:r w:rsidRPr="00D81030">
        <w:rPr>
          <w:rFonts w:ascii="Bookman Old Style" w:hAnsi="Bookman Old Style"/>
          <w:b/>
          <w:bCs/>
          <w:sz w:val="24"/>
          <w:szCs w:val="24"/>
        </w:rPr>
        <w:t>2.2.1.4 del Decreto 1073 de 2015, discriminadas por tipo de usuario</w:t>
      </w:r>
      <w:r w:rsidR="000D0930" w:rsidRPr="00D81030">
        <w:rPr>
          <w:rFonts w:ascii="Bookman Old Style" w:hAnsi="Bookman Old Style"/>
          <w:b/>
          <w:bCs/>
          <w:sz w:val="24"/>
          <w:szCs w:val="24"/>
        </w:rPr>
        <w:t xml:space="preserve"> (residencial, comercial</w:t>
      </w:r>
      <w:r w:rsidR="001F3C04">
        <w:rPr>
          <w:rFonts w:ascii="Bookman Old Style" w:hAnsi="Bookman Old Style"/>
          <w:b/>
          <w:bCs/>
          <w:sz w:val="24"/>
          <w:szCs w:val="24"/>
        </w:rPr>
        <w:t xml:space="preserve"> </w:t>
      </w:r>
      <w:r w:rsidR="00883135" w:rsidRPr="00D81030">
        <w:rPr>
          <w:rFonts w:ascii="Bookman Old Style" w:hAnsi="Bookman Old Style"/>
          <w:b/>
          <w:bCs/>
          <w:sz w:val="24"/>
          <w:szCs w:val="24"/>
        </w:rPr>
        <w:t>y demás</w:t>
      </w:r>
      <w:r w:rsidR="000D0930" w:rsidRPr="00D81030">
        <w:rPr>
          <w:rFonts w:ascii="Bookman Old Style" w:hAnsi="Bookman Old Style"/>
          <w:b/>
          <w:bCs/>
          <w:sz w:val="24"/>
          <w:szCs w:val="24"/>
        </w:rPr>
        <w:t>)</w:t>
      </w:r>
      <w:r w:rsidR="00883135" w:rsidRPr="00D81030">
        <w:rPr>
          <w:rFonts w:ascii="Bookman Old Style" w:hAnsi="Bookman Old Style"/>
          <w:b/>
          <w:bCs/>
          <w:sz w:val="24"/>
          <w:szCs w:val="24"/>
        </w:rPr>
        <w:t>.</w:t>
      </w:r>
    </w:p>
    <w:p w14:paraId="3B884B2C" w14:textId="77777777" w:rsidR="0006302B" w:rsidRPr="00D81030" w:rsidRDefault="0006302B" w:rsidP="000C6B2B">
      <w:pPr>
        <w:ind w:left="851" w:hanging="284"/>
        <w:jc w:val="both"/>
        <w:outlineLvl w:val="0"/>
        <w:rPr>
          <w:b/>
          <w:bCs/>
        </w:rPr>
      </w:pPr>
    </w:p>
    <w:p w14:paraId="76B8BB63" w14:textId="116DCD65" w:rsidR="0006302B" w:rsidRPr="00D81030" w:rsidRDefault="0006302B" w:rsidP="000C6B2B">
      <w:pPr>
        <w:pStyle w:val="Prrafodelista"/>
        <w:numPr>
          <w:ilvl w:val="2"/>
          <w:numId w:val="85"/>
        </w:numPr>
        <w:ind w:left="851" w:hanging="284"/>
        <w:jc w:val="both"/>
        <w:outlineLvl w:val="0"/>
        <w:rPr>
          <w:b/>
          <w:bCs/>
          <w:sz w:val="24"/>
          <w:szCs w:val="24"/>
        </w:rPr>
      </w:pPr>
      <w:r w:rsidRPr="00D81030">
        <w:rPr>
          <w:rFonts w:ascii="Bookman Old Style" w:hAnsi="Bookman Old Style"/>
          <w:b/>
          <w:bCs/>
          <w:sz w:val="24"/>
          <w:szCs w:val="24"/>
        </w:rPr>
        <w:t xml:space="preserve">En el caso de los usuarios no regulados que participan como compradores en el mercado primario, se requiere que la información </w:t>
      </w:r>
      <w:r w:rsidRPr="00D81030">
        <w:rPr>
          <w:rFonts w:ascii="Bookman Old Style" w:hAnsi="Bookman Old Style"/>
          <w:b/>
          <w:bCs/>
          <w:sz w:val="24"/>
          <w:szCs w:val="24"/>
        </w:rPr>
        <w:lastRenderedPageBreak/>
        <w:t>sea presentada</w:t>
      </w:r>
      <w:r w:rsidR="00683CA7" w:rsidRPr="00D81030">
        <w:rPr>
          <w:rFonts w:ascii="Bookman Old Style" w:hAnsi="Bookman Old Style"/>
          <w:b/>
          <w:bCs/>
          <w:sz w:val="24"/>
          <w:szCs w:val="24"/>
        </w:rPr>
        <w:t xml:space="preserve"> </w:t>
      </w:r>
      <w:r w:rsidRPr="00D81030">
        <w:rPr>
          <w:rFonts w:ascii="Bookman Old Style" w:hAnsi="Bookman Old Style"/>
          <w:b/>
          <w:bCs/>
          <w:sz w:val="24"/>
          <w:szCs w:val="24"/>
        </w:rPr>
        <w:t>directamente</w:t>
      </w:r>
      <w:r w:rsidR="00A16A55" w:rsidRPr="00D81030">
        <w:rPr>
          <w:rFonts w:ascii="Bookman Old Style" w:hAnsi="Bookman Old Style"/>
          <w:b/>
          <w:bCs/>
          <w:sz w:val="24"/>
          <w:szCs w:val="24"/>
        </w:rPr>
        <w:t xml:space="preserve">. </w:t>
      </w:r>
      <w:r w:rsidR="00883135" w:rsidRPr="00D81030">
        <w:rPr>
          <w:rFonts w:ascii="Bookman Old Style" w:hAnsi="Bookman Old Style"/>
          <w:b/>
          <w:bCs/>
          <w:sz w:val="24"/>
          <w:szCs w:val="24"/>
        </w:rPr>
        <w:t>En el caso de los</w:t>
      </w:r>
      <w:r w:rsidR="00A16A55" w:rsidRPr="00D81030">
        <w:rPr>
          <w:rFonts w:ascii="Bookman Old Style" w:hAnsi="Bookman Old Style"/>
          <w:b/>
          <w:bCs/>
          <w:sz w:val="24"/>
          <w:szCs w:val="24"/>
        </w:rPr>
        <w:t xml:space="preserve"> usuario</w:t>
      </w:r>
      <w:r w:rsidR="00883135" w:rsidRPr="00D81030">
        <w:rPr>
          <w:rFonts w:ascii="Bookman Old Style" w:hAnsi="Bookman Old Style"/>
          <w:b/>
          <w:bCs/>
          <w:sz w:val="24"/>
          <w:szCs w:val="24"/>
        </w:rPr>
        <w:t>s</w:t>
      </w:r>
      <w:r w:rsidR="00A16A55" w:rsidRPr="00D81030">
        <w:rPr>
          <w:rFonts w:ascii="Bookman Old Style" w:hAnsi="Bookman Old Style"/>
          <w:b/>
          <w:bCs/>
          <w:sz w:val="24"/>
          <w:szCs w:val="24"/>
        </w:rPr>
        <w:t xml:space="preserve"> no regulado</w:t>
      </w:r>
      <w:r w:rsidR="00883135" w:rsidRPr="00D81030">
        <w:rPr>
          <w:rFonts w:ascii="Bookman Old Style" w:hAnsi="Bookman Old Style"/>
          <w:b/>
          <w:bCs/>
          <w:sz w:val="24"/>
          <w:szCs w:val="24"/>
        </w:rPr>
        <w:t>s</w:t>
      </w:r>
      <w:r w:rsidR="00A16A55" w:rsidRPr="00D81030">
        <w:rPr>
          <w:rFonts w:ascii="Bookman Old Style" w:hAnsi="Bookman Old Style"/>
          <w:b/>
          <w:bCs/>
          <w:sz w:val="24"/>
          <w:szCs w:val="24"/>
        </w:rPr>
        <w:t xml:space="preserve"> </w:t>
      </w:r>
      <w:r w:rsidR="00883135" w:rsidRPr="00D81030">
        <w:rPr>
          <w:rFonts w:ascii="Bookman Old Style" w:hAnsi="Bookman Old Style"/>
          <w:b/>
          <w:bCs/>
          <w:sz w:val="24"/>
          <w:szCs w:val="24"/>
        </w:rPr>
        <w:t xml:space="preserve">que son </w:t>
      </w:r>
      <w:r w:rsidR="00A16A55" w:rsidRPr="00D81030">
        <w:rPr>
          <w:rFonts w:ascii="Bookman Old Style" w:hAnsi="Bookman Old Style"/>
          <w:b/>
          <w:bCs/>
          <w:sz w:val="24"/>
          <w:szCs w:val="24"/>
        </w:rPr>
        <w:t xml:space="preserve">parte de la Demanda Esencial y </w:t>
      </w:r>
      <w:r w:rsidR="00883135" w:rsidRPr="00D81030">
        <w:rPr>
          <w:rFonts w:ascii="Bookman Old Style" w:hAnsi="Bookman Old Style"/>
          <w:b/>
          <w:bCs/>
          <w:sz w:val="24"/>
          <w:szCs w:val="24"/>
        </w:rPr>
        <w:t xml:space="preserve">que </w:t>
      </w:r>
      <w:r w:rsidR="00A16A55" w:rsidRPr="00D81030">
        <w:rPr>
          <w:rFonts w:ascii="Bookman Old Style" w:hAnsi="Bookman Old Style"/>
          <w:b/>
          <w:bCs/>
          <w:sz w:val="24"/>
          <w:szCs w:val="24"/>
        </w:rPr>
        <w:t>co</w:t>
      </w:r>
      <w:r w:rsidR="00883135" w:rsidRPr="00D81030">
        <w:rPr>
          <w:rFonts w:ascii="Bookman Old Style" w:hAnsi="Bookman Old Style"/>
          <w:b/>
          <w:bCs/>
          <w:sz w:val="24"/>
          <w:szCs w:val="24"/>
        </w:rPr>
        <w:t>ntratan la prestación del servicio</w:t>
      </w:r>
      <w:r w:rsidR="00A16A55" w:rsidRPr="00D81030">
        <w:rPr>
          <w:rFonts w:ascii="Bookman Old Style" w:hAnsi="Bookman Old Style"/>
          <w:b/>
          <w:bCs/>
          <w:sz w:val="24"/>
          <w:szCs w:val="24"/>
        </w:rPr>
        <w:t xml:space="preserve"> en el mercado minorista, la cantidad requerida puede ser inform</w:t>
      </w:r>
      <w:r w:rsidR="00457D42" w:rsidRPr="00D81030">
        <w:rPr>
          <w:rFonts w:ascii="Bookman Old Style" w:hAnsi="Bookman Old Style"/>
          <w:b/>
          <w:bCs/>
          <w:sz w:val="24"/>
          <w:szCs w:val="24"/>
        </w:rPr>
        <w:t>a</w:t>
      </w:r>
      <w:r w:rsidR="00A16A55" w:rsidRPr="00D81030">
        <w:rPr>
          <w:rFonts w:ascii="Bookman Old Style" w:hAnsi="Bookman Old Style"/>
          <w:b/>
          <w:bCs/>
          <w:sz w:val="24"/>
          <w:szCs w:val="24"/>
        </w:rPr>
        <w:t xml:space="preserve">da </w:t>
      </w:r>
      <w:r w:rsidRPr="00D81030">
        <w:rPr>
          <w:rFonts w:ascii="Bookman Old Style" w:hAnsi="Bookman Old Style"/>
          <w:b/>
          <w:bCs/>
          <w:sz w:val="24"/>
          <w:szCs w:val="24"/>
        </w:rPr>
        <w:t>a través de</w:t>
      </w:r>
      <w:r w:rsidR="00883135" w:rsidRPr="00D81030">
        <w:rPr>
          <w:rFonts w:ascii="Bookman Old Style" w:hAnsi="Bookman Old Style"/>
          <w:b/>
          <w:bCs/>
          <w:sz w:val="24"/>
          <w:szCs w:val="24"/>
        </w:rPr>
        <w:t>l</w:t>
      </w:r>
      <w:r w:rsidRPr="00D81030">
        <w:rPr>
          <w:rFonts w:ascii="Bookman Old Style" w:hAnsi="Bookman Old Style"/>
          <w:b/>
          <w:bCs/>
          <w:sz w:val="24"/>
          <w:szCs w:val="24"/>
        </w:rPr>
        <w:t xml:space="preserve"> comercializador, con el fin de evitar duplicidad de las cantidades a contratar.</w:t>
      </w:r>
    </w:p>
    <w:p w14:paraId="2D48181F" w14:textId="77777777" w:rsidR="001F4342" w:rsidRPr="00D81030" w:rsidRDefault="001F4342" w:rsidP="001F4342">
      <w:pPr>
        <w:pStyle w:val="Prrafodelista"/>
        <w:rPr>
          <w:b/>
          <w:bCs/>
          <w:sz w:val="24"/>
          <w:szCs w:val="24"/>
        </w:rPr>
      </w:pPr>
    </w:p>
    <w:p w14:paraId="4044DFBC" w14:textId="28EE606F" w:rsidR="001F4342" w:rsidRPr="00D81030" w:rsidRDefault="001F4342" w:rsidP="000C6B2B">
      <w:pPr>
        <w:pStyle w:val="Prrafodelista"/>
        <w:numPr>
          <w:ilvl w:val="2"/>
          <w:numId w:val="85"/>
        </w:numPr>
        <w:ind w:left="851" w:hanging="284"/>
        <w:jc w:val="both"/>
        <w:outlineLvl w:val="0"/>
        <w:rPr>
          <w:rFonts w:ascii="Bookman Old Style" w:hAnsi="Bookman Old Style"/>
          <w:b/>
          <w:bCs/>
          <w:sz w:val="24"/>
          <w:szCs w:val="24"/>
        </w:rPr>
      </w:pPr>
      <w:bookmarkStart w:id="55" w:name="_Hlk122343841"/>
      <w:r w:rsidRPr="00D81030">
        <w:rPr>
          <w:rFonts w:ascii="Bookman Old Style" w:hAnsi="Bookman Old Style"/>
          <w:b/>
          <w:bCs/>
          <w:sz w:val="24"/>
          <w:szCs w:val="24"/>
        </w:rPr>
        <w:t xml:space="preserve">Los vendedores </w:t>
      </w:r>
      <w:r w:rsidR="00EA296D" w:rsidRPr="00D81030">
        <w:rPr>
          <w:rFonts w:ascii="Bookman Old Style" w:hAnsi="Bookman Old Style"/>
          <w:b/>
          <w:bCs/>
          <w:sz w:val="24"/>
          <w:szCs w:val="24"/>
        </w:rPr>
        <w:t xml:space="preserve">que presentan declaración de PTDVF para una o varias fuente de suministro, para cualquiera de los trimestres de suministro siguientes, </w:t>
      </w:r>
      <w:r w:rsidRPr="00D81030">
        <w:rPr>
          <w:rFonts w:ascii="Bookman Old Style" w:hAnsi="Bookman Old Style"/>
          <w:b/>
          <w:bCs/>
          <w:sz w:val="24"/>
          <w:szCs w:val="24"/>
        </w:rPr>
        <w:t xml:space="preserve">que pueden </w:t>
      </w:r>
      <w:r w:rsidR="00891804">
        <w:rPr>
          <w:rFonts w:ascii="Bookman Old Style" w:hAnsi="Bookman Old Style"/>
          <w:b/>
          <w:bCs/>
          <w:sz w:val="24"/>
          <w:szCs w:val="24"/>
        </w:rPr>
        <w:t xml:space="preserve">declarar al Ministerio de Minas y Energía como producción comprometida PC </w:t>
      </w:r>
      <w:r w:rsidRPr="00D81030">
        <w:rPr>
          <w:rFonts w:ascii="Bookman Old Style" w:hAnsi="Bookman Old Style"/>
          <w:b/>
          <w:bCs/>
          <w:sz w:val="24"/>
          <w:szCs w:val="24"/>
        </w:rPr>
        <w:t>la</w:t>
      </w:r>
      <w:r w:rsidR="00916F62" w:rsidRPr="00D81030">
        <w:rPr>
          <w:rFonts w:ascii="Bookman Old Style" w:hAnsi="Bookman Old Style"/>
          <w:b/>
          <w:bCs/>
          <w:sz w:val="24"/>
          <w:szCs w:val="24"/>
        </w:rPr>
        <w:t>s</w:t>
      </w:r>
      <w:r w:rsidRPr="00D81030">
        <w:rPr>
          <w:rFonts w:ascii="Bookman Old Style" w:hAnsi="Bookman Old Style"/>
          <w:b/>
          <w:bCs/>
          <w:sz w:val="24"/>
          <w:szCs w:val="24"/>
        </w:rPr>
        <w:t xml:space="preserve"> cantidades requeridas para </w:t>
      </w:r>
      <w:r w:rsidR="00EA296D" w:rsidRPr="00D81030">
        <w:rPr>
          <w:rFonts w:ascii="Bookman Old Style" w:hAnsi="Bookman Old Style"/>
          <w:b/>
          <w:bCs/>
          <w:sz w:val="24"/>
          <w:szCs w:val="24"/>
        </w:rPr>
        <w:t xml:space="preserve">tales </w:t>
      </w:r>
      <w:r w:rsidRPr="00D81030">
        <w:rPr>
          <w:rFonts w:ascii="Bookman Old Style" w:hAnsi="Bookman Old Style"/>
          <w:b/>
          <w:bCs/>
          <w:sz w:val="24"/>
          <w:szCs w:val="24"/>
        </w:rPr>
        <w:t>propios consumos</w:t>
      </w:r>
      <w:r w:rsidR="00EA296D" w:rsidRPr="00D81030">
        <w:rPr>
          <w:rFonts w:ascii="Bookman Old Style" w:hAnsi="Bookman Old Style"/>
          <w:b/>
          <w:bCs/>
          <w:sz w:val="24"/>
          <w:szCs w:val="24"/>
        </w:rPr>
        <w:t xml:space="preserve"> y que en ese caso</w:t>
      </w:r>
      <w:r w:rsidRPr="00D81030">
        <w:rPr>
          <w:rFonts w:ascii="Bookman Old Style" w:hAnsi="Bookman Old Style"/>
          <w:b/>
          <w:bCs/>
          <w:sz w:val="24"/>
          <w:szCs w:val="24"/>
        </w:rPr>
        <w:t xml:space="preserve"> pertenecen a la Demanda Esencial </w:t>
      </w:r>
      <w:r w:rsidR="00EA296D" w:rsidRPr="00D81030">
        <w:rPr>
          <w:rFonts w:ascii="Bookman Old Style" w:hAnsi="Bookman Old Style"/>
          <w:b/>
          <w:bCs/>
          <w:sz w:val="24"/>
          <w:szCs w:val="24"/>
        </w:rPr>
        <w:t xml:space="preserve">en los términos de lo establecido en el </w:t>
      </w:r>
      <w:r w:rsidR="00742AD5">
        <w:rPr>
          <w:rFonts w:ascii="Bookman Old Style" w:hAnsi="Bookman Old Style"/>
          <w:b/>
          <w:bCs/>
          <w:sz w:val="24"/>
          <w:szCs w:val="24"/>
        </w:rPr>
        <w:t>a</w:t>
      </w:r>
      <w:r w:rsidR="00EA296D" w:rsidRPr="00D81030">
        <w:rPr>
          <w:rFonts w:ascii="Bookman Old Style" w:hAnsi="Bookman Old Style"/>
          <w:b/>
          <w:bCs/>
          <w:sz w:val="24"/>
          <w:szCs w:val="24"/>
        </w:rPr>
        <w:t xml:space="preserve">rtículo 2.2.2.2.20 del Decreto 1073 de 2015, </w:t>
      </w:r>
      <w:r w:rsidRPr="00D81030">
        <w:rPr>
          <w:rFonts w:ascii="Bookman Old Style" w:hAnsi="Bookman Old Style"/>
          <w:b/>
          <w:bCs/>
          <w:sz w:val="24"/>
          <w:szCs w:val="24"/>
        </w:rPr>
        <w:t xml:space="preserve">no podrán </w:t>
      </w:r>
      <w:r w:rsidR="00F71198" w:rsidRPr="00D81030">
        <w:rPr>
          <w:rFonts w:ascii="Bookman Old Style" w:hAnsi="Bookman Old Style"/>
          <w:b/>
          <w:bCs/>
          <w:sz w:val="24"/>
          <w:szCs w:val="24"/>
        </w:rPr>
        <w:t xml:space="preserve">informar </w:t>
      </w:r>
      <w:r w:rsidR="00EA296D" w:rsidRPr="00D81030">
        <w:rPr>
          <w:rFonts w:ascii="Bookman Old Style" w:hAnsi="Bookman Old Style"/>
          <w:b/>
          <w:bCs/>
          <w:sz w:val="24"/>
          <w:szCs w:val="24"/>
        </w:rPr>
        <w:t xml:space="preserve">al Gestor del Mercado </w:t>
      </w:r>
      <w:r w:rsidR="00B00887" w:rsidRPr="00D81030">
        <w:rPr>
          <w:rFonts w:ascii="Bookman Old Style" w:hAnsi="Bookman Old Style"/>
          <w:b/>
          <w:bCs/>
          <w:sz w:val="24"/>
          <w:szCs w:val="24"/>
        </w:rPr>
        <w:t>requeri</w:t>
      </w:r>
      <w:r w:rsidR="00F71198" w:rsidRPr="00D81030">
        <w:rPr>
          <w:rFonts w:ascii="Bookman Old Style" w:hAnsi="Bookman Old Style"/>
          <w:b/>
          <w:bCs/>
          <w:sz w:val="24"/>
          <w:szCs w:val="24"/>
        </w:rPr>
        <w:t>mientos de compra de</w:t>
      </w:r>
      <w:r w:rsidR="00B00887" w:rsidRPr="00D81030">
        <w:rPr>
          <w:rFonts w:ascii="Bookman Old Style" w:hAnsi="Bookman Old Style"/>
          <w:b/>
          <w:bCs/>
          <w:sz w:val="24"/>
          <w:szCs w:val="24"/>
        </w:rPr>
        <w:t xml:space="preserve"> </w:t>
      </w:r>
      <w:r w:rsidRPr="00D81030">
        <w:rPr>
          <w:rFonts w:ascii="Bookman Old Style" w:hAnsi="Bookman Old Style"/>
          <w:b/>
          <w:bCs/>
          <w:sz w:val="24"/>
          <w:szCs w:val="24"/>
        </w:rPr>
        <w:t xml:space="preserve">cantidades para atender </w:t>
      </w:r>
      <w:r w:rsidR="00883135" w:rsidRPr="00D81030">
        <w:rPr>
          <w:rFonts w:ascii="Bookman Old Style" w:hAnsi="Bookman Old Style"/>
          <w:b/>
          <w:bCs/>
          <w:sz w:val="24"/>
          <w:szCs w:val="24"/>
        </w:rPr>
        <w:t xml:space="preserve">tales </w:t>
      </w:r>
      <w:r w:rsidR="00B00887" w:rsidRPr="00D81030">
        <w:rPr>
          <w:rFonts w:ascii="Bookman Old Style" w:hAnsi="Bookman Old Style"/>
          <w:b/>
          <w:bCs/>
          <w:sz w:val="24"/>
          <w:szCs w:val="24"/>
        </w:rPr>
        <w:t>propios consumos</w:t>
      </w:r>
      <w:r w:rsidRPr="00D81030">
        <w:rPr>
          <w:rFonts w:ascii="Bookman Old Style" w:hAnsi="Bookman Old Style"/>
          <w:b/>
          <w:bCs/>
          <w:sz w:val="24"/>
          <w:szCs w:val="24"/>
        </w:rPr>
        <w:t xml:space="preserve"> para esos </w:t>
      </w:r>
      <w:r w:rsidR="00F71198" w:rsidRPr="00D81030">
        <w:rPr>
          <w:rFonts w:ascii="Bookman Old Style" w:hAnsi="Bookman Old Style"/>
          <w:b/>
          <w:bCs/>
          <w:sz w:val="24"/>
          <w:szCs w:val="24"/>
        </w:rPr>
        <w:t xml:space="preserve">mismos </w:t>
      </w:r>
      <w:r w:rsidRPr="00D81030">
        <w:rPr>
          <w:rFonts w:ascii="Bookman Old Style" w:hAnsi="Bookman Old Style"/>
          <w:b/>
          <w:bCs/>
          <w:sz w:val="24"/>
          <w:szCs w:val="24"/>
        </w:rPr>
        <w:t xml:space="preserve">trimestres </w:t>
      </w:r>
      <w:r w:rsidR="00F71198" w:rsidRPr="00D81030">
        <w:rPr>
          <w:rFonts w:ascii="Bookman Old Style" w:hAnsi="Bookman Old Style"/>
          <w:b/>
          <w:bCs/>
          <w:sz w:val="24"/>
          <w:szCs w:val="24"/>
        </w:rPr>
        <w:t xml:space="preserve">y </w:t>
      </w:r>
      <w:r w:rsidR="00883135" w:rsidRPr="00D81030">
        <w:rPr>
          <w:rFonts w:ascii="Bookman Old Style" w:hAnsi="Bookman Old Style"/>
          <w:b/>
          <w:bCs/>
          <w:sz w:val="24"/>
          <w:szCs w:val="24"/>
        </w:rPr>
        <w:t xml:space="preserve">para </w:t>
      </w:r>
      <w:r w:rsidR="000416DC" w:rsidRPr="00D81030">
        <w:rPr>
          <w:rFonts w:ascii="Bookman Old Style" w:hAnsi="Bookman Old Style"/>
          <w:b/>
          <w:bCs/>
          <w:sz w:val="24"/>
          <w:szCs w:val="24"/>
        </w:rPr>
        <w:t>los puntos de referencia en los que se incluyen las fuentes de suministro</w:t>
      </w:r>
      <w:r w:rsidR="00F71198" w:rsidRPr="00D81030">
        <w:rPr>
          <w:rFonts w:ascii="Bookman Old Style" w:hAnsi="Bookman Old Style"/>
          <w:b/>
          <w:bCs/>
          <w:sz w:val="24"/>
          <w:szCs w:val="24"/>
        </w:rPr>
        <w:t xml:space="preserve"> </w:t>
      </w:r>
      <w:r w:rsidRPr="00D81030">
        <w:rPr>
          <w:rFonts w:ascii="Bookman Old Style" w:hAnsi="Bookman Old Style"/>
          <w:b/>
          <w:bCs/>
          <w:sz w:val="24"/>
          <w:szCs w:val="24"/>
        </w:rPr>
        <w:t>para l</w:t>
      </w:r>
      <w:r w:rsidR="000416DC" w:rsidRPr="00D81030">
        <w:rPr>
          <w:rFonts w:ascii="Bookman Old Style" w:hAnsi="Bookman Old Style"/>
          <w:b/>
          <w:bCs/>
          <w:sz w:val="24"/>
          <w:szCs w:val="24"/>
        </w:rPr>
        <w:t>a</w:t>
      </w:r>
      <w:r w:rsidRPr="00D81030">
        <w:rPr>
          <w:rFonts w:ascii="Bookman Old Style" w:hAnsi="Bookman Old Style"/>
          <w:b/>
          <w:bCs/>
          <w:sz w:val="24"/>
          <w:szCs w:val="24"/>
        </w:rPr>
        <w:t>s que declaró PTDVF</w:t>
      </w:r>
      <w:bookmarkEnd w:id="55"/>
      <w:r w:rsidRPr="00D81030">
        <w:rPr>
          <w:rFonts w:ascii="Bookman Old Style" w:hAnsi="Bookman Old Style"/>
          <w:b/>
          <w:bCs/>
          <w:sz w:val="24"/>
          <w:szCs w:val="24"/>
        </w:rPr>
        <w:t xml:space="preserve">.     </w:t>
      </w:r>
    </w:p>
    <w:p w14:paraId="35914028" w14:textId="19912371" w:rsidR="00B719E7" w:rsidRPr="00D81030" w:rsidRDefault="00B719E7" w:rsidP="00B719E7">
      <w:pPr>
        <w:pStyle w:val="Prrafodelista"/>
        <w:rPr>
          <w:b/>
          <w:bCs/>
          <w:sz w:val="24"/>
          <w:szCs w:val="24"/>
        </w:rPr>
      </w:pPr>
    </w:p>
    <w:p w14:paraId="213B4D48" w14:textId="78AAEB5A" w:rsidR="001C2B8E" w:rsidRPr="00D81030" w:rsidRDefault="001C2B8E" w:rsidP="008209C8">
      <w:pPr>
        <w:pStyle w:val="Prrafodelista"/>
        <w:numPr>
          <w:ilvl w:val="2"/>
          <w:numId w:val="85"/>
        </w:numPr>
        <w:ind w:left="851"/>
        <w:jc w:val="both"/>
        <w:outlineLvl w:val="0"/>
        <w:rPr>
          <w:rFonts w:ascii="Bookman Old Style" w:hAnsi="Bookman Old Style"/>
          <w:b/>
          <w:bCs/>
          <w:sz w:val="24"/>
          <w:szCs w:val="24"/>
        </w:rPr>
      </w:pPr>
      <w:r w:rsidRPr="00D81030">
        <w:rPr>
          <w:rFonts w:ascii="Bookman Old Style" w:hAnsi="Bookman Old Style"/>
          <w:b/>
          <w:bCs/>
          <w:sz w:val="24"/>
          <w:szCs w:val="24"/>
        </w:rPr>
        <w:t xml:space="preserve">Los compradores no podrán incluir en el reporte de información </w:t>
      </w:r>
      <w:r w:rsidR="00B00887" w:rsidRPr="00D81030">
        <w:rPr>
          <w:rFonts w:ascii="Bookman Old Style" w:hAnsi="Bookman Old Style"/>
          <w:b/>
          <w:bCs/>
          <w:sz w:val="24"/>
          <w:szCs w:val="24"/>
        </w:rPr>
        <w:t xml:space="preserve">requerida en este literal, aquellas </w:t>
      </w:r>
      <w:r w:rsidRPr="00D81030">
        <w:rPr>
          <w:rFonts w:ascii="Bookman Old Style" w:hAnsi="Bookman Old Style"/>
          <w:b/>
          <w:bCs/>
          <w:sz w:val="24"/>
          <w:szCs w:val="24"/>
        </w:rPr>
        <w:t xml:space="preserve">cantidades para atender Demanda Esencial que </w:t>
      </w:r>
      <w:r w:rsidR="00B00887" w:rsidRPr="00D81030">
        <w:rPr>
          <w:rFonts w:ascii="Bookman Old Style" w:hAnsi="Bookman Old Style"/>
          <w:b/>
          <w:bCs/>
          <w:sz w:val="24"/>
          <w:szCs w:val="24"/>
        </w:rPr>
        <w:t xml:space="preserve">ya </w:t>
      </w:r>
      <w:r w:rsidRPr="00D81030">
        <w:rPr>
          <w:rFonts w:ascii="Bookman Old Style" w:hAnsi="Bookman Old Style"/>
          <w:b/>
          <w:bCs/>
          <w:sz w:val="24"/>
          <w:szCs w:val="24"/>
        </w:rPr>
        <w:t xml:space="preserve">han sido previamente registradas ante el Gestor del Mercado </w:t>
      </w:r>
      <w:r w:rsidR="00535DBB" w:rsidRPr="00D81030">
        <w:rPr>
          <w:rFonts w:ascii="Bookman Old Style" w:hAnsi="Bookman Old Style"/>
          <w:b/>
          <w:bCs/>
          <w:sz w:val="24"/>
          <w:szCs w:val="24"/>
        </w:rPr>
        <w:t xml:space="preserve">para atender esa misma  demanda </w:t>
      </w:r>
      <w:r w:rsidRPr="00D81030">
        <w:rPr>
          <w:rFonts w:ascii="Bookman Old Style" w:hAnsi="Bookman Old Style"/>
          <w:b/>
          <w:bCs/>
          <w:sz w:val="24"/>
          <w:szCs w:val="24"/>
        </w:rPr>
        <w:t xml:space="preserve">en contratos del tipo firme o con garantía de firmeza, incluyendo los contratos registrados en aplicación de lo estipulado en el Parágrafo del </w:t>
      </w:r>
      <w:r w:rsidR="005424DA">
        <w:rPr>
          <w:rFonts w:ascii="Bookman Old Style" w:hAnsi="Bookman Old Style"/>
          <w:b/>
          <w:bCs/>
          <w:sz w:val="24"/>
          <w:szCs w:val="24"/>
        </w:rPr>
        <w:t>a</w:t>
      </w:r>
      <w:r w:rsidRPr="00D81030">
        <w:rPr>
          <w:rFonts w:ascii="Bookman Old Style" w:hAnsi="Bookman Old Style"/>
          <w:b/>
          <w:bCs/>
          <w:sz w:val="24"/>
          <w:szCs w:val="24"/>
        </w:rPr>
        <w:t>rtículo 20 de la presente resolución, en los que se tiene por objeto el servicio de suministro de una cantidad máxima de gas natural sin interrupciones, durante un período determinado, excepto en los días establecidos para mantenimiento y labores programadas.</w:t>
      </w:r>
    </w:p>
    <w:p w14:paraId="7AA18369" w14:textId="77777777" w:rsidR="001C2B8E" w:rsidRPr="00D81030" w:rsidRDefault="001C2B8E" w:rsidP="001C2B8E">
      <w:pPr>
        <w:ind w:left="426"/>
        <w:jc w:val="both"/>
        <w:rPr>
          <w:rFonts w:ascii="Bookman Old Style" w:hAnsi="Bookman Old Style"/>
          <w:b/>
          <w:bCs/>
        </w:rPr>
      </w:pPr>
    </w:p>
    <w:p w14:paraId="0A53257F" w14:textId="787898A8" w:rsidR="00383385" w:rsidRPr="00D81030" w:rsidRDefault="00383385" w:rsidP="008209C8">
      <w:pPr>
        <w:pStyle w:val="Prrafodelista"/>
        <w:numPr>
          <w:ilvl w:val="2"/>
          <w:numId w:val="85"/>
        </w:numPr>
        <w:ind w:left="851" w:hanging="142"/>
        <w:jc w:val="both"/>
        <w:rPr>
          <w:rFonts w:ascii="Bookman Old Style" w:hAnsi="Bookman Old Style"/>
          <w:b/>
          <w:bCs/>
          <w:sz w:val="24"/>
          <w:szCs w:val="24"/>
        </w:rPr>
      </w:pPr>
      <w:r w:rsidRPr="00D81030">
        <w:rPr>
          <w:rFonts w:ascii="Bookman Old Style" w:hAnsi="Bookman Old Style"/>
          <w:b/>
          <w:bCs/>
          <w:sz w:val="24"/>
          <w:szCs w:val="24"/>
        </w:rPr>
        <w:t xml:space="preserve">Los contratos de suministro que se hayan suscrito a partir de campos de hidrocarburos antes de haber declarado su comercialidad ante la ANH, podrán ser registrados posteriormente ante el Gestor del Mercado bajo </w:t>
      </w:r>
      <w:r w:rsidR="00F7656A" w:rsidRPr="00D81030">
        <w:rPr>
          <w:rFonts w:ascii="Bookman Old Style" w:hAnsi="Bookman Old Style"/>
          <w:b/>
          <w:bCs/>
          <w:sz w:val="24"/>
          <w:szCs w:val="24"/>
        </w:rPr>
        <w:t xml:space="preserve">cualesquiera </w:t>
      </w:r>
      <w:r w:rsidRPr="00D81030">
        <w:rPr>
          <w:rFonts w:ascii="Bookman Old Style" w:hAnsi="Bookman Old Style"/>
          <w:b/>
          <w:bCs/>
          <w:sz w:val="24"/>
          <w:szCs w:val="24"/>
        </w:rPr>
        <w:t xml:space="preserve">de las modalidades CREG de tipo firme o con garantía de firmeza, sin necesidad de que el </w:t>
      </w:r>
      <w:r w:rsidR="00AF3F0F" w:rsidRPr="00D81030">
        <w:rPr>
          <w:rFonts w:ascii="Bookman Old Style" w:hAnsi="Bookman Old Style"/>
          <w:b/>
          <w:bCs/>
          <w:sz w:val="24"/>
          <w:szCs w:val="24"/>
        </w:rPr>
        <w:t>comprad</w:t>
      </w:r>
      <w:r w:rsidRPr="00D81030">
        <w:rPr>
          <w:rFonts w:ascii="Bookman Old Style" w:hAnsi="Bookman Old Style"/>
          <w:b/>
          <w:bCs/>
          <w:sz w:val="24"/>
          <w:szCs w:val="24"/>
        </w:rPr>
        <w:t xml:space="preserve">or declare la información requerida en los numerales i. y ii. del presente literal.  </w:t>
      </w:r>
    </w:p>
    <w:p w14:paraId="70096D3B" w14:textId="34B05FB4" w:rsidR="001C2B8E" w:rsidRPr="00D81030" w:rsidRDefault="001C2B8E" w:rsidP="00B719E7">
      <w:pPr>
        <w:pStyle w:val="Prrafodelista"/>
        <w:rPr>
          <w:b/>
          <w:bCs/>
          <w:sz w:val="24"/>
          <w:szCs w:val="24"/>
        </w:rPr>
      </w:pPr>
    </w:p>
    <w:p w14:paraId="77E55F98" w14:textId="5975EE80" w:rsidR="00B719E7" w:rsidRPr="00D81030" w:rsidRDefault="006B45B8" w:rsidP="0029671F">
      <w:pPr>
        <w:pStyle w:val="Prrafodelista"/>
        <w:numPr>
          <w:ilvl w:val="2"/>
          <w:numId w:val="85"/>
        </w:numPr>
        <w:ind w:left="851"/>
        <w:jc w:val="both"/>
        <w:outlineLvl w:val="0"/>
        <w:rPr>
          <w:rFonts w:ascii="Bookman Old Style" w:hAnsi="Bookman Old Style"/>
          <w:b/>
          <w:bCs/>
          <w:sz w:val="24"/>
          <w:szCs w:val="24"/>
        </w:rPr>
      </w:pPr>
      <w:r w:rsidRPr="00D81030">
        <w:rPr>
          <w:rFonts w:ascii="Bookman Old Style" w:hAnsi="Bookman Old Style"/>
          <w:b/>
          <w:bCs/>
          <w:sz w:val="24"/>
          <w:szCs w:val="24"/>
        </w:rPr>
        <w:t xml:space="preserve">Los </w:t>
      </w:r>
      <w:r w:rsidR="009224AA" w:rsidRPr="00D81030">
        <w:rPr>
          <w:rFonts w:ascii="Bookman Old Style" w:hAnsi="Bookman Old Style"/>
          <w:b/>
          <w:bCs/>
          <w:sz w:val="24"/>
          <w:szCs w:val="24"/>
        </w:rPr>
        <w:t>compradores</w:t>
      </w:r>
      <w:r w:rsidRPr="00D81030">
        <w:rPr>
          <w:rFonts w:ascii="Bookman Old Style" w:hAnsi="Bookman Old Style"/>
          <w:b/>
          <w:bCs/>
          <w:sz w:val="24"/>
          <w:szCs w:val="24"/>
        </w:rPr>
        <w:t xml:space="preserve"> que pretendan atender usuarios que hacen parte de la Demanda Esencial deberán presentar la información requerida en forma directa y no </w:t>
      </w:r>
      <w:r w:rsidR="009224AA" w:rsidRPr="00D81030">
        <w:rPr>
          <w:rFonts w:ascii="Bookman Old Style" w:hAnsi="Bookman Old Style"/>
          <w:b/>
          <w:bCs/>
          <w:sz w:val="24"/>
          <w:szCs w:val="24"/>
        </w:rPr>
        <w:t xml:space="preserve">podrán hacerlo </w:t>
      </w:r>
      <w:r w:rsidRPr="00D81030">
        <w:rPr>
          <w:rFonts w:ascii="Bookman Old Style" w:hAnsi="Bookman Old Style"/>
          <w:b/>
          <w:bCs/>
          <w:sz w:val="24"/>
          <w:szCs w:val="24"/>
        </w:rPr>
        <w:t xml:space="preserve">a través de otro comprador. </w:t>
      </w:r>
    </w:p>
    <w:p w14:paraId="27F9AE17" w14:textId="77777777" w:rsidR="0006302B" w:rsidRPr="00D81030" w:rsidRDefault="0006302B" w:rsidP="00571EDB">
      <w:pPr>
        <w:ind w:left="851" w:hanging="851"/>
        <w:jc w:val="both"/>
        <w:outlineLvl w:val="0"/>
        <w:rPr>
          <w:b/>
          <w:bCs/>
        </w:rPr>
      </w:pPr>
    </w:p>
    <w:p w14:paraId="30987C34" w14:textId="6CEA41A5" w:rsidR="0006302B" w:rsidRPr="000A4B7F" w:rsidRDefault="0006302B" w:rsidP="009B62C2">
      <w:pPr>
        <w:pStyle w:val="Prrafodelista"/>
        <w:numPr>
          <w:ilvl w:val="1"/>
          <w:numId w:val="85"/>
        </w:numPr>
        <w:ind w:left="426" w:hanging="426"/>
        <w:jc w:val="both"/>
        <w:outlineLvl w:val="0"/>
        <w:rPr>
          <w:rFonts w:ascii="Bookman Old Style" w:hAnsi="Bookman Old Style"/>
          <w:b/>
          <w:bCs/>
          <w:sz w:val="24"/>
          <w:szCs w:val="24"/>
        </w:rPr>
      </w:pPr>
      <w:r w:rsidRPr="000A4B7F">
        <w:rPr>
          <w:rFonts w:ascii="Bookman Old Style" w:hAnsi="Bookman Old Style"/>
          <w:b/>
          <w:bCs/>
          <w:sz w:val="24"/>
          <w:szCs w:val="24"/>
        </w:rPr>
        <w:t xml:space="preserve">El </w:t>
      </w:r>
      <w:r w:rsidR="0022131A" w:rsidRPr="002D5416">
        <w:rPr>
          <w:rFonts w:ascii="Bookman Old Style" w:hAnsi="Bookman Old Style"/>
          <w:b/>
          <w:sz w:val="24"/>
          <w:szCs w:val="24"/>
          <w:u w:color="FF0000"/>
        </w:rPr>
        <w:t>Gestor</w:t>
      </w:r>
      <w:r w:rsidRPr="000A4B7F">
        <w:rPr>
          <w:rFonts w:ascii="Bookman Old Style" w:hAnsi="Bookman Old Style"/>
          <w:b/>
          <w:bCs/>
          <w:sz w:val="24"/>
          <w:szCs w:val="24"/>
        </w:rPr>
        <w:t xml:space="preserve"> del Mercado deberá publicar la siguiente información, a más tardar el noveno día hábil del </w:t>
      </w:r>
      <w:r>
        <w:rPr>
          <w:rFonts w:ascii="Bookman Old Style" w:hAnsi="Bookman Old Style"/>
          <w:b/>
          <w:bCs/>
          <w:sz w:val="24"/>
          <w:szCs w:val="24"/>
        </w:rPr>
        <w:t>Trimestre Estándar</w:t>
      </w:r>
      <w:r w:rsidRPr="000A4B7F">
        <w:rPr>
          <w:rFonts w:ascii="Bookman Old Style" w:hAnsi="Bookman Old Style"/>
          <w:b/>
          <w:bCs/>
          <w:sz w:val="24"/>
          <w:szCs w:val="24"/>
        </w:rPr>
        <w:t xml:space="preserve"> de negociación, así:</w:t>
      </w:r>
    </w:p>
    <w:p w14:paraId="64E1942E" w14:textId="77777777" w:rsidR="0006302B" w:rsidRPr="00D81030" w:rsidRDefault="0006302B" w:rsidP="00571EDB">
      <w:pPr>
        <w:ind w:left="851" w:hanging="851"/>
        <w:jc w:val="both"/>
        <w:outlineLvl w:val="0"/>
        <w:rPr>
          <w:b/>
          <w:bCs/>
        </w:rPr>
      </w:pPr>
    </w:p>
    <w:p w14:paraId="3CFE98E1" w14:textId="03C1F09B" w:rsidR="0006302B" w:rsidRPr="00D81030" w:rsidRDefault="0006302B" w:rsidP="009B62C2">
      <w:pPr>
        <w:pStyle w:val="Prrafodelista"/>
        <w:numPr>
          <w:ilvl w:val="2"/>
          <w:numId w:val="85"/>
        </w:numPr>
        <w:ind w:left="851" w:hanging="142"/>
        <w:jc w:val="both"/>
        <w:outlineLvl w:val="0"/>
        <w:rPr>
          <w:rFonts w:ascii="Bookman Old Style" w:hAnsi="Bookman Old Style"/>
          <w:b/>
          <w:bCs/>
          <w:sz w:val="24"/>
          <w:szCs w:val="24"/>
        </w:rPr>
      </w:pPr>
      <w:r w:rsidRPr="00D81030">
        <w:rPr>
          <w:rFonts w:ascii="Bookman Old Style" w:hAnsi="Bookman Old Style"/>
          <w:b/>
          <w:bCs/>
          <w:sz w:val="24"/>
          <w:szCs w:val="24"/>
        </w:rPr>
        <w:t xml:space="preserve">Las cantidades totales de PTDVF y/o CIDVF </w:t>
      </w:r>
      <w:r w:rsidR="00766806">
        <w:rPr>
          <w:rFonts w:ascii="Bookman Old Style" w:hAnsi="Bookman Old Style"/>
          <w:b/>
          <w:bCs/>
          <w:sz w:val="24"/>
          <w:szCs w:val="24"/>
        </w:rPr>
        <w:t xml:space="preserve">en MBTUD, </w:t>
      </w:r>
      <w:r w:rsidRPr="00D81030">
        <w:rPr>
          <w:rFonts w:ascii="Bookman Old Style" w:hAnsi="Bookman Old Style"/>
          <w:b/>
          <w:bCs/>
          <w:sz w:val="24"/>
          <w:szCs w:val="24"/>
        </w:rPr>
        <w:t>con un horizonte de diez (10) años</w:t>
      </w:r>
      <w:r w:rsidR="009839A5" w:rsidRPr="00D81030">
        <w:rPr>
          <w:rFonts w:ascii="Bookman Old Style" w:hAnsi="Bookman Old Style"/>
          <w:b/>
          <w:bCs/>
          <w:sz w:val="24"/>
          <w:szCs w:val="24"/>
        </w:rPr>
        <w:t xml:space="preserve"> </w:t>
      </w:r>
      <w:r w:rsidR="00401C2F" w:rsidRPr="00D81030">
        <w:rPr>
          <w:rFonts w:ascii="Bookman Old Style" w:hAnsi="Bookman Old Style"/>
          <w:b/>
          <w:bCs/>
          <w:sz w:val="24"/>
          <w:szCs w:val="24"/>
        </w:rPr>
        <w:t xml:space="preserve">o </w:t>
      </w:r>
      <w:r w:rsidR="00401C2F" w:rsidRPr="00D81030">
        <w:rPr>
          <w:rFonts w:ascii="Bookman Old Style" w:hAnsi="Bookman Old Style"/>
          <w:b/>
          <w:sz w:val="24"/>
          <w:szCs w:val="24"/>
        </w:rPr>
        <w:t>hasta el Trimestre Estándar con el que se cuente con información de PTDV de las declaraciones de producción que se realizan al Ministerio de Minas y Energía</w:t>
      </w:r>
      <w:r w:rsidRPr="00D81030">
        <w:rPr>
          <w:rFonts w:ascii="Bookman Old Style" w:hAnsi="Bookman Old Style"/>
          <w:b/>
          <w:bCs/>
          <w:sz w:val="24"/>
          <w:szCs w:val="24"/>
        </w:rPr>
        <w:t xml:space="preserve">, por mes y modalidad contractual para cada punto(s) de referencia que determine de acuerdo con lo establecido en el literal b del presente </w:t>
      </w:r>
      <w:r w:rsidR="00401C2F" w:rsidRPr="00D81030">
        <w:rPr>
          <w:rFonts w:ascii="Bookman Old Style" w:hAnsi="Bookman Old Style"/>
          <w:b/>
          <w:bCs/>
          <w:sz w:val="24"/>
          <w:szCs w:val="24"/>
        </w:rPr>
        <w:t>artículo</w:t>
      </w:r>
      <w:r w:rsidRPr="00D81030">
        <w:rPr>
          <w:rFonts w:ascii="Bookman Old Style" w:hAnsi="Bookman Old Style"/>
          <w:b/>
          <w:bCs/>
          <w:sz w:val="24"/>
          <w:szCs w:val="24"/>
        </w:rPr>
        <w:t xml:space="preserve">. </w:t>
      </w:r>
    </w:p>
    <w:p w14:paraId="0E3BC65C" w14:textId="77777777" w:rsidR="0006302B" w:rsidRPr="00D81030" w:rsidRDefault="0006302B" w:rsidP="009B62C2">
      <w:pPr>
        <w:pStyle w:val="Prrafodelista"/>
        <w:ind w:left="851" w:hanging="142"/>
        <w:jc w:val="both"/>
        <w:outlineLvl w:val="0"/>
        <w:rPr>
          <w:rFonts w:ascii="Bookman Old Style" w:hAnsi="Bookman Old Style"/>
          <w:b/>
          <w:bCs/>
          <w:sz w:val="24"/>
          <w:szCs w:val="24"/>
        </w:rPr>
      </w:pPr>
    </w:p>
    <w:p w14:paraId="26356A00" w14:textId="1A099AC6" w:rsidR="0006302B" w:rsidRPr="00D81030" w:rsidRDefault="0006302B" w:rsidP="009B62C2">
      <w:pPr>
        <w:pStyle w:val="Prrafodelista"/>
        <w:numPr>
          <w:ilvl w:val="2"/>
          <w:numId w:val="85"/>
        </w:numPr>
        <w:ind w:left="851" w:hanging="142"/>
        <w:jc w:val="both"/>
        <w:outlineLvl w:val="0"/>
        <w:rPr>
          <w:rFonts w:ascii="Bookman Old Style" w:hAnsi="Bookman Old Style"/>
          <w:b/>
          <w:bCs/>
          <w:sz w:val="24"/>
          <w:szCs w:val="24"/>
        </w:rPr>
      </w:pPr>
      <w:r w:rsidRPr="00D81030">
        <w:rPr>
          <w:rFonts w:ascii="Bookman Old Style" w:hAnsi="Bookman Old Style"/>
          <w:b/>
          <w:bCs/>
          <w:sz w:val="24"/>
          <w:szCs w:val="24"/>
        </w:rPr>
        <w:lastRenderedPageBreak/>
        <w:t xml:space="preserve">Las cantidades totales que los compradores señalados en el </w:t>
      </w:r>
      <w:r w:rsidR="001160E6">
        <w:rPr>
          <w:rFonts w:ascii="Bookman Old Style" w:hAnsi="Bookman Old Style"/>
          <w:b/>
          <w:bCs/>
          <w:sz w:val="24"/>
          <w:szCs w:val="24"/>
        </w:rPr>
        <w:t>a</w:t>
      </w:r>
      <w:r w:rsidRPr="00D81030">
        <w:rPr>
          <w:rFonts w:ascii="Bookman Old Style" w:hAnsi="Bookman Old Style"/>
          <w:b/>
          <w:bCs/>
          <w:sz w:val="24"/>
          <w:szCs w:val="24"/>
        </w:rPr>
        <w:t xml:space="preserve">rtículo 17 de la presente Resolución, </w:t>
      </w:r>
      <w:r w:rsidR="00F7656A" w:rsidRPr="00D81030">
        <w:rPr>
          <w:rFonts w:ascii="Bookman Old Style" w:hAnsi="Bookman Old Style"/>
          <w:b/>
          <w:bCs/>
          <w:sz w:val="24"/>
          <w:szCs w:val="24"/>
        </w:rPr>
        <w:t>desean adquirir</w:t>
      </w:r>
      <w:r w:rsidR="00766806">
        <w:rPr>
          <w:rFonts w:ascii="Bookman Old Style" w:hAnsi="Bookman Old Style"/>
          <w:b/>
          <w:bCs/>
          <w:sz w:val="24"/>
          <w:szCs w:val="24"/>
        </w:rPr>
        <w:t xml:space="preserve"> en MBTUD</w:t>
      </w:r>
      <w:r w:rsidR="00F7656A" w:rsidRPr="00D81030">
        <w:rPr>
          <w:rFonts w:ascii="Bookman Old Style" w:hAnsi="Bookman Old Style"/>
          <w:b/>
          <w:bCs/>
          <w:sz w:val="24"/>
          <w:szCs w:val="24"/>
        </w:rPr>
        <w:t xml:space="preserve">, </w:t>
      </w:r>
      <w:r w:rsidRPr="00D81030">
        <w:rPr>
          <w:rFonts w:ascii="Bookman Old Style" w:hAnsi="Bookman Old Style"/>
          <w:b/>
          <w:bCs/>
          <w:sz w:val="24"/>
          <w:szCs w:val="24"/>
        </w:rPr>
        <w:t>por Punto de Referencia</w:t>
      </w:r>
      <w:r w:rsidR="00F43A72" w:rsidRPr="00D81030">
        <w:rPr>
          <w:rFonts w:ascii="Bookman Old Style" w:hAnsi="Bookman Old Style"/>
          <w:b/>
          <w:bCs/>
          <w:sz w:val="24"/>
          <w:szCs w:val="24"/>
        </w:rPr>
        <w:t xml:space="preserve"> y por</w:t>
      </w:r>
      <w:r w:rsidRPr="00D81030">
        <w:rPr>
          <w:rFonts w:ascii="Bookman Old Style" w:hAnsi="Bookman Old Style"/>
          <w:b/>
          <w:bCs/>
          <w:sz w:val="24"/>
          <w:szCs w:val="24"/>
        </w:rPr>
        <w:t xml:space="preserve"> Trimestre Estándar</w:t>
      </w:r>
      <w:r w:rsidR="00F43A72" w:rsidRPr="00D81030">
        <w:rPr>
          <w:rFonts w:ascii="Bookman Old Style" w:hAnsi="Bookman Old Style"/>
          <w:b/>
          <w:bCs/>
          <w:sz w:val="24"/>
          <w:szCs w:val="24"/>
        </w:rPr>
        <w:t xml:space="preserve">, </w:t>
      </w:r>
      <w:r w:rsidRPr="00D81030">
        <w:rPr>
          <w:rFonts w:ascii="Bookman Old Style" w:hAnsi="Bookman Old Style"/>
          <w:b/>
          <w:bCs/>
          <w:sz w:val="24"/>
          <w:szCs w:val="24"/>
        </w:rPr>
        <w:t>para cada uno de los trimestres estándar siguientes al Trimestre Estándar de negociación.</w:t>
      </w:r>
    </w:p>
    <w:p w14:paraId="6A304CC7" w14:textId="77777777" w:rsidR="0006302B" w:rsidRPr="00D81030" w:rsidRDefault="0006302B" w:rsidP="009B62C2">
      <w:pPr>
        <w:pStyle w:val="Prrafodelista"/>
        <w:ind w:left="851" w:hanging="142"/>
        <w:rPr>
          <w:rFonts w:ascii="Bookman Old Style" w:hAnsi="Bookman Old Style"/>
          <w:b/>
          <w:bCs/>
          <w:sz w:val="24"/>
          <w:szCs w:val="24"/>
        </w:rPr>
      </w:pPr>
    </w:p>
    <w:p w14:paraId="59FE52C5" w14:textId="4A5B091C" w:rsidR="0006302B" w:rsidRPr="00D81030" w:rsidRDefault="0006302B" w:rsidP="009B62C2">
      <w:pPr>
        <w:pStyle w:val="Prrafodelista"/>
        <w:numPr>
          <w:ilvl w:val="2"/>
          <w:numId w:val="85"/>
        </w:numPr>
        <w:ind w:left="851" w:hanging="142"/>
        <w:jc w:val="both"/>
        <w:outlineLvl w:val="0"/>
        <w:rPr>
          <w:rFonts w:ascii="Bookman Old Style" w:hAnsi="Bookman Old Style"/>
          <w:b/>
          <w:bCs/>
          <w:sz w:val="24"/>
          <w:szCs w:val="24"/>
        </w:rPr>
      </w:pPr>
      <w:r w:rsidRPr="00D81030">
        <w:rPr>
          <w:rFonts w:ascii="Bookman Old Style" w:hAnsi="Bookman Old Style"/>
          <w:b/>
          <w:bCs/>
          <w:sz w:val="24"/>
          <w:szCs w:val="24"/>
        </w:rPr>
        <w:t xml:space="preserve">En la publicación de la información se deberá incluir el detalle de los </w:t>
      </w:r>
      <w:r w:rsidR="000E6131" w:rsidRPr="00D81030">
        <w:rPr>
          <w:rFonts w:ascii="Bookman Old Style" w:hAnsi="Bookman Old Style"/>
          <w:b/>
          <w:bCs/>
          <w:sz w:val="24"/>
          <w:szCs w:val="24"/>
        </w:rPr>
        <w:t xml:space="preserve">Puntos </w:t>
      </w:r>
      <w:r w:rsidRPr="00D81030">
        <w:rPr>
          <w:rFonts w:ascii="Bookman Old Style" w:hAnsi="Bookman Old Style"/>
          <w:b/>
          <w:bCs/>
          <w:sz w:val="24"/>
          <w:szCs w:val="24"/>
        </w:rPr>
        <w:t xml:space="preserve">de </w:t>
      </w:r>
      <w:r w:rsidR="000E6131" w:rsidRPr="00D81030">
        <w:rPr>
          <w:rFonts w:ascii="Bookman Old Style" w:hAnsi="Bookman Old Style"/>
          <w:b/>
          <w:bCs/>
          <w:sz w:val="24"/>
          <w:szCs w:val="24"/>
        </w:rPr>
        <w:t>Entrega</w:t>
      </w:r>
      <w:r w:rsidR="00C96B6C" w:rsidRPr="00D81030">
        <w:rPr>
          <w:rFonts w:ascii="Bookman Old Style" w:hAnsi="Bookman Old Style"/>
          <w:b/>
          <w:bCs/>
          <w:sz w:val="24"/>
          <w:szCs w:val="24"/>
        </w:rPr>
        <w:t xml:space="preserve"> por cada Punto de Referencia establecido</w:t>
      </w:r>
      <w:r w:rsidRPr="00D81030">
        <w:rPr>
          <w:rFonts w:ascii="Bookman Old Style" w:hAnsi="Bookman Old Style"/>
          <w:b/>
          <w:bCs/>
          <w:sz w:val="24"/>
          <w:szCs w:val="24"/>
        </w:rPr>
        <w:t>, especificando si corresponde o no a un Punto de Entrada al SNT o un Punto de Importación, y si se trata de Fuentes de Suministro aisladas, gas natural, gas natural licuado</w:t>
      </w:r>
      <w:r w:rsidR="000E6131" w:rsidRPr="00D81030">
        <w:rPr>
          <w:rFonts w:ascii="Bookman Old Style" w:hAnsi="Bookman Old Style"/>
          <w:b/>
          <w:bCs/>
          <w:sz w:val="24"/>
          <w:szCs w:val="24"/>
        </w:rPr>
        <w:t>-GNL</w:t>
      </w:r>
      <w:r w:rsidRPr="00D81030">
        <w:rPr>
          <w:rFonts w:ascii="Bookman Old Style" w:hAnsi="Bookman Old Style"/>
          <w:b/>
          <w:bCs/>
          <w:sz w:val="24"/>
          <w:szCs w:val="24"/>
        </w:rPr>
        <w:t xml:space="preserve"> y</w:t>
      </w:r>
      <w:r w:rsidR="00E23D78">
        <w:rPr>
          <w:rFonts w:ascii="Bookman Old Style" w:hAnsi="Bookman Old Style"/>
          <w:b/>
          <w:bCs/>
          <w:sz w:val="24"/>
          <w:szCs w:val="24"/>
        </w:rPr>
        <w:t>/o</w:t>
      </w:r>
      <w:r w:rsidRPr="00D81030">
        <w:rPr>
          <w:rFonts w:ascii="Bookman Old Style" w:hAnsi="Bookman Old Style"/>
          <w:b/>
          <w:bCs/>
          <w:sz w:val="24"/>
          <w:szCs w:val="24"/>
        </w:rPr>
        <w:t xml:space="preserve"> gas natural comprimido</w:t>
      </w:r>
      <w:r w:rsidR="000E6131" w:rsidRPr="00D81030">
        <w:rPr>
          <w:rFonts w:ascii="Bookman Old Style" w:hAnsi="Bookman Old Style"/>
          <w:b/>
          <w:bCs/>
          <w:sz w:val="24"/>
          <w:szCs w:val="24"/>
        </w:rPr>
        <w:t>-GNC</w:t>
      </w:r>
      <w:r w:rsidR="00DC0BD4" w:rsidRPr="00D81030">
        <w:rPr>
          <w:rFonts w:ascii="Bookman Old Style" w:hAnsi="Bookman Old Style"/>
          <w:b/>
          <w:bCs/>
          <w:sz w:val="24"/>
          <w:szCs w:val="24"/>
        </w:rPr>
        <w:t>.</w:t>
      </w:r>
      <w:r w:rsidR="00D17AF5" w:rsidRPr="00D81030">
        <w:rPr>
          <w:rFonts w:ascii="Bookman Old Style" w:hAnsi="Bookman Old Style"/>
          <w:b/>
          <w:bCs/>
          <w:sz w:val="24"/>
          <w:szCs w:val="24"/>
        </w:rPr>
        <w:t xml:space="preserve"> </w:t>
      </w:r>
    </w:p>
    <w:p w14:paraId="0CBA3FAA" w14:textId="77777777" w:rsidR="0006302B" w:rsidRPr="00D81030" w:rsidRDefault="0006302B" w:rsidP="00571EDB">
      <w:pPr>
        <w:ind w:left="851" w:hanging="851"/>
        <w:jc w:val="both"/>
        <w:outlineLvl w:val="0"/>
        <w:rPr>
          <w:b/>
          <w:bCs/>
        </w:rPr>
      </w:pPr>
    </w:p>
    <w:p w14:paraId="6029060B" w14:textId="7D835A9E" w:rsidR="0006302B" w:rsidRDefault="0006302B" w:rsidP="00DC0BD4">
      <w:pPr>
        <w:pStyle w:val="Prrafodelista"/>
        <w:numPr>
          <w:ilvl w:val="1"/>
          <w:numId w:val="85"/>
        </w:numPr>
        <w:ind w:left="426" w:hanging="426"/>
        <w:jc w:val="both"/>
        <w:outlineLvl w:val="0"/>
        <w:rPr>
          <w:rFonts w:ascii="Bookman Old Style" w:hAnsi="Bookman Old Style"/>
          <w:b/>
          <w:bCs/>
          <w:sz w:val="24"/>
          <w:szCs w:val="24"/>
        </w:rPr>
      </w:pPr>
      <w:r w:rsidRPr="00D81030">
        <w:rPr>
          <w:rFonts w:ascii="Bookman Old Style" w:hAnsi="Bookman Old Style"/>
          <w:b/>
          <w:bCs/>
          <w:sz w:val="24"/>
          <w:szCs w:val="24"/>
        </w:rPr>
        <w:t xml:space="preserve">Los compradores señalados en el </w:t>
      </w:r>
      <w:r w:rsidR="001160E6">
        <w:rPr>
          <w:rFonts w:ascii="Bookman Old Style" w:hAnsi="Bookman Old Style"/>
          <w:b/>
          <w:bCs/>
          <w:sz w:val="24"/>
          <w:szCs w:val="24"/>
        </w:rPr>
        <w:t>a</w:t>
      </w:r>
      <w:r w:rsidRPr="00D81030">
        <w:rPr>
          <w:rFonts w:ascii="Bookman Old Style" w:hAnsi="Bookman Old Style"/>
          <w:b/>
          <w:bCs/>
          <w:sz w:val="24"/>
          <w:szCs w:val="24"/>
        </w:rPr>
        <w:t xml:space="preserve">rtículo 17 de la presente Resolución, que </w:t>
      </w:r>
      <w:r w:rsidR="00F7656A" w:rsidRPr="00D81030">
        <w:rPr>
          <w:rFonts w:ascii="Bookman Old Style" w:hAnsi="Bookman Old Style"/>
          <w:b/>
          <w:bCs/>
          <w:sz w:val="24"/>
          <w:szCs w:val="24"/>
        </w:rPr>
        <w:t>re</w:t>
      </w:r>
      <w:r w:rsidRPr="00D81030">
        <w:rPr>
          <w:rFonts w:ascii="Bookman Old Style" w:hAnsi="Bookman Old Style"/>
          <w:b/>
          <w:bCs/>
          <w:sz w:val="24"/>
          <w:szCs w:val="24"/>
        </w:rPr>
        <w:t xml:space="preserve">quieran suministro de gas natural para </w:t>
      </w:r>
      <w:r w:rsidRPr="00D81030">
        <w:rPr>
          <w:rFonts w:ascii="Bookman Old Style" w:hAnsi="Bookman Old Style"/>
          <w:b/>
          <w:bCs/>
          <w:sz w:val="24"/>
          <w:szCs w:val="24"/>
          <w:lang w:val="es-ES"/>
        </w:rPr>
        <w:t>asumir y cumplir</w:t>
      </w:r>
      <w:r w:rsidRPr="00D81030">
        <w:rPr>
          <w:rFonts w:ascii="Bookman Old Style" w:hAnsi="Bookman Old Style"/>
          <w:b/>
          <w:bCs/>
          <w:sz w:val="24"/>
          <w:lang w:val="es-ES"/>
        </w:rPr>
        <w:t xml:space="preserve"> compromisos </w:t>
      </w:r>
      <w:r w:rsidRPr="00D81030">
        <w:rPr>
          <w:rFonts w:ascii="Bookman Old Style" w:hAnsi="Bookman Old Style"/>
          <w:b/>
          <w:bCs/>
          <w:sz w:val="24"/>
          <w:szCs w:val="24"/>
          <w:lang w:val="es-ES"/>
        </w:rPr>
        <w:t xml:space="preserve">contractuales firmes o que </w:t>
      </w:r>
      <w:r w:rsidR="00030C5B">
        <w:rPr>
          <w:rFonts w:ascii="Bookman Old Style" w:hAnsi="Bookman Old Style"/>
          <w:b/>
          <w:bCs/>
          <w:sz w:val="24"/>
          <w:szCs w:val="24"/>
          <w:lang w:val="es-ES"/>
        </w:rPr>
        <w:t>garantizan firmeza</w:t>
      </w:r>
      <w:r w:rsidRPr="00D81030">
        <w:rPr>
          <w:rFonts w:ascii="Bookman Old Style" w:hAnsi="Bookman Old Style"/>
          <w:b/>
          <w:bCs/>
          <w:sz w:val="24"/>
          <w:szCs w:val="24"/>
        </w:rPr>
        <w:t xml:space="preserve">, a más tardar el décimo segundo día hábil del Trimestre Estándar de negociación, deberán presentar al </w:t>
      </w:r>
      <w:r w:rsidR="0022131A" w:rsidRPr="00D81030">
        <w:rPr>
          <w:rFonts w:ascii="Bookman Old Style" w:hAnsi="Bookman Old Style"/>
          <w:b/>
          <w:sz w:val="24"/>
          <w:szCs w:val="24"/>
        </w:rPr>
        <w:t>Gestor</w:t>
      </w:r>
      <w:r w:rsidRPr="00D81030">
        <w:rPr>
          <w:rFonts w:ascii="Bookman Old Style" w:hAnsi="Bookman Old Style"/>
          <w:b/>
          <w:sz w:val="24"/>
          <w:szCs w:val="24"/>
        </w:rPr>
        <w:t xml:space="preserve"> del</w:t>
      </w:r>
      <w:r w:rsidRPr="00D81030">
        <w:rPr>
          <w:rFonts w:ascii="Bookman Old Style" w:hAnsi="Bookman Old Style"/>
          <w:b/>
          <w:bCs/>
          <w:sz w:val="24"/>
          <w:szCs w:val="24"/>
        </w:rPr>
        <w:t xml:space="preserve"> Mercado el reporte de la información de cantidades que se obligan </w:t>
      </w:r>
      <w:r w:rsidR="00F7656A" w:rsidRPr="00D81030">
        <w:rPr>
          <w:rFonts w:ascii="Bookman Old Style" w:hAnsi="Bookman Old Style"/>
          <w:b/>
          <w:bCs/>
          <w:sz w:val="24"/>
          <w:szCs w:val="24"/>
        </w:rPr>
        <w:t xml:space="preserve">a </w:t>
      </w:r>
      <w:r w:rsidRPr="00D81030">
        <w:rPr>
          <w:rFonts w:ascii="Bookman Old Style" w:hAnsi="Bookman Old Style"/>
          <w:b/>
          <w:bCs/>
          <w:sz w:val="24"/>
          <w:szCs w:val="24"/>
        </w:rPr>
        <w:t xml:space="preserve">adquirir, como </w:t>
      </w:r>
      <w:r w:rsidR="002B120E">
        <w:rPr>
          <w:rFonts w:ascii="Bookman Old Style" w:hAnsi="Bookman Old Style"/>
          <w:b/>
          <w:bCs/>
          <w:sz w:val="24"/>
          <w:szCs w:val="24"/>
        </w:rPr>
        <w:t>mínimo</w:t>
      </w:r>
      <w:r w:rsidRPr="00D81030">
        <w:rPr>
          <w:rFonts w:ascii="Bookman Old Style" w:hAnsi="Bookman Old Style"/>
          <w:b/>
          <w:bCs/>
          <w:sz w:val="24"/>
          <w:szCs w:val="24"/>
        </w:rPr>
        <w:t xml:space="preserve">, en el Mercado Primario, para el caso de </w:t>
      </w:r>
      <w:r w:rsidR="00642808" w:rsidRPr="00D81030">
        <w:rPr>
          <w:rFonts w:ascii="Bookman Old Style" w:hAnsi="Bookman Old Style"/>
          <w:b/>
          <w:bCs/>
          <w:sz w:val="24"/>
          <w:szCs w:val="24"/>
        </w:rPr>
        <w:t>encont</w:t>
      </w:r>
      <w:r w:rsidR="00486968" w:rsidRPr="00D81030">
        <w:rPr>
          <w:rFonts w:ascii="Bookman Old Style" w:hAnsi="Bookman Old Style"/>
          <w:b/>
          <w:bCs/>
          <w:sz w:val="24"/>
          <w:szCs w:val="24"/>
        </w:rPr>
        <w:t>ra</w:t>
      </w:r>
      <w:r w:rsidR="00642808" w:rsidRPr="00D81030">
        <w:rPr>
          <w:rFonts w:ascii="Bookman Old Style" w:hAnsi="Bookman Old Style"/>
          <w:b/>
          <w:bCs/>
          <w:sz w:val="24"/>
          <w:szCs w:val="24"/>
        </w:rPr>
        <w:t>rse un déficit de oferta comercial</w:t>
      </w:r>
      <w:r w:rsidR="00F7656A" w:rsidRPr="00D81030">
        <w:rPr>
          <w:rFonts w:ascii="Bookman Old Style" w:hAnsi="Bookman Old Style"/>
          <w:b/>
          <w:bCs/>
          <w:sz w:val="24"/>
          <w:szCs w:val="24"/>
        </w:rPr>
        <w:t>. La información anterior se debe entregar</w:t>
      </w:r>
      <w:r w:rsidRPr="00D81030">
        <w:rPr>
          <w:rFonts w:ascii="Bookman Old Style" w:hAnsi="Bookman Old Style"/>
          <w:b/>
          <w:bCs/>
          <w:sz w:val="24"/>
          <w:szCs w:val="24"/>
        </w:rPr>
        <w:t xml:space="preserve"> con el mismo nivel de detalle que se establece en el literal c. del presente numeral. En el caso del suministro para los primeros veinte (20) trimestres estándar siguientes al Trimestre Estándar de negociación, las cantidades podrán ser menores a las </w:t>
      </w:r>
      <w:r w:rsidR="00F7656A" w:rsidRPr="00D81030">
        <w:rPr>
          <w:rFonts w:ascii="Bookman Old Style" w:hAnsi="Bookman Old Style"/>
          <w:b/>
          <w:bCs/>
          <w:sz w:val="24"/>
          <w:szCs w:val="24"/>
        </w:rPr>
        <w:t xml:space="preserve">que se desean adquirir </w:t>
      </w:r>
      <w:r w:rsidRPr="00D81030">
        <w:rPr>
          <w:rFonts w:ascii="Bookman Old Style" w:hAnsi="Bookman Old Style"/>
          <w:b/>
          <w:bCs/>
          <w:sz w:val="24"/>
          <w:szCs w:val="24"/>
        </w:rPr>
        <w:t xml:space="preserve">de acuerdo con el literal c. del presente </w:t>
      </w:r>
      <w:r w:rsidR="00401C2F" w:rsidRPr="00D81030">
        <w:rPr>
          <w:rFonts w:ascii="Bookman Old Style" w:hAnsi="Bookman Old Style"/>
          <w:b/>
          <w:bCs/>
          <w:sz w:val="24"/>
          <w:szCs w:val="24"/>
        </w:rPr>
        <w:t>artículo</w:t>
      </w:r>
      <w:r w:rsidRPr="00D81030">
        <w:rPr>
          <w:rFonts w:ascii="Bookman Old Style" w:hAnsi="Bookman Old Style"/>
          <w:b/>
          <w:bCs/>
          <w:sz w:val="24"/>
          <w:szCs w:val="24"/>
        </w:rPr>
        <w:t>, excepto</w:t>
      </w:r>
      <w:r w:rsidRPr="004263EC">
        <w:rPr>
          <w:rFonts w:ascii="Bookman Old Style" w:hAnsi="Bookman Old Style"/>
          <w:b/>
          <w:bCs/>
          <w:sz w:val="24"/>
          <w:szCs w:val="24"/>
        </w:rPr>
        <w:t xml:space="preserve"> en el caso de las cantidades para atender la</w:t>
      </w:r>
      <w:r w:rsidRPr="000A4B7F">
        <w:rPr>
          <w:rFonts w:ascii="Bookman Old Style" w:hAnsi="Bookman Old Style"/>
          <w:b/>
          <w:bCs/>
          <w:sz w:val="24"/>
          <w:szCs w:val="24"/>
        </w:rPr>
        <w:t xml:space="preserve"> Demanda Esencial</w:t>
      </w:r>
      <w:r w:rsidR="004E2498">
        <w:rPr>
          <w:rFonts w:ascii="Bookman Old Style" w:hAnsi="Bookman Old Style"/>
          <w:b/>
          <w:bCs/>
          <w:sz w:val="24"/>
          <w:szCs w:val="24"/>
        </w:rPr>
        <w:t xml:space="preserve"> </w:t>
      </w:r>
      <w:r w:rsidR="00F7656A">
        <w:rPr>
          <w:rFonts w:ascii="Bookman Old Style" w:hAnsi="Bookman Old Style"/>
          <w:b/>
          <w:bCs/>
          <w:sz w:val="24"/>
          <w:szCs w:val="24"/>
        </w:rPr>
        <w:t>de usuarios regulados</w:t>
      </w:r>
      <w:r w:rsidRPr="000A4B7F">
        <w:rPr>
          <w:rFonts w:ascii="Bookman Old Style" w:hAnsi="Bookman Old Style"/>
          <w:b/>
          <w:bCs/>
          <w:sz w:val="24"/>
          <w:szCs w:val="24"/>
        </w:rPr>
        <w:t xml:space="preserve">, que </w:t>
      </w:r>
      <w:r>
        <w:rPr>
          <w:rFonts w:ascii="Bookman Old Style" w:hAnsi="Bookman Old Style"/>
          <w:b/>
          <w:bCs/>
          <w:sz w:val="24"/>
          <w:szCs w:val="24"/>
        </w:rPr>
        <w:t xml:space="preserve">se </w:t>
      </w:r>
      <w:r w:rsidRPr="000A4B7F">
        <w:rPr>
          <w:rFonts w:ascii="Bookman Old Style" w:hAnsi="Bookman Old Style"/>
          <w:b/>
          <w:bCs/>
          <w:sz w:val="24"/>
          <w:szCs w:val="24"/>
        </w:rPr>
        <w:t xml:space="preserve">deben </w:t>
      </w:r>
      <w:r>
        <w:rPr>
          <w:rFonts w:ascii="Bookman Old Style" w:hAnsi="Bookman Old Style"/>
          <w:b/>
          <w:bCs/>
          <w:sz w:val="24"/>
          <w:szCs w:val="24"/>
        </w:rPr>
        <w:t xml:space="preserve">mantener </w:t>
      </w:r>
      <w:r w:rsidRPr="000A4B7F">
        <w:rPr>
          <w:rFonts w:ascii="Bookman Old Style" w:hAnsi="Bookman Old Style"/>
          <w:b/>
          <w:bCs/>
          <w:sz w:val="24"/>
          <w:szCs w:val="24"/>
        </w:rPr>
        <w:t>iguales.</w:t>
      </w:r>
      <w:r w:rsidR="00471528">
        <w:rPr>
          <w:rFonts w:ascii="Bookman Old Style" w:hAnsi="Bookman Old Style"/>
          <w:b/>
          <w:bCs/>
          <w:sz w:val="24"/>
          <w:szCs w:val="24"/>
        </w:rPr>
        <w:t xml:space="preserve"> </w:t>
      </w:r>
    </w:p>
    <w:p w14:paraId="36156A98" w14:textId="77777777" w:rsidR="00471528" w:rsidRDefault="00471528" w:rsidP="00471528">
      <w:pPr>
        <w:jc w:val="both"/>
        <w:outlineLvl w:val="0"/>
        <w:rPr>
          <w:rFonts w:ascii="Bookman Old Style" w:hAnsi="Bookman Old Style"/>
          <w:b/>
          <w:bCs/>
        </w:rPr>
      </w:pPr>
    </w:p>
    <w:p w14:paraId="19C6692F" w14:textId="6FBC7B71" w:rsidR="00471528" w:rsidRPr="00295053" w:rsidRDefault="00471528" w:rsidP="00295053">
      <w:pPr>
        <w:ind w:left="426"/>
        <w:jc w:val="both"/>
        <w:outlineLvl w:val="0"/>
        <w:rPr>
          <w:rFonts w:ascii="Bookman Old Style" w:hAnsi="Bookman Old Style"/>
          <w:b/>
          <w:bCs/>
        </w:rPr>
      </w:pPr>
      <w:r>
        <w:rPr>
          <w:rFonts w:ascii="Bookman Old Style" w:hAnsi="Bookman Old Style"/>
          <w:b/>
          <w:bCs/>
        </w:rPr>
        <w:t>En el caso de las cantidades requeridas para atender a los usuarios no regulados que hacen parte de la Demanda Esencial que se declaren, se deberá especificar qué cantidad</w:t>
      </w:r>
      <w:r w:rsidR="00460AAD">
        <w:rPr>
          <w:rFonts w:ascii="Bookman Old Style" w:hAnsi="Bookman Old Style"/>
          <w:b/>
          <w:bCs/>
        </w:rPr>
        <w:t>,</w:t>
      </w:r>
      <w:r>
        <w:rPr>
          <w:rFonts w:ascii="Bookman Old Style" w:hAnsi="Bookman Old Style"/>
          <w:b/>
          <w:bCs/>
        </w:rPr>
        <w:t xml:space="preserve"> </w:t>
      </w:r>
      <w:r w:rsidR="00460AAD">
        <w:rPr>
          <w:rFonts w:ascii="Bookman Old Style" w:hAnsi="Bookman Old Style"/>
          <w:b/>
          <w:bCs/>
        </w:rPr>
        <w:t xml:space="preserve">en caso de obtenerse un balance comercial deficitario para un punto de referencia en un trimestre estándar de suministro, se requiere ser asignada </w:t>
      </w:r>
      <w:r>
        <w:rPr>
          <w:rFonts w:ascii="Bookman Old Style" w:hAnsi="Bookman Old Style"/>
          <w:b/>
          <w:bCs/>
        </w:rPr>
        <w:t>dentro de la distribución que debe hacer el Gestor del Mercado en aplicación de lo establecido</w:t>
      </w:r>
      <w:r w:rsidR="00460AAD">
        <w:rPr>
          <w:rFonts w:ascii="Bookman Old Style" w:hAnsi="Bookman Old Style"/>
          <w:b/>
          <w:bCs/>
        </w:rPr>
        <w:t xml:space="preserve"> en el literal d. del numeral 2. del </w:t>
      </w:r>
      <w:r w:rsidR="00DE5114">
        <w:rPr>
          <w:rFonts w:ascii="Bookman Old Style" w:hAnsi="Bookman Old Style"/>
          <w:b/>
          <w:bCs/>
        </w:rPr>
        <w:t>a</w:t>
      </w:r>
      <w:r w:rsidR="00460AAD">
        <w:rPr>
          <w:rFonts w:ascii="Bookman Old Style" w:hAnsi="Bookman Old Style"/>
          <w:b/>
          <w:bCs/>
        </w:rPr>
        <w:t>rtículo 22 de la presente resolución y qué cantidad será parte de la asignación de la subasta que se desarrolle en tal caso</w:t>
      </w:r>
      <w:r w:rsidR="00CD18B2">
        <w:rPr>
          <w:rFonts w:ascii="Bookman Old Style" w:hAnsi="Bookman Old Style"/>
          <w:b/>
          <w:bCs/>
        </w:rPr>
        <w:t xml:space="preserve"> o a </w:t>
      </w:r>
      <w:r w:rsidR="00CD18B2" w:rsidRPr="00CD18B2">
        <w:rPr>
          <w:rFonts w:ascii="Bookman Old Style" w:hAnsi="Bookman Old Style"/>
          <w:b/>
          <w:bCs/>
        </w:rPr>
        <w:t>través del mecanismo de mercado establecido por el vendedor</w:t>
      </w:r>
      <w:r w:rsidR="00CD18B2">
        <w:rPr>
          <w:rFonts w:ascii="Bookman Old Style" w:hAnsi="Bookman Old Style"/>
          <w:b/>
          <w:bCs/>
        </w:rPr>
        <w:t xml:space="preserve"> en el caso de fuentes de suministro del </w:t>
      </w:r>
      <w:r w:rsidR="00DE5114">
        <w:rPr>
          <w:rFonts w:ascii="Bookman Old Style" w:hAnsi="Bookman Old Style"/>
          <w:b/>
          <w:bCs/>
        </w:rPr>
        <w:t>a</w:t>
      </w:r>
      <w:r w:rsidR="00CD18B2">
        <w:rPr>
          <w:rFonts w:ascii="Bookman Old Style" w:hAnsi="Bookman Old Style"/>
          <w:b/>
          <w:bCs/>
        </w:rPr>
        <w:t>rtículo 19 de la presente resolución</w:t>
      </w:r>
      <w:r w:rsidR="00460AAD">
        <w:rPr>
          <w:rFonts w:ascii="Bookman Old Style" w:hAnsi="Bookman Old Style"/>
          <w:b/>
          <w:bCs/>
        </w:rPr>
        <w:t>.</w:t>
      </w:r>
    </w:p>
    <w:p w14:paraId="2053AB7A" w14:textId="161FB5D0" w:rsidR="008362A7" w:rsidRDefault="008362A7" w:rsidP="008362A7">
      <w:pPr>
        <w:jc w:val="both"/>
        <w:outlineLvl w:val="0"/>
        <w:rPr>
          <w:rFonts w:ascii="Bookman Old Style" w:hAnsi="Bookman Old Style"/>
          <w:b/>
          <w:bCs/>
        </w:rPr>
      </w:pPr>
    </w:p>
    <w:p w14:paraId="598E9E63" w14:textId="08D5280F" w:rsidR="008362A7" w:rsidRPr="00D81030" w:rsidRDefault="002827C5" w:rsidP="002827C5">
      <w:pPr>
        <w:ind w:left="426"/>
        <w:jc w:val="both"/>
        <w:outlineLvl w:val="0"/>
        <w:rPr>
          <w:rFonts w:ascii="Bookman Old Style" w:hAnsi="Bookman Old Style"/>
          <w:b/>
          <w:bCs/>
        </w:rPr>
      </w:pPr>
      <w:bookmarkStart w:id="56" w:name="_Hlk122347910"/>
      <w:r w:rsidRPr="00D81030">
        <w:rPr>
          <w:rFonts w:ascii="Bookman Old Style" w:hAnsi="Bookman Old Style"/>
          <w:b/>
          <w:bCs/>
        </w:rPr>
        <w:t>Los</w:t>
      </w:r>
      <w:r w:rsidR="008F29A2" w:rsidRPr="00D81030">
        <w:rPr>
          <w:rFonts w:ascii="Bookman Old Style" w:hAnsi="Bookman Old Style"/>
          <w:b/>
          <w:bCs/>
        </w:rPr>
        <w:t xml:space="preserve"> </w:t>
      </w:r>
      <w:r w:rsidR="002E7528" w:rsidRPr="00D81030">
        <w:rPr>
          <w:rFonts w:ascii="Bookman Old Style" w:hAnsi="Bookman Old Style"/>
          <w:b/>
          <w:bCs/>
        </w:rPr>
        <w:t xml:space="preserve">usuarios que son atendidos como propios consumos </w:t>
      </w:r>
      <w:r w:rsidR="00EA21CC" w:rsidRPr="00D81030">
        <w:rPr>
          <w:rFonts w:ascii="Bookman Old Style" w:hAnsi="Bookman Old Style"/>
          <w:b/>
          <w:bCs/>
        </w:rPr>
        <w:t>por</w:t>
      </w:r>
      <w:r w:rsidR="002E7528" w:rsidRPr="00D81030">
        <w:rPr>
          <w:rFonts w:ascii="Bookman Old Style" w:hAnsi="Bookman Old Style"/>
          <w:b/>
          <w:bCs/>
        </w:rPr>
        <w:t xml:space="preserve"> los </w:t>
      </w:r>
      <w:r w:rsidR="008F29A2" w:rsidRPr="00D81030">
        <w:rPr>
          <w:rFonts w:ascii="Bookman Old Style" w:hAnsi="Bookman Old Style"/>
          <w:b/>
          <w:bCs/>
        </w:rPr>
        <w:t>productores-comercializadores</w:t>
      </w:r>
      <w:r w:rsidR="002E7528" w:rsidRPr="00D81030">
        <w:rPr>
          <w:rFonts w:ascii="Bookman Old Style" w:hAnsi="Bookman Old Style"/>
          <w:b/>
          <w:bCs/>
        </w:rPr>
        <w:t xml:space="preserve"> en los términos del </w:t>
      </w:r>
      <w:r w:rsidR="00DE5114">
        <w:rPr>
          <w:rFonts w:ascii="Bookman Old Style" w:hAnsi="Bookman Old Style"/>
          <w:b/>
          <w:bCs/>
        </w:rPr>
        <w:t>a</w:t>
      </w:r>
      <w:r w:rsidR="002E7528" w:rsidRPr="00D81030">
        <w:rPr>
          <w:rFonts w:ascii="Bookman Old Style" w:hAnsi="Bookman Old Style"/>
          <w:b/>
          <w:bCs/>
        </w:rPr>
        <w:t>rtículo 2.2.2.2.20 del Decreto 1073 de 2015,</w:t>
      </w:r>
      <w:r w:rsidR="008F29A2" w:rsidRPr="00D81030">
        <w:rPr>
          <w:rFonts w:ascii="Bookman Old Style" w:hAnsi="Bookman Old Style"/>
          <w:b/>
          <w:bCs/>
        </w:rPr>
        <w:t xml:space="preserve"> </w:t>
      </w:r>
      <w:r w:rsidR="002E7528" w:rsidRPr="00D81030">
        <w:rPr>
          <w:rFonts w:ascii="Bookman Old Style" w:hAnsi="Bookman Old Style"/>
          <w:b/>
          <w:bCs/>
        </w:rPr>
        <w:t xml:space="preserve">deberán tener en cuenta lo contemplado en el numeral vi. del literal c. de este mismo </w:t>
      </w:r>
      <w:r w:rsidR="00C21FB3">
        <w:rPr>
          <w:rFonts w:ascii="Bookman Old Style" w:hAnsi="Bookman Old Style"/>
          <w:b/>
          <w:bCs/>
        </w:rPr>
        <w:t>a</w:t>
      </w:r>
      <w:r w:rsidR="002E7528" w:rsidRPr="00D81030">
        <w:rPr>
          <w:rFonts w:ascii="Bookman Old Style" w:hAnsi="Bookman Old Style"/>
          <w:b/>
          <w:bCs/>
        </w:rPr>
        <w:t>rtículo</w:t>
      </w:r>
      <w:r w:rsidRPr="00D81030">
        <w:rPr>
          <w:rFonts w:ascii="Bookman Old Style" w:hAnsi="Bookman Old Style"/>
          <w:b/>
          <w:bCs/>
        </w:rPr>
        <w:t xml:space="preserve">. </w:t>
      </w:r>
    </w:p>
    <w:bookmarkEnd w:id="56"/>
    <w:p w14:paraId="20D9B10F" w14:textId="77777777" w:rsidR="0006302B" w:rsidRPr="00D81030" w:rsidRDefault="0006302B" w:rsidP="00DC0BD4">
      <w:pPr>
        <w:pStyle w:val="Prrafodelista"/>
        <w:ind w:left="426" w:hanging="426"/>
        <w:jc w:val="both"/>
        <w:outlineLvl w:val="0"/>
        <w:rPr>
          <w:rFonts w:ascii="Bookman Old Style" w:hAnsi="Bookman Old Style"/>
          <w:b/>
          <w:bCs/>
          <w:sz w:val="24"/>
          <w:szCs w:val="24"/>
        </w:rPr>
      </w:pPr>
    </w:p>
    <w:p w14:paraId="5A6A56DA" w14:textId="7BAB562E" w:rsidR="0006302B" w:rsidRPr="00D81030" w:rsidRDefault="0006302B" w:rsidP="00DC0BD4">
      <w:pPr>
        <w:pStyle w:val="Prrafodelista"/>
        <w:numPr>
          <w:ilvl w:val="1"/>
          <w:numId w:val="85"/>
        </w:numPr>
        <w:ind w:left="426" w:hanging="426"/>
        <w:jc w:val="both"/>
        <w:outlineLvl w:val="0"/>
        <w:rPr>
          <w:rFonts w:ascii="Bookman Old Style" w:hAnsi="Bookman Old Style"/>
          <w:b/>
          <w:bCs/>
          <w:sz w:val="24"/>
          <w:szCs w:val="24"/>
        </w:rPr>
      </w:pPr>
      <w:r w:rsidRPr="00D81030">
        <w:rPr>
          <w:rFonts w:ascii="Bookman Old Style" w:hAnsi="Bookman Old Style"/>
          <w:b/>
          <w:bCs/>
          <w:sz w:val="24"/>
          <w:szCs w:val="24"/>
        </w:rPr>
        <w:t xml:space="preserve">El </w:t>
      </w:r>
      <w:r w:rsidRPr="00D81030">
        <w:rPr>
          <w:rFonts w:ascii="Bookman Old Style" w:eastAsia="Bookman Old Style" w:hAnsi="Bookman Old Style" w:cs="Bookman Old Style"/>
          <w:b/>
          <w:bCs/>
          <w:color w:val="000000" w:themeColor="text1"/>
          <w:sz w:val="24"/>
          <w:szCs w:val="24"/>
        </w:rPr>
        <w:t>décimo sexto día hábil del Trimestre Estándar de negociación</w:t>
      </w:r>
      <w:r w:rsidRPr="00D81030">
        <w:rPr>
          <w:rFonts w:ascii="Bookman Old Style" w:hAnsi="Bookman Old Style"/>
          <w:b/>
          <w:bCs/>
          <w:sz w:val="24"/>
          <w:szCs w:val="24"/>
        </w:rPr>
        <w:t xml:space="preserve"> el </w:t>
      </w:r>
      <w:r w:rsidR="0022131A" w:rsidRPr="00D81030">
        <w:rPr>
          <w:rFonts w:ascii="Bookman Old Style" w:hAnsi="Bookman Old Style"/>
          <w:b/>
          <w:sz w:val="24"/>
          <w:szCs w:val="24"/>
        </w:rPr>
        <w:t>Gestor</w:t>
      </w:r>
      <w:r w:rsidRPr="00D81030">
        <w:rPr>
          <w:rFonts w:ascii="Bookman Old Style" w:hAnsi="Bookman Old Style"/>
          <w:b/>
          <w:sz w:val="24"/>
          <w:szCs w:val="24"/>
        </w:rPr>
        <w:t xml:space="preserve"> </w:t>
      </w:r>
      <w:r w:rsidRPr="00D81030">
        <w:rPr>
          <w:rFonts w:ascii="Bookman Old Style" w:hAnsi="Bookman Old Style"/>
          <w:b/>
          <w:bCs/>
          <w:sz w:val="24"/>
          <w:szCs w:val="24"/>
        </w:rPr>
        <w:t xml:space="preserve">del Mercado deberá publicar los resultados </w:t>
      </w:r>
      <w:r w:rsidR="005442A3" w:rsidRPr="00D81030">
        <w:rPr>
          <w:rFonts w:ascii="Bookman Old Style" w:hAnsi="Bookman Old Style"/>
          <w:b/>
          <w:bCs/>
          <w:sz w:val="24"/>
          <w:szCs w:val="24"/>
        </w:rPr>
        <w:t xml:space="preserve">de los balances comerciales, ya sean superavitarios o deficitarios,  </w:t>
      </w:r>
      <w:r w:rsidRPr="00D81030">
        <w:rPr>
          <w:rFonts w:ascii="Bookman Old Style" w:hAnsi="Bookman Old Style"/>
          <w:b/>
          <w:bCs/>
          <w:sz w:val="24"/>
          <w:szCs w:val="24"/>
        </w:rPr>
        <w:t>obtenidos para cada uno de los puntos de referencia establecidos</w:t>
      </w:r>
      <w:r w:rsidR="005442A3" w:rsidRPr="00D81030">
        <w:rPr>
          <w:rFonts w:ascii="Bookman Old Style" w:hAnsi="Bookman Old Style"/>
          <w:b/>
          <w:bCs/>
          <w:sz w:val="24"/>
          <w:szCs w:val="24"/>
        </w:rPr>
        <w:t xml:space="preserve"> y para cada uno de los veinte (20) trimestres estándar siguientes al trimestre de negociación</w:t>
      </w:r>
      <w:r w:rsidRPr="00D81030">
        <w:rPr>
          <w:rFonts w:ascii="Bookman Old Style" w:hAnsi="Bookman Old Style"/>
          <w:b/>
          <w:bCs/>
          <w:sz w:val="24"/>
          <w:szCs w:val="24"/>
        </w:rPr>
        <w:t xml:space="preserve">, con base en las declaraciones de PTDVF y/o CIDVF y la información de </w:t>
      </w:r>
      <w:r w:rsidRPr="00D81030">
        <w:rPr>
          <w:rFonts w:ascii="Bookman Old Style" w:hAnsi="Bookman Old Style"/>
          <w:b/>
          <w:bCs/>
          <w:sz w:val="24"/>
          <w:szCs w:val="24"/>
        </w:rPr>
        <w:lastRenderedPageBreak/>
        <w:t xml:space="preserve">las cantidades requeridas para suministro, según se establece en </w:t>
      </w:r>
      <w:r w:rsidR="005442A3" w:rsidRPr="00D81030">
        <w:rPr>
          <w:rFonts w:ascii="Bookman Old Style" w:hAnsi="Bookman Old Style"/>
          <w:b/>
          <w:bCs/>
          <w:sz w:val="24"/>
          <w:szCs w:val="24"/>
        </w:rPr>
        <w:t>los literales a. y</w:t>
      </w:r>
      <w:r w:rsidRPr="00D81030">
        <w:rPr>
          <w:rFonts w:ascii="Bookman Old Style" w:hAnsi="Bookman Old Style"/>
          <w:b/>
          <w:bCs/>
          <w:sz w:val="24"/>
          <w:szCs w:val="24"/>
        </w:rPr>
        <w:t xml:space="preserve"> e. anterior</w:t>
      </w:r>
      <w:r w:rsidR="005442A3" w:rsidRPr="00D81030">
        <w:rPr>
          <w:rFonts w:ascii="Bookman Old Style" w:hAnsi="Bookman Old Style"/>
          <w:b/>
          <w:bCs/>
          <w:sz w:val="24"/>
          <w:szCs w:val="24"/>
        </w:rPr>
        <w:t>es</w:t>
      </w:r>
      <w:r w:rsidRPr="00D81030">
        <w:rPr>
          <w:rFonts w:ascii="Bookman Old Style" w:hAnsi="Bookman Old Style"/>
          <w:b/>
          <w:bCs/>
          <w:sz w:val="24"/>
          <w:szCs w:val="24"/>
        </w:rPr>
        <w:t xml:space="preserve">, considerando lo siguiente:  </w:t>
      </w:r>
    </w:p>
    <w:p w14:paraId="3C92D132" w14:textId="77777777" w:rsidR="0006302B" w:rsidRPr="00D81030" w:rsidRDefault="0006302B" w:rsidP="00571EDB">
      <w:pPr>
        <w:pStyle w:val="Prrafodelista"/>
        <w:ind w:left="851" w:hanging="851"/>
        <w:jc w:val="both"/>
        <w:outlineLvl w:val="0"/>
        <w:rPr>
          <w:rFonts w:ascii="Bookman Old Style" w:hAnsi="Bookman Old Style"/>
          <w:b/>
          <w:bCs/>
          <w:sz w:val="24"/>
          <w:szCs w:val="24"/>
        </w:rPr>
      </w:pPr>
    </w:p>
    <w:p w14:paraId="6770497F" w14:textId="5B9F6CD3" w:rsidR="0006302B" w:rsidRPr="00D81030" w:rsidRDefault="00806C87" w:rsidP="00295053">
      <w:pPr>
        <w:pStyle w:val="Prrafodelista"/>
        <w:numPr>
          <w:ilvl w:val="2"/>
          <w:numId w:val="85"/>
        </w:numPr>
        <w:ind w:left="851" w:hanging="284"/>
        <w:jc w:val="both"/>
        <w:outlineLvl w:val="0"/>
        <w:rPr>
          <w:rFonts w:ascii="Bookman Old Style" w:hAnsi="Bookman Old Style"/>
          <w:b/>
          <w:bCs/>
          <w:sz w:val="24"/>
          <w:szCs w:val="24"/>
        </w:rPr>
      </w:pPr>
      <w:r w:rsidRPr="00D81030">
        <w:rPr>
          <w:rFonts w:ascii="Bookman Old Style" w:hAnsi="Bookman Old Style"/>
          <w:b/>
          <w:bCs/>
          <w:sz w:val="24"/>
          <w:szCs w:val="24"/>
        </w:rPr>
        <w:t xml:space="preserve">El valor total de la PTDVF y CIDVF de un punto de referencia </w:t>
      </w:r>
      <w:r w:rsidR="00766806">
        <w:rPr>
          <w:rFonts w:ascii="Bookman Old Style" w:hAnsi="Bookman Old Style"/>
          <w:b/>
          <w:bCs/>
          <w:sz w:val="24"/>
          <w:szCs w:val="24"/>
        </w:rPr>
        <w:t xml:space="preserve">en MBTUD </w:t>
      </w:r>
      <w:r w:rsidRPr="00D81030">
        <w:rPr>
          <w:rFonts w:ascii="Bookman Old Style" w:hAnsi="Bookman Old Style"/>
          <w:b/>
          <w:bCs/>
          <w:sz w:val="24"/>
          <w:szCs w:val="24"/>
        </w:rPr>
        <w:t xml:space="preserve">corresponderá a </w:t>
      </w:r>
      <w:r w:rsidR="0006302B" w:rsidRPr="00D81030">
        <w:rPr>
          <w:rFonts w:ascii="Bookman Old Style" w:hAnsi="Bookman Old Style"/>
          <w:b/>
          <w:bCs/>
          <w:sz w:val="24"/>
          <w:szCs w:val="24"/>
        </w:rPr>
        <w:t xml:space="preserve">la sumatoria de los menores valores mensuales </w:t>
      </w:r>
      <w:r w:rsidRPr="00D81030">
        <w:rPr>
          <w:rFonts w:ascii="Bookman Old Style" w:hAnsi="Bookman Old Style"/>
          <w:b/>
          <w:bCs/>
          <w:sz w:val="24"/>
          <w:szCs w:val="24"/>
        </w:rPr>
        <w:t>calculados</w:t>
      </w:r>
      <w:r w:rsidR="0006302B" w:rsidRPr="00D81030">
        <w:rPr>
          <w:rFonts w:ascii="Bookman Old Style" w:hAnsi="Bookman Old Style"/>
          <w:b/>
          <w:bCs/>
          <w:sz w:val="24"/>
          <w:szCs w:val="24"/>
        </w:rPr>
        <w:t xml:space="preserve"> entre los tres (3) meses de cada Trimestre Estándar</w:t>
      </w:r>
      <w:r w:rsidR="00516662" w:rsidRPr="00D81030">
        <w:rPr>
          <w:rFonts w:ascii="Bookman Old Style" w:hAnsi="Bookman Old Style"/>
          <w:b/>
          <w:bCs/>
          <w:sz w:val="24"/>
          <w:szCs w:val="24"/>
        </w:rPr>
        <w:t>,</w:t>
      </w:r>
      <w:r w:rsidR="0006302B" w:rsidRPr="00D81030">
        <w:rPr>
          <w:rFonts w:ascii="Bookman Old Style" w:hAnsi="Bookman Old Style"/>
          <w:b/>
          <w:bCs/>
          <w:sz w:val="24"/>
          <w:szCs w:val="24"/>
        </w:rPr>
        <w:t xml:space="preserve"> de las cantidades declaradas </w:t>
      </w:r>
      <w:r w:rsidRPr="00D81030">
        <w:rPr>
          <w:rFonts w:ascii="Bookman Old Style" w:hAnsi="Bookman Old Style"/>
          <w:b/>
          <w:bCs/>
          <w:sz w:val="24"/>
          <w:szCs w:val="24"/>
        </w:rPr>
        <w:t xml:space="preserve">para cada una </w:t>
      </w:r>
      <w:r w:rsidR="0006302B" w:rsidRPr="00D81030">
        <w:rPr>
          <w:rFonts w:ascii="Bookman Old Style" w:hAnsi="Bookman Old Style"/>
          <w:b/>
          <w:bCs/>
          <w:sz w:val="24"/>
          <w:szCs w:val="24"/>
        </w:rPr>
        <w:t>de las Fuentes de Suministro que conforman un Punto de Referencia.</w:t>
      </w:r>
      <w:r w:rsidRPr="00D81030">
        <w:rPr>
          <w:rFonts w:ascii="Bookman Old Style" w:hAnsi="Bookman Old Style"/>
          <w:b/>
          <w:bCs/>
          <w:sz w:val="24"/>
          <w:szCs w:val="24"/>
        </w:rPr>
        <w:t xml:space="preserve"> </w:t>
      </w:r>
    </w:p>
    <w:p w14:paraId="59C08146" w14:textId="77777777" w:rsidR="0006302B" w:rsidRPr="00D81030" w:rsidRDefault="0006302B" w:rsidP="00295053">
      <w:pPr>
        <w:pStyle w:val="Prrafodelista"/>
        <w:ind w:left="851" w:hanging="284"/>
        <w:rPr>
          <w:rFonts w:ascii="Bookman Old Style" w:hAnsi="Bookman Old Style"/>
          <w:b/>
          <w:bCs/>
          <w:sz w:val="24"/>
          <w:szCs w:val="24"/>
        </w:rPr>
      </w:pPr>
    </w:p>
    <w:p w14:paraId="6028B893" w14:textId="398FA50F" w:rsidR="00301BBA" w:rsidRPr="00D81030" w:rsidRDefault="0006302B" w:rsidP="00295053">
      <w:pPr>
        <w:pStyle w:val="Prrafodelista"/>
        <w:numPr>
          <w:ilvl w:val="2"/>
          <w:numId w:val="85"/>
        </w:numPr>
        <w:tabs>
          <w:tab w:val="left" w:pos="851"/>
        </w:tabs>
        <w:ind w:left="851" w:hanging="284"/>
        <w:jc w:val="both"/>
        <w:rPr>
          <w:rFonts w:ascii="Bookman Old Style" w:hAnsi="Bookman Old Style"/>
          <w:b/>
          <w:bCs/>
          <w:strike/>
          <w:sz w:val="24"/>
          <w:szCs w:val="24"/>
        </w:rPr>
      </w:pPr>
      <w:r w:rsidRPr="00D81030">
        <w:rPr>
          <w:rFonts w:ascii="Bookman Old Style" w:hAnsi="Bookman Old Style"/>
          <w:b/>
          <w:bCs/>
          <w:sz w:val="24"/>
          <w:szCs w:val="24"/>
        </w:rPr>
        <w:t xml:space="preserve">El resultado del balance comercial </w:t>
      </w:r>
      <w:r w:rsidR="00806C87" w:rsidRPr="00D81030">
        <w:rPr>
          <w:rFonts w:ascii="Bookman Old Style" w:hAnsi="Bookman Old Style"/>
          <w:b/>
          <w:bCs/>
          <w:sz w:val="24"/>
          <w:szCs w:val="24"/>
        </w:rPr>
        <w:t xml:space="preserve">para cada punto de referencia se obtendrá de la comparación entre los valores obtenidos totales </w:t>
      </w:r>
      <w:r w:rsidR="00BD20B8" w:rsidRPr="00D81030">
        <w:rPr>
          <w:rFonts w:ascii="Bookman Old Style" w:hAnsi="Bookman Old Style"/>
          <w:b/>
          <w:bCs/>
          <w:sz w:val="24"/>
          <w:szCs w:val="24"/>
        </w:rPr>
        <w:t xml:space="preserve">sumados </w:t>
      </w:r>
      <w:r w:rsidR="00806C87" w:rsidRPr="00D81030">
        <w:rPr>
          <w:rFonts w:ascii="Bookman Old Style" w:hAnsi="Bookman Old Style"/>
          <w:b/>
          <w:bCs/>
          <w:sz w:val="24"/>
          <w:szCs w:val="24"/>
        </w:rPr>
        <w:t xml:space="preserve">de </w:t>
      </w:r>
      <w:r w:rsidR="00BD20B8" w:rsidRPr="00D81030">
        <w:rPr>
          <w:rFonts w:ascii="Bookman Old Style" w:hAnsi="Bookman Old Style"/>
          <w:b/>
          <w:bCs/>
          <w:sz w:val="24"/>
          <w:szCs w:val="24"/>
        </w:rPr>
        <w:t xml:space="preserve">la </w:t>
      </w:r>
      <w:r w:rsidR="00806C87" w:rsidRPr="00D81030">
        <w:rPr>
          <w:rFonts w:ascii="Bookman Old Style" w:hAnsi="Bookman Old Style"/>
          <w:b/>
          <w:bCs/>
          <w:sz w:val="24"/>
          <w:szCs w:val="24"/>
        </w:rPr>
        <w:t xml:space="preserve">PTDVF y </w:t>
      </w:r>
      <w:r w:rsidR="00BD20B8" w:rsidRPr="00D81030">
        <w:rPr>
          <w:rFonts w:ascii="Bookman Old Style" w:hAnsi="Bookman Old Style"/>
          <w:b/>
          <w:bCs/>
          <w:sz w:val="24"/>
          <w:szCs w:val="24"/>
        </w:rPr>
        <w:t xml:space="preserve">la </w:t>
      </w:r>
      <w:r w:rsidR="00806C87" w:rsidRPr="00D81030">
        <w:rPr>
          <w:rFonts w:ascii="Bookman Old Style" w:hAnsi="Bookman Old Style"/>
          <w:b/>
          <w:bCs/>
          <w:sz w:val="24"/>
          <w:szCs w:val="24"/>
        </w:rPr>
        <w:t xml:space="preserve">CIDVF </w:t>
      </w:r>
      <w:r w:rsidR="00766806">
        <w:rPr>
          <w:rFonts w:ascii="Bookman Old Style" w:hAnsi="Bookman Old Style"/>
          <w:b/>
          <w:bCs/>
          <w:sz w:val="24"/>
          <w:szCs w:val="24"/>
        </w:rPr>
        <w:t xml:space="preserve">en MBTUD, </w:t>
      </w:r>
      <w:r w:rsidR="00806C87" w:rsidRPr="00D81030">
        <w:rPr>
          <w:rFonts w:ascii="Bookman Old Style" w:hAnsi="Bookman Old Style"/>
          <w:b/>
          <w:bCs/>
          <w:sz w:val="24"/>
          <w:szCs w:val="24"/>
        </w:rPr>
        <w:t>con los v</w:t>
      </w:r>
      <w:r w:rsidR="00BD20B8" w:rsidRPr="00D81030">
        <w:rPr>
          <w:rFonts w:ascii="Bookman Old Style" w:hAnsi="Bookman Old Style"/>
          <w:b/>
          <w:bCs/>
          <w:sz w:val="24"/>
          <w:szCs w:val="24"/>
        </w:rPr>
        <w:t>a</w:t>
      </w:r>
      <w:r w:rsidR="00806C87" w:rsidRPr="00D81030">
        <w:rPr>
          <w:rFonts w:ascii="Bookman Old Style" w:hAnsi="Bookman Old Style"/>
          <w:b/>
          <w:bCs/>
          <w:sz w:val="24"/>
          <w:szCs w:val="24"/>
        </w:rPr>
        <w:t xml:space="preserve">lores totales de </w:t>
      </w:r>
      <w:r w:rsidR="00BD20B8" w:rsidRPr="00D81030">
        <w:rPr>
          <w:rFonts w:ascii="Bookman Old Style" w:hAnsi="Bookman Old Style"/>
          <w:b/>
          <w:bCs/>
          <w:sz w:val="24"/>
          <w:szCs w:val="24"/>
        </w:rPr>
        <w:t>l</w:t>
      </w:r>
      <w:r w:rsidR="00516662" w:rsidRPr="00D81030">
        <w:rPr>
          <w:rFonts w:ascii="Bookman Old Style" w:hAnsi="Bookman Old Style"/>
          <w:b/>
          <w:bCs/>
          <w:sz w:val="24"/>
          <w:szCs w:val="24"/>
        </w:rPr>
        <w:t>o</w:t>
      </w:r>
      <w:r w:rsidR="00BD20B8" w:rsidRPr="00D81030">
        <w:rPr>
          <w:rFonts w:ascii="Bookman Old Style" w:hAnsi="Bookman Old Style"/>
          <w:b/>
          <w:bCs/>
          <w:sz w:val="24"/>
          <w:szCs w:val="24"/>
        </w:rPr>
        <w:t xml:space="preserve">s </w:t>
      </w:r>
      <w:r w:rsidR="00516662" w:rsidRPr="00D81030">
        <w:rPr>
          <w:rFonts w:ascii="Bookman Old Style" w:hAnsi="Bookman Old Style"/>
          <w:b/>
          <w:bCs/>
          <w:sz w:val="24"/>
          <w:szCs w:val="24"/>
        </w:rPr>
        <w:t xml:space="preserve">requerimientos obligatorios </w:t>
      </w:r>
      <w:r w:rsidR="00806C87" w:rsidRPr="00D81030">
        <w:rPr>
          <w:rFonts w:ascii="Bookman Old Style" w:hAnsi="Bookman Old Style"/>
          <w:b/>
          <w:bCs/>
          <w:sz w:val="24"/>
          <w:szCs w:val="24"/>
        </w:rPr>
        <w:t xml:space="preserve">de compra </w:t>
      </w:r>
      <w:r w:rsidR="00BD20B8" w:rsidRPr="00D81030">
        <w:rPr>
          <w:rFonts w:ascii="Bookman Old Style" w:hAnsi="Bookman Old Style"/>
          <w:b/>
          <w:bCs/>
          <w:sz w:val="24"/>
          <w:szCs w:val="24"/>
        </w:rPr>
        <w:t>informados de acuerdo con el literal e. anterior</w:t>
      </w:r>
      <w:r w:rsidR="00766806">
        <w:rPr>
          <w:rFonts w:ascii="Bookman Old Style" w:hAnsi="Bookman Old Style"/>
          <w:b/>
          <w:bCs/>
          <w:sz w:val="24"/>
          <w:szCs w:val="24"/>
        </w:rPr>
        <w:t xml:space="preserve"> en MBTUD</w:t>
      </w:r>
      <w:r w:rsidR="00BD20B8" w:rsidRPr="00D81030">
        <w:rPr>
          <w:rFonts w:ascii="Bookman Old Style" w:hAnsi="Bookman Old Style"/>
          <w:b/>
          <w:bCs/>
          <w:sz w:val="24"/>
          <w:szCs w:val="24"/>
        </w:rPr>
        <w:t>.</w:t>
      </w:r>
      <w:r w:rsidR="00806C87" w:rsidRPr="00D81030">
        <w:rPr>
          <w:rFonts w:ascii="Bookman Old Style" w:hAnsi="Bookman Old Style"/>
          <w:b/>
          <w:bCs/>
          <w:sz w:val="24"/>
          <w:szCs w:val="24"/>
        </w:rPr>
        <w:t xml:space="preserve"> </w:t>
      </w:r>
    </w:p>
    <w:p w14:paraId="0D89B29B" w14:textId="77777777" w:rsidR="007C3D6F" w:rsidRPr="00D81030" w:rsidRDefault="007C3D6F" w:rsidP="00295053">
      <w:pPr>
        <w:pStyle w:val="Prrafodelista"/>
        <w:ind w:left="851" w:hanging="284"/>
        <w:rPr>
          <w:rFonts w:ascii="Bookman Old Style" w:hAnsi="Bookman Old Style"/>
          <w:b/>
          <w:bCs/>
          <w:sz w:val="24"/>
          <w:szCs w:val="24"/>
        </w:rPr>
      </w:pPr>
    </w:p>
    <w:p w14:paraId="16D855B3" w14:textId="239EA80C" w:rsidR="00BD20B8" w:rsidRPr="00D81030" w:rsidRDefault="00BD20B8" w:rsidP="00295053">
      <w:pPr>
        <w:pStyle w:val="Prrafodelista"/>
        <w:numPr>
          <w:ilvl w:val="2"/>
          <w:numId w:val="85"/>
        </w:numPr>
        <w:ind w:left="851" w:hanging="284"/>
        <w:jc w:val="both"/>
        <w:rPr>
          <w:rFonts w:ascii="Bookman Old Style" w:hAnsi="Bookman Old Style"/>
          <w:b/>
          <w:bCs/>
          <w:sz w:val="24"/>
          <w:szCs w:val="24"/>
        </w:rPr>
      </w:pPr>
      <w:r w:rsidRPr="00D81030">
        <w:rPr>
          <w:rFonts w:ascii="Bookman Old Style" w:hAnsi="Bookman Old Style"/>
          <w:b/>
          <w:bCs/>
          <w:sz w:val="24"/>
          <w:szCs w:val="24"/>
        </w:rPr>
        <w:t>Si los valores totales sumados de PTDVF y CIDVF son superiores o iguales a las cantidades requeridas por los compradores según el literal e. anterior, el balance comercial para ese punto de referencia y ese trimestre estándar será superavitario. En caso de un resultado contrario, el balance comercial será deficitario.</w:t>
      </w:r>
      <w:r w:rsidRPr="00D81030">
        <w:rPr>
          <w:rFonts w:ascii="Bookman Old Style" w:hAnsi="Bookman Old Style"/>
          <w:b/>
          <w:bCs/>
        </w:rPr>
        <w:t xml:space="preserve"> </w:t>
      </w:r>
    </w:p>
    <w:p w14:paraId="42FD28C9" w14:textId="77777777" w:rsidR="0006302B" w:rsidRPr="00D81030" w:rsidRDefault="0006302B" w:rsidP="00295053">
      <w:pPr>
        <w:pStyle w:val="Prrafodelista"/>
        <w:ind w:left="851" w:hanging="284"/>
        <w:jc w:val="both"/>
        <w:rPr>
          <w:rFonts w:ascii="Bookman Old Style" w:hAnsi="Bookman Old Style"/>
          <w:b/>
          <w:bCs/>
          <w:sz w:val="24"/>
          <w:szCs w:val="24"/>
        </w:rPr>
      </w:pPr>
    </w:p>
    <w:p w14:paraId="7C3C9E9B" w14:textId="503ABCD8" w:rsidR="0006302B" w:rsidRPr="00B623EE" w:rsidRDefault="0006302B" w:rsidP="00295053">
      <w:pPr>
        <w:pStyle w:val="Prrafodelista"/>
        <w:numPr>
          <w:ilvl w:val="2"/>
          <w:numId w:val="85"/>
        </w:numPr>
        <w:ind w:left="851" w:hanging="284"/>
        <w:jc w:val="both"/>
        <w:rPr>
          <w:rFonts w:ascii="Bookman Old Style" w:hAnsi="Bookman Old Style"/>
          <w:b/>
          <w:bCs/>
          <w:sz w:val="24"/>
          <w:szCs w:val="24"/>
        </w:rPr>
      </w:pPr>
      <w:r w:rsidRPr="00D81030">
        <w:rPr>
          <w:rFonts w:ascii="Bookman Old Style" w:hAnsi="Bookman Old Style"/>
          <w:b/>
          <w:bCs/>
          <w:sz w:val="24"/>
          <w:szCs w:val="24"/>
        </w:rPr>
        <w:t>E</w:t>
      </w:r>
      <w:r w:rsidRPr="00D81030">
        <w:rPr>
          <w:rFonts w:ascii="Bookman Old Style" w:hAnsi="Bookman Old Style"/>
          <w:sz w:val="24"/>
          <w:szCs w:val="24"/>
        </w:rPr>
        <w:t xml:space="preserve">l </w:t>
      </w:r>
      <w:r w:rsidR="0022131A" w:rsidRPr="00D81030">
        <w:rPr>
          <w:rFonts w:ascii="Bookman Old Style" w:hAnsi="Bookman Old Style"/>
          <w:b/>
          <w:bCs/>
          <w:sz w:val="24"/>
          <w:szCs w:val="24"/>
        </w:rPr>
        <w:t>Gestor</w:t>
      </w:r>
      <w:r w:rsidRPr="00D81030">
        <w:rPr>
          <w:rFonts w:ascii="Bookman Old Style" w:hAnsi="Bookman Old Style"/>
          <w:b/>
          <w:bCs/>
          <w:sz w:val="24"/>
          <w:szCs w:val="24"/>
        </w:rPr>
        <w:t xml:space="preserve"> del Mercado informará a los vendedores señalados en el </w:t>
      </w:r>
      <w:r w:rsidR="002F1D35">
        <w:rPr>
          <w:rFonts w:ascii="Bookman Old Style" w:hAnsi="Bookman Old Style"/>
          <w:b/>
          <w:bCs/>
          <w:sz w:val="24"/>
          <w:szCs w:val="24"/>
        </w:rPr>
        <w:t>a</w:t>
      </w:r>
      <w:r w:rsidRPr="00D81030">
        <w:rPr>
          <w:rFonts w:ascii="Bookman Old Style" w:hAnsi="Bookman Old Style"/>
          <w:b/>
          <w:bCs/>
          <w:sz w:val="24"/>
          <w:szCs w:val="24"/>
        </w:rPr>
        <w:t xml:space="preserve">rtículo 16 de la presente Resolución sobre los Puntos de Referencia y Trimestres Estándar en los que el balance comercial resultó ser </w:t>
      </w:r>
      <w:r w:rsidR="00424EB2" w:rsidRPr="00B623EE">
        <w:rPr>
          <w:rFonts w:ascii="Bookman Old Style" w:hAnsi="Bookman Old Style"/>
          <w:b/>
          <w:bCs/>
          <w:sz w:val="24"/>
          <w:szCs w:val="24"/>
        </w:rPr>
        <w:t>deficitario</w:t>
      </w:r>
      <w:r w:rsidR="001C7BA3" w:rsidRPr="00B623EE">
        <w:rPr>
          <w:rFonts w:ascii="Bookman Old Style" w:hAnsi="Bookman Old Style"/>
          <w:b/>
          <w:bCs/>
          <w:sz w:val="24"/>
          <w:szCs w:val="24"/>
        </w:rPr>
        <w:t>,</w:t>
      </w:r>
      <w:r w:rsidRPr="00B623EE">
        <w:rPr>
          <w:rFonts w:ascii="Bookman Old Style" w:hAnsi="Bookman Old Style"/>
          <w:b/>
          <w:bCs/>
          <w:sz w:val="24"/>
          <w:szCs w:val="24"/>
        </w:rPr>
        <w:t xml:space="preserve"> y procederá a avanzar con lo dispuesto en el numeral 3 del presente artículo. Lo anterior lo realizará a más tardar al décimo octavo día hábil del Trimestre Estándar de negociación.</w:t>
      </w:r>
    </w:p>
    <w:p w14:paraId="3DB50698" w14:textId="51C7B50D" w:rsidR="00A56D38" w:rsidRPr="00B623EE" w:rsidRDefault="00A56D38" w:rsidP="00A56D38">
      <w:pPr>
        <w:ind w:left="0"/>
        <w:jc w:val="both"/>
        <w:rPr>
          <w:rFonts w:ascii="Bookman Old Style" w:hAnsi="Bookman Old Style"/>
          <w:b/>
          <w:bCs/>
        </w:rPr>
      </w:pPr>
    </w:p>
    <w:p w14:paraId="1F9AA900" w14:textId="4573C4D0" w:rsidR="00A56D38" w:rsidRPr="00B623EE" w:rsidRDefault="00A56D38" w:rsidP="00A56D38">
      <w:pPr>
        <w:tabs>
          <w:tab w:val="left" w:pos="0"/>
        </w:tabs>
        <w:ind w:left="0"/>
        <w:jc w:val="both"/>
        <w:rPr>
          <w:rFonts w:ascii="Bookman Old Style" w:hAnsi="Bookman Old Style"/>
          <w:b/>
          <w:bCs/>
        </w:rPr>
      </w:pPr>
      <w:r w:rsidRPr="00B623EE">
        <w:rPr>
          <w:rFonts w:ascii="Bookman Old Style" w:hAnsi="Bookman Old Style"/>
          <w:b/>
          <w:bCs/>
        </w:rPr>
        <w:t>Parágrafo</w:t>
      </w:r>
      <w:r w:rsidR="00621026" w:rsidRPr="00B623EE">
        <w:rPr>
          <w:rFonts w:ascii="Bookman Old Style" w:hAnsi="Bookman Old Style"/>
          <w:b/>
          <w:bCs/>
        </w:rPr>
        <w:t xml:space="preserve"> 1</w:t>
      </w:r>
      <w:r w:rsidRPr="00B623EE">
        <w:rPr>
          <w:rFonts w:ascii="Bookman Old Style" w:hAnsi="Bookman Old Style"/>
          <w:b/>
          <w:bCs/>
        </w:rPr>
        <w:t xml:space="preserve">. </w:t>
      </w:r>
      <w:r w:rsidR="00D62484" w:rsidRPr="00B623EE">
        <w:rPr>
          <w:rFonts w:ascii="Bookman Old Style" w:hAnsi="Bookman Old Style"/>
          <w:b/>
          <w:bCs/>
        </w:rPr>
        <w:t xml:space="preserve">Los vendedores del Mercado Primario podrán </w:t>
      </w:r>
      <w:r w:rsidR="00D859CC" w:rsidRPr="00B623EE">
        <w:rPr>
          <w:rFonts w:ascii="Bookman Old Style" w:hAnsi="Bookman Old Style"/>
          <w:b/>
          <w:bCs/>
        </w:rPr>
        <w:t>adicion</w:t>
      </w:r>
      <w:r w:rsidR="00D62484" w:rsidRPr="00B623EE">
        <w:rPr>
          <w:rFonts w:ascii="Bookman Old Style" w:hAnsi="Bookman Old Style"/>
          <w:b/>
          <w:bCs/>
        </w:rPr>
        <w:t>ar</w:t>
      </w:r>
      <w:r w:rsidR="00BA6C71" w:rsidRPr="00B623EE">
        <w:rPr>
          <w:rFonts w:ascii="Bookman Old Style" w:hAnsi="Bookman Old Style"/>
          <w:b/>
          <w:bCs/>
        </w:rPr>
        <w:t>,</w:t>
      </w:r>
      <w:r w:rsidR="00D62484" w:rsidRPr="00B623EE">
        <w:rPr>
          <w:rFonts w:ascii="Bookman Old Style" w:hAnsi="Bookman Old Style"/>
          <w:b/>
          <w:bCs/>
        </w:rPr>
        <w:t xml:space="preserve"> en cualquier momento ante el Gestor del Mercado, cantidades declaradas de PTDVF de cualquier tipo de fuente de suministro cuando dichas cantidades vayan a ser utilizadas para </w:t>
      </w:r>
      <w:r w:rsidR="004232B9" w:rsidRPr="00B623EE">
        <w:rPr>
          <w:rFonts w:ascii="Bookman Old Style" w:hAnsi="Bookman Old Style"/>
          <w:b/>
          <w:bCs/>
        </w:rPr>
        <w:t>obligaciones de suministro de</w:t>
      </w:r>
      <w:r w:rsidR="00D62484" w:rsidRPr="00B623EE">
        <w:rPr>
          <w:rFonts w:ascii="Bookman Old Style" w:hAnsi="Bookman Old Style"/>
          <w:b/>
          <w:bCs/>
        </w:rPr>
        <w:t xml:space="preserve"> contratos de </w:t>
      </w:r>
      <w:r w:rsidR="00D339ED" w:rsidRPr="00B623EE">
        <w:rPr>
          <w:rFonts w:ascii="Bookman Old Style" w:hAnsi="Bookman Old Style"/>
          <w:b/>
          <w:bCs/>
        </w:rPr>
        <w:t xml:space="preserve">suministro de </w:t>
      </w:r>
      <w:r w:rsidR="00D62484" w:rsidRPr="00B623EE">
        <w:rPr>
          <w:rFonts w:ascii="Bookman Old Style" w:hAnsi="Bookman Old Style"/>
          <w:b/>
          <w:bCs/>
        </w:rPr>
        <w:t xml:space="preserve">contingencia.  </w:t>
      </w:r>
      <w:r w:rsidRPr="00B623EE">
        <w:rPr>
          <w:rFonts w:ascii="Bookman Old Style" w:hAnsi="Bookman Old Style"/>
          <w:b/>
          <w:bCs/>
        </w:rPr>
        <w:t>En el momento de realizar</w:t>
      </w:r>
      <w:r w:rsidR="00D859CC" w:rsidRPr="00B623EE">
        <w:rPr>
          <w:rFonts w:ascii="Bookman Old Style" w:hAnsi="Bookman Old Style"/>
          <w:b/>
          <w:bCs/>
        </w:rPr>
        <w:t xml:space="preserve"> </w:t>
      </w:r>
      <w:r w:rsidRPr="00B623EE">
        <w:rPr>
          <w:rFonts w:ascii="Bookman Old Style" w:hAnsi="Bookman Old Style"/>
          <w:b/>
          <w:bCs/>
        </w:rPr>
        <w:t xml:space="preserve">la </w:t>
      </w:r>
      <w:r w:rsidR="00D859CC" w:rsidRPr="00B623EE">
        <w:rPr>
          <w:rFonts w:ascii="Bookman Old Style" w:hAnsi="Bookman Old Style"/>
          <w:b/>
          <w:bCs/>
        </w:rPr>
        <w:t xml:space="preserve">adición </w:t>
      </w:r>
      <w:r w:rsidRPr="00B623EE">
        <w:rPr>
          <w:rFonts w:ascii="Bookman Old Style" w:hAnsi="Bookman Old Style"/>
          <w:b/>
          <w:bCs/>
        </w:rPr>
        <w:t xml:space="preserve">se deberá adjuntar </w:t>
      </w:r>
      <w:r w:rsidR="00D859CC" w:rsidRPr="00B623EE">
        <w:rPr>
          <w:rFonts w:ascii="Bookman Old Style" w:hAnsi="Bookman Old Style"/>
          <w:b/>
          <w:bCs/>
        </w:rPr>
        <w:t xml:space="preserve">al Gestor del Mercado </w:t>
      </w:r>
      <w:r w:rsidRPr="00B623EE">
        <w:rPr>
          <w:rFonts w:ascii="Bookman Old Style" w:hAnsi="Bookman Old Style"/>
          <w:b/>
          <w:bCs/>
        </w:rPr>
        <w:t>un documento que contenga las razones que originaron ese ajuste.</w:t>
      </w:r>
      <w:r w:rsidR="005D5944" w:rsidRPr="00B623EE">
        <w:rPr>
          <w:rFonts w:ascii="Bookman Old Style" w:hAnsi="Bookman Old Style"/>
          <w:b/>
          <w:bCs/>
        </w:rPr>
        <w:t xml:space="preserve"> </w:t>
      </w:r>
    </w:p>
    <w:p w14:paraId="0CE65E68" w14:textId="7CC06331" w:rsidR="00621026" w:rsidRPr="00B623EE" w:rsidRDefault="00621026" w:rsidP="00A56D38">
      <w:pPr>
        <w:tabs>
          <w:tab w:val="left" w:pos="0"/>
        </w:tabs>
        <w:ind w:left="0"/>
        <w:jc w:val="both"/>
        <w:rPr>
          <w:rFonts w:ascii="Bookman Old Style" w:hAnsi="Bookman Old Style"/>
          <w:b/>
          <w:bCs/>
        </w:rPr>
      </w:pPr>
    </w:p>
    <w:p w14:paraId="7BAA3D77" w14:textId="77D2EF46" w:rsidR="00621026" w:rsidRPr="00B623EE" w:rsidRDefault="00621026" w:rsidP="00A56D38">
      <w:pPr>
        <w:tabs>
          <w:tab w:val="left" w:pos="0"/>
        </w:tabs>
        <w:ind w:left="0"/>
        <w:jc w:val="both"/>
        <w:rPr>
          <w:rFonts w:ascii="Bookman Old Style" w:hAnsi="Bookman Old Style"/>
          <w:b/>
          <w:bCs/>
        </w:rPr>
      </w:pPr>
      <w:r w:rsidRPr="00B623EE">
        <w:rPr>
          <w:rFonts w:ascii="Bookman Old Style" w:hAnsi="Bookman Old Style"/>
          <w:b/>
          <w:bCs/>
        </w:rPr>
        <w:t xml:space="preserve">Parágrafo 2. Todos los comercializadores que atienden directamente usuarios que </w:t>
      </w:r>
      <w:r w:rsidR="0026734B" w:rsidRPr="00B623EE">
        <w:rPr>
          <w:rFonts w:ascii="Bookman Old Style" w:hAnsi="Bookman Old Style"/>
          <w:b/>
          <w:bCs/>
        </w:rPr>
        <w:t>s</w:t>
      </w:r>
      <w:r w:rsidRPr="00B623EE">
        <w:rPr>
          <w:rFonts w:ascii="Bookman Old Style" w:hAnsi="Bookman Old Style"/>
          <w:b/>
          <w:bCs/>
        </w:rPr>
        <w:t>on parte de la Demanda Esencial están obligados a presentar la información correspondiente, establecida en los literales c. y e. del presente artículo.</w:t>
      </w:r>
    </w:p>
    <w:p w14:paraId="75798B3C" w14:textId="52DF82FE" w:rsidR="00A56D38" w:rsidRPr="00B623EE" w:rsidRDefault="00A56D38" w:rsidP="00A56D38">
      <w:pPr>
        <w:ind w:left="0"/>
        <w:jc w:val="both"/>
        <w:rPr>
          <w:rFonts w:ascii="Bookman Old Style" w:hAnsi="Bookman Old Style"/>
          <w:b/>
          <w:bCs/>
        </w:rPr>
      </w:pPr>
    </w:p>
    <w:p w14:paraId="581C734F" w14:textId="2EEAA50F" w:rsidR="00A56D38" w:rsidRPr="00B623EE" w:rsidRDefault="00A56D38" w:rsidP="001B27B9">
      <w:pPr>
        <w:pStyle w:val="ARTICULOS"/>
        <w:rPr>
          <w:b/>
          <w:bCs w:val="0"/>
          <w:lang w:val="es-CO"/>
        </w:rPr>
      </w:pPr>
      <w:r w:rsidRPr="00B623EE">
        <w:rPr>
          <w:b/>
          <w:lang w:val="es-CO"/>
        </w:rPr>
        <w:t>Mecanismo de Aseguramiento de la Demanda Esencial, MADE.</w:t>
      </w:r>
      <w:r w:rsidRPr="00B623EE">
        <w:rPr>
          <w:lang w:val="es-CO"/>
        </w:rPr>
        <w:t xml:space="preserve"> </w:t>
      </w:r>
    </w:p>
    <w:p w14:paraId="56808865" w14:textId="727E1A7B" w:rsidR="00A56D38" w:rsidRPr="00B623EE" w:rsidRDefault="00A56D38" w:rsidP="00A56D38">
      <w:pPr>
        <w:pStyle w:val="ARTICULOS"/>
        <w:numPr>
          <w:ilvl w:val="0"/>
          <w:numId w:val="0"/>
        </w:numPr>
        <w:rPr>
          <w:b/>
          <w:color w:val="000000" w:themeColor="text1"/>
          <w:lang w:val="es-CO"/>
        </w:rPr>
      </w:pPr>
      <w:r w:rsidRPr="00B623EE">
        <w:rPr>
          <w:b/>
          <w:bCs w:val="0"/>
          <w:lang w:val="es-CO"/>
        </w:rPr>
        <w:t xml:space="preserve">Con base en el resultado de cada uno de </w:t>
      </w:r>
      <w:r w:rsidR="00F93D4A" w:rsidRPr="00B623EE">
        <w:rPr>
          <w:b/>
          <w:bCs w:val="0"/>
          <w:lang w:val="es-CO"/>
        </w:rPr>
        <w:t xml:space="preserve">los </w:t>
      </w:r>
      <w:r w:rsidRPr="00B623EE">
        <w:rPr>
          <w:b/>
          <w:bCs w:val="0"/>
          <w:lang w:val="es-CO"/>
        </w:rPr>
        <w:t>balances comerciales obtenido</w:t>
      </w:r>
      <w:r w:rsidR="00F93D4A" w:rsidRPr="00B623EE">
        <w:rPr>
          <w:b/>
          <w:bCs w:val="0"/>
          <w:lang w:val="es-CO"/>
        </w:rPr>
        <w:t>s</w:t>
      </w:r>
      <w:r w:rsidRPr="00B623EE">
        <w:rPr>
          <w:b/>
          <w:bCs w:val="0"/>
          <w:lang w:val="es-CO"/>
        </w:rPr>
        <w:t xml:space="preserve"> en el Trimestre Estándar de negociación</w:t>
      </w:r>
      <w:r w:rsidR="00F93D4A" w:rsidRPr="00B623EE">
        <w:rPr>
          <w:b/>
          <w:bCs w:val="0"/>
          <w:lang w:val="es-CO"/>
        </w:rPr>
        <w:t xml:space="preserve"> de acuerdo con lo establecido en el </w:t>
      </w:r>
      <w:r w:rsidR="006E2174">
        <w:rPr>
          <w:b/>
          <w:bCs w:val="0"/>
          <w:lang w:val="es-CO"/>
        </w:rPr>
        <w:t>a</w:t>
      </w:r>
      <w:r w:rsidR="00F93D4A" w:rsidRPr="00B623EE">
        <w:rPr>
          <w:b/>
          <w:bCs w:val="0"/>
          <w:lang w:val="es-CO"/>
        </w:rPr>
        <w:t>rtículo 21 anterior</w:t>
      </w:r>
      <w:r w:rsidRPr="00B623EE">
        <w:rPr>
          <w:b/>
          <w:bCs w:val="0"/>
          <w:lang w:val="es-CO"/>
        </w:rPr>
        <w:t xml:space="preserve">, se determinará el mecanismo a utilizar, para la posterior negociación del suministro </w:t>
      </w:r>
      <w:r w:rsidR="00F93D4A" w:rsidRPr="00B623EE">
        <w:rPr>
          <w:b/>
          <w:bCs w:val="0"/>
          <w:lang w:val="es-CO"/>
        </w:rPr>
        <w:t xml:space="preserve">a contratar para </w:t>
      </w:r>
      <w:r w:rsidRPr="00B623EE">
        <w:rPr>
          <w:b/>
          <w:bCs w:val="0"/>
          <w:lang w:val="es-CO"/>
        </w:rPr>
        <w:t>cada uno de esos trimestres estándar, ya sea de negociación directa, si el balance comercial es excedentario, o de subasta</w:t>
      </w:r>
      <w:r w:rsidR="00F93D4A" w:rsidRPr="00B623EE">
        <w:rPr>
          <w:b/>
          <w:bCs w:val="0"/>
          <w:lang w:val="es-CO"/>
        </w:rPr>
        <w:t xml:space="preserve"> centralizada</w:t>
      </w:r>
      <w:r w:rsidRPr="00B623EE">
        <w:rPr>
          <w:b/>
          <w:bCs w:val="0"/>
          <w:lang w:val="es-CO"/>
        </w:rPr>
        <w:t>, si el balance comercial es deficitario.</w:t>
      </w:r>
      <w:r w:rsidR="00CE2A80" w:rsidRPr="00B623EE">
        <w:rPr>
          <w:b/>
          <w:bCs w:val="0"/>
          <w:lang w:val="es-CO"/>
        </w:rPr>
        <w:t xml:space="preserve"> En el caso de las fuentes de suministro establecidas en el </w:t>
      </w:r>
      <w:r w:rsidR="009C02E5">
        <w:rPr>
          <w:b/>
          <w:bCs w:val="0"/>
          <w:lang w:val="es-CO"/>
        </w:rPr>
        <w:t>a</w:t>
      </w:r>
      <w:r w:rsidR="00CE2A80" w:rsidRPr="00B623EE">
        <w:rPr>
          <w:b/>
          <w:bCs w:val="0"/>
          <w:lang w:val="es-CO"/>
        </w:rPr>
        <w:t xml:space="preserve">rtículo 19 de la presente resolución, el mecanismo de comercialización a utilizar en el caso de un balance comercial deficitario, será el que cada vendedor disponga para ello, atendiendo en todo caso lo dispuesto en el </w:t>
      </w:r>
      <w:r w:rsidR="00CE2A80" w:rsidRPr="00B623EE">
        <w:rPr>
          <w:b/>
          <w:bCs w:val="0"/>
          <w:lang w:val="es-CO"/>
        </w:rPr>
        <w:lastRenderedPageBreak/>
        <w:t>presente artículo</w:t>
      </w:r>
      <w:r w:rsidR="00F93D4A" w:rsidRPr="00B623EE">
        <w:rPr>
          <w:b/>
          <w:bCs w:val="0"/>
          <w:lang w:val="es-CO"/>
        </w:rPr>
        <w:t xml:space="preserve"> a continuación</w:t>
      </w:r>
      <w:r w:rsidR="00CE2A80" w:rsidRPr="00B623EE">
        <w:rPr>
          <w:b/>
          <w:bCs w:val="0"/>
          <w:lang w:val="es-CO"/>
        </w:rPr>
        <w:t xml:space="preserve">. </w:t>
      </w:r>
    </w:p>
    <w:p w14:paraId="1BFD7DB5" w14:textId="77777777" w:rsidR="00A56D38" w:rsidRPr="00B623EE" w:rsidRDefault="00A56D38" w:rsidP="00A56D38">
      <w:pPr>
        <w:pStyle w:val="ARTICULOS"/>
        <w:numPr>
          <w:ilvl w:val="0"/>
          <w:numId w:val="0"/>
        </w:numPr>
        <w:rPr>
          <w:b/>
          <w:bCs w:val="0"/>
          <w:lang w:val="es-CO"/>
        </w:rPr>
      </w:pPr>
    </w:p>
    <w:p w14:paraId="66CC5B9F" w14:textId="520E3F68" w:rsidR="00A56D38" w:rsidRDefault="008B46CC" w:rsidP="00A56D38">
      <w:pPr>
        <w:pStyle w:val="ARTICULOS"/>
        <w:numPr>
          <w:ilvl w:val="0"/>
          <w:numId w:val="0"/>
        </w:numPr>
        <w:rPr>
          <w:b/>
          <w:bCs w:val="0"/>
          <w:lang w:val="es-CO"/>
        </w:rPr>
      </w:pPr>
      <w:r w:rsidRPr="00B623EE">
        <w:rPr>
          <w:b/>
          <w:lang w:val="es-CO"/>
        </w:rPr>
        <w:t xml:space="preserve">Para </w:t>
      </w:r>
      <w:r w:rsidRPr="00B623EE">
        <w:rPr>
          <w:b/>
          <w:bCs w:val="0"/>
          <w:lang w:val="es-CO"/>
        </w:rPr>
        <w:t>cada uno de los veinte (20) trimestres estándar posteriores a los anteriormente mencionados, es decir, para</w:t>
      </w:r>
      <w:r w:rsidRPr="00E540D7">
        <w:rPr>
          <w:b/>
          <w:bCs w:val="0"/>
          <w:lang w:val="es-CO"/>
        </w:rPr>
        <w:t xml:space="preserve"> el </w:t>
      </w:r>
      <w:r>
        <w:rPr>
          <w:b/>
          <w:bCs w:val="0"/>
          <w:lang w:val="es-CO"/>
        </w:rPr>
        <w:t>Trimestre Estándar</w:t>
      </w:r>
      <w:r w:rsidRPr="00E540D7">
        <w:rPr>
          <w:b/>
          <w:bCs w:val="0"/>
          <w:lang w:val="es-CO"/>
        </w:rPr>
        <w:t xml:space="preserve"> </w:t>
      </w:r>
      <w:r>
        <w:rPr>
          <w:b/>
          <w:bCs w:val="0"/>
          <w:lang w:val="es-CO"/>
        </w:rPr>
        <w:t>veintiuno (</w:t>
      </w:r>
      <w:r w:rsidRPr="00E540D7">
        <w:rPr>
          <w:b/>
          <w:bCs w:val="0"/>
          <w:lang w:val="es-CO"/>
        </w:rPr>
        <w:t>21</w:t>
      </w:r>
      <w:r>
        <w:rPr>
          <w:b/>
          <w:bCs w:val="0"/>
          <w:lang w:val="es-CO"/>
        </w:rPr>
        <w:t xml:space="preserve">) </w:t>
      </w:r>
      <w:r w:rsidRPr="00E540D7">
        <w:rPr>
          <w:b/>
          <w:bCs w:val="0"/>
          <w:lang w:val="es-CO"/>
        </w:rPr>
        <w:t xml:space="preserve">hasta el </w:t>
      </w:r>
      <w:r>
        <w:rPr>
          <w:b/>
          <w:bCs w:val="0"/>
          <w:lang w:val="es-CO"/>
        </w:rPr>
        <w:t>Trimestre Estándar</w:t>
      </w:r>
      <w:r w:rsidRPr="00E540D7">
        <w:rPr>
          <w:b/>
          <w:bCs w:val="0"/>
          <w:lang w:val="es-CO"/>
        </w:rPr>
        <w:t xml:space="preserve"> </w:t>
      </w:r>
      <w:r>
        <w:rPr>
          <w:b/>
          <w:bCs w:val="0"/>
          <w:lang w:val="es-CO"/>
        </w:rPr>
        <w:t>con el que se cuente con información de PTDV de las declaraciones de producción que se realizan al Ministerio de Minas y Energía</w:t>
      </w:r>
      <w:r w:rsidR="00A56D38" w:rsidRPr="006F3D6E">
        <w:rPr>
          <w:b/>
          <w:lang w:val="es-CO"/>
        </w:rPr>
        <w:t xml:space="preserve"> no se realizarán balances comerciales</w:t>
      </w:r>
      <w:r>
        <w:rPr>
          <w:b/>
          <w:lang w:val="es-CO"/>
        </w:rPr>
        <w:t xml:space="preserve"> </w:t>
      </w:r>
      <w:r w:rsidR="00A56D38" w:rsidRPr="006F3D6E">
        <w:rPr>
          <w:b/>
          <w:lang w:val="es-CO"/>
        </w:rPr>
        <w:t xml:space="preserve">y el mecanismo de comercialización </w:t>
      </w:r>
      <w:r w:rsidR="00A83D0D">
        <w:rPr>
          <w:b/>
          <w:lang w:val="es-CO"/>
        </w:rPr>
        <w:t xml:space="preserve">sin excepción ninguna, </w:t>
      </w:r>
      <w:r w:rsidR="00A56D38" w:rsidRPr="006F3D6E">
        <w:rPr>
          <w:b/>
          <w:lang w:val="es-CO"/>
        </w:rPr>
        <w:t>será el de negociación directa</w:t>
      </w:r>
      <w:r w:rsidR="00A56D38" w:rsidRPr="00E540D7">
        <w:rPr>
          <w:b/>
          <w:bCs w:val="0"/>
          <w:lang w:val="es-CO"/>
        </w:rPr>
        <w:t>.</w:t>
      </w:r>
    </w:p>
    <w:p w14:paraId="741EC90D" w14:textId="75037583" w:rsidR="00A30E91" w:rsidRDefault="00A30E91" w:rsidP="00A56D38">
      <w:pPr>
        <w:pStyle w:val="ARTICULOS"/>
        <w:numPr>
          <w:ilvl w:val="0"/>
          <w:numId w:val="0"/>
        </w:numPr>
        <w:rPr>
          <w:b/>
          <w:bCs w:val="0"/>
          <w:lang w:val="es-CO"/>
        </w:rPr>
      </w:pPr>
    </w:p>
    <w:p w14:paraId="20C00B31" w14:textId="35073FDA" w:rsidR="00A30E91" w:rsidRPr="00E540D7" w:rsidRDefault="00A30E91" w:rsidP="00A56D38">
      <w:pPr>
        <w:pStyle w:val="ARTICULOS"/>
        <w:numPr>
          <w:ilvl w:val="0"/>
          <w:numId w:val="0"/>
        </w:numPr>
        <w:rPr>
          <w:b/>
          <w:bCs w:val="0"/>
          <w:lang w:val="es-CO"/>
        </w:rPr>
      </w:pPr>
      <w:r>
        <w:rPr>
          <w:b/>
          <w:bCs w:val="0"/>
          <w:lang w:val="es-CO"/>
        </w:rPr>
        <w:t>La contratación en firme o con garantía de firmeza se realizará con las siguientes condiciones:</w:t>
      </w:r>
    </w:p>
    <w:p w14:paraId="48E3DEEB" w14:textId="77777777" w:rsidR="00A56D38" w:rsidRPr="00E540D7" w:rsidRDefault="00A56D38" w:rsidP="00A56D38">
      <w:pPr>
        <w:pStyle w:val="ARTICULOS"/>
        <w:numPr>
          <w:ilvl w:val="0"/>
          <w:numId w:val="0"/>
        </w:numPr>
        <w:rPr>
          <w:b/>
          <w:bCs w:val="0"/>
          <w:lang w:val="es-CO"/>
        </w:rPr>
      </w:pPr>
    </w:p>
    <w:p w14:paraId="07FDDDED" w14:textId="1994ACDE" w:rsidR="0006302B" w:rsidRPr="00B623EE" w:rsidRDefault="0006302B" w:rsidP="00A4790E">
      <w:pPr>
        <w:pStyle w:val="Prrafodelista"/>
        <w:numPr>
          <w:ilvl w:val="0"/>
          <w:numId w:val="98"/>
        </w:numPr>
        <w:ind w:left="567" w:hanging="567"/>
        <w:jc w:val="both"/>
        <w:outlineLvl w:val="0"/>
        <w:rPr>
          <w:rFonts w:ascii="Bookman Old Style" w:hAnsi="Bookman Old Style"/>
          <w:b/>
          <w:bCs/>
          <w:sz w:val="24"/>
          <w:szCs w:val="24"/>
          <w:lang w:val="es-ES"/>
        </w:rPr>
      </w:pPr>
      <w:r w:rsidRPr="000A4B7F">
        <w:rPr>
          <w:rFonts w:ascii="Bookman Old Style" w:hAnsi="Bookman Old Style"/>
          <w:b/>
          <w:bCs/>
          <w:sz w:val="24"/>
          <w:szCs w:val="24"/>
          <w:lang w:val="es-ES"/>
        </w:rPr>
        <w:t>Negociación y/o asignación de PTDVF y CIDVF cuando el balance comercial se</w:t>
      </w:r>
      <w:r>
        <w:rPr>
          <w:rFonts w:ascii="Bookman Old Style" w:hAnsi="Bookman Old Style"/>
          <w:b/>
          <w:bCs/>
          <w:sz w:val="24"/>
          <w:szCs w:val="24"/>
          <w:lang w:val="es-ES"/>
        </w:rPr>
        <w:t>a</w:t>
      </w:r>
      <w:r w:rsidRPr="000A4B7F">
        <w:rPr>
          <w:rFonts w:ascii="Bookman Old Style" w:hAnsi="Bookman Old Style"/>
          <w:b/>
          <w:bCs/>
          <w:sz w:val="24"/>
          <w:szCs w:val="24"/>
          <w:lang w:val="es-ES"/>
        </w:rPr>
        <w:t xml:space="preserve"> </w:t>
      </w:r>
      <w:r>
        <w:rPr>
          <w:rFonts w:ascii="Bookman Old Style" w:hAnsi="Bookman Old Style"/>
          <w:b/>
          <w:bCs/>
          <w:sz w:val="24"/>
          <w:szCs w:val="24"/>
          <w:lang w:val="es-ES"/>
        </w:rPr>
        <w:t>excedentario</w:t>
      </w:r>
      <w:r w:rsidRPr="000A4B7F">
        <w:rPr>
          <w:rFonts w:ascii="Bookman Old Style" w:hAnsi="Bookman Old Style"/>
          <w:b/>
          <w:bCs/>
          <w:sz w:val="24"/>
          <w:szCs w:val="24"/>
          <w:lang w:val="es-ES"/>
        </w:rPr>
        <w:t xml:space="preserve">: Para negociar y/o asignar las cantidades </w:t>
      </w:r>
      <w:r w:rsidRPr="00B623EE">
        <w:rPr>
          <w:rFonts w:ascii="Bookman Old Style" w:hAnsi="Bookman Old Style"/>
          <w:b/>
          <w:bCs/>
          <w:sz w:val="24"/>
          <w:szCs w:val="24"/>
          <w:lang w:val="es-ES"/>
        </w:rPr>
        <w:t xml:space="preserve">de PTDVF y CIDVF, en cada Punto de Referencia establecido por el </w:t>
      </w:r>
      <w:r w:rsidR="0022131A" w:rsidRPr="00B623EE">
        <w:rPr>
          <w:rFonts w:ascii="Bookman Old Style" w:hAnsi="Bookman Old Style"/>
          <w:b/>
          <w:sz w:val="24"/>
          <w:szCs w:val="24"/>
          <w:lang w:val="es-ES"/>
        </w:rPr>
        <w:t>Gestor</w:t>
      </w:r>
      <w:r w:rsidRPr="00B623EE">
        <w:rPr>
          <w:rFonts w:ascii="Bookman Old Style" w:hAnsi="Bookman Old Style"/>
          <w:b/>
          <w:sz w:val="24"/>
          <w:szCs w:val="24"/>
          <w:lang w:val="es-ES"/>
        </w:rPr>
        <w:t xml:space="preserve"> </w:t>
      </w:r>
      <w:r w:rsidRPr="00B623EE">
        <w:rPr>
          <w:rFonts w:ascii="Bookman Old Style" w:hAnsi="Bookman Old Style"/>
          <w:b/>
          <w:bCs/>
          <w:sz w:val="24"/>
          <w:szCs w:val="24"/>
          <w:lang w:val="es-ES"/>
        </w:rPr>
        <w:t>del Mercado, entre los Participantes del Mercado Primario, de que tratan los artículos 16 y 17 de la presente resolución o aquella que la modifique o sustituya, se podrán desarrollar negociaciones directas y se aplicará</w:t>
      </w:r>
      <w:r w:rsidR="009D4480" w:rsidRPr="00B623EE">
        <w:rPr>
          <w:rFonts w:ascii="Bookman Old Style" w:hAnsi="Bookman Old Style"/>
          <w:b/>
          <w:bCs/>
          <w:sz w:val="24"/>
          <w:szCs w:val="24"/>
          <w:lang w:val="es-ES"/>
        </w:rPr>
        <w:t>n las siguientes reglas y</w:t>
      </w:r>
      <w:r w:rsidRPr="00B623EE">
        <w:rPr>
          <w:rFonts w:ascii="Bookman Old Style" w:hAnsi="Bookman Old Style"/>
          <w:b/>
          <w:bCs/>
          <w:sz w:val="24"/>
          <w:szCs w:val="24"/>
          <w:lang w:val="es-ES"/>
        </w:rPr>
        <w:t xml:space="preserve"> procedimiento</w:t>
      </w:r>
      <w:r w:rsidR="009D4480" w:rsidRPr="00B623EE">
        <w:rPr>
          <w:rFonts w:ascii="Bookman Old Style" w:hAnsi="Bookman Old Style"/>
          <w:b/>
          <w:bCs/>
          <w:sz w:val="24"/>
          <w:szCs w:val="24"/>
          <w:lang w:val="es-ES"/>
        </w:rPr>
        <w:t>s</w:t>
      </w:r>
      <w:r w:rsidRPr="00B623EE">
        <w:rPr>
          <w:rFonts w:ascii="Bookman Old Style" w:hAnsi="Bookman Old Style"/>
          <w:b/>
          <w:bCs/>
          <w:sz w:val="24"/>
          <w:szCs w:val="24"/>
          <w:lang w:val="es-ES"/>
        </w:rPr>
        <w:t xml:space="preserve"> para</w:t>
      </w:r>
      <w:r w:rsidR="00A2683E" w:rsidRPr="00B623EE">
        <w:rPr>
          <w:rFonts w:ascii="Bookman Old Style" w:hAnsi="Bookman Old Style"/>
          <w:b/>
          <w:bCs/>
          <w:sz w:val="24"/>
          <w:szCs w:val="24"/>
          <w:lang w:val="es-ES"/>
        </w:rPr>
        <w:t xml:space="preserve"> todos y cada uno de los</w:t>
      </w:r>
      <w:r w:rsidRPr="00B623EE">
        <w:rPr>
          <w:rFonts w:ascii="Bookman Old Style" w:hAnsi="Bookman Old Style"/>
          <w:b/>
          <w:bCs/>
          <w:sz w:val="24"/>
          <w:szCs w:val="24"/>
          <w:lang w:val="es-ES"/>
        </w:rPr>
        <w:t xml:space="preserve"> Puntos de Entrega y Fuentes de Suministro de un mismo Punto de Referencia en cada uno de los veinte (20) trimestres estándar siguientes al Trimestre Estándar de negociación:</w:t>
      </w:r>
    </w:p>
    <w:p w14:paraId="31378AB1" w14:textId="77777777" w:rsidR="0006302B" w:rsidRPr="00B623EE" w:rsidRDefault="0006302B" w:rsidP="0006302B">
      <w:pPr>
        <w:pStyle w:val="Prrafodelista"/>
        <w:ind w:left="2880"/>
        <w:jc w:val="both"/>
        <w:rPr>
          <w:rFonts w:ascii="Bookman Old Style" w:hAnsi="Bookman Old Style"/>
          <w:b/>
          <w:bCs/>
          <w:sz w:val="24"/>
          <w:szCs w:val="24"/>
        </w:rPr>
      </w:pPr>
    </w:p>
    <w:p w14:paraId="30556108" w14:textId="209740D6" w:rsidR="00FD6654" w:rsidRDefault="009563B1" w:rsidP="00A4790E">
      <w:pPr>
        <w:pStyle w:val="Prrafodelista"/>
        <w:numPr>
          <w:ilvl w:val="1"/>
          <w:numId w:val="98"/>
        </w:numPr>
        <w:ind w:left="709" w:hanging="283"/>
        <w:jc w:val="both"/>
        <w:outlineLvl w:val="0"/>
        <w:rPr>
          <w:rFonts w:ascii="Bookman Old Style" w:hAnsi="Bookman Old Style"/>
          <w:b/>
          <w:bCs/>
          <w:sz w:val="24"/>
          <w:szCs w:val="24"/>
          <w:lang w:val="es-ES"/>
        </w:rPr>
      </w:pPr>
      <w:r>
        <w:rPr>
          <w:rFonts w:ascii="Bookman Old Style" w:hAnsi="Bookman Old Style"/>
          <w:b/>
          <w:bCs/>
          <w:sz w:val="24"/>
          <w:szCs w:val="24"/>
          <w:lang w:val="es-ES"/>
        </w:rPr>
        <w:t>P</w:t>
      </w:r>
      <w:r w:rsidR="00F47DC6">
        <w:rPr>
          <w:rFonts w:ascii="Bookman Old Style" w:hAnsi="Bookman Old Style"/>
          <w:b/>
          <w:bCs/>
          <w:sz w:val="24"/>
          <w:szCs w:val="24"/>
          <w:lang w:val="es-ES"/>
        </w:rPr>
        <w:t>rimera etapa de negociación y registro de contratos</w:t>
      </w:r>
      <w:r>
        <w:rPr>
          <w:rFonts w:ascii="Bookman Old Style" w:hAnsi="Bookman Old Style"/>
          <w:b/>
          <w:bCs/>
          <w:sz w:val="24"/>
          <w:szCs w:val="24"/>
          <w:lang w:val="es-ES"/>
        </w:rPr>
        <w:t>:</w:t>
      </w:r>
      <w:r w:rsidR="00F47DC6">
        <w:rPr>
          <w:rFonts w:ascii="Bookman Old Style" w:hAnsi="Bookman Old Style"/>
          <w:b/>
          <w:bCs/>
          <w:sz w:val="24"/>
          <w:szCs w:val="24"/>
          <w:lang w:val="es-ES"/>
        </w:rPr>
        <w:t xml:space="preserve"> a</w:t>
      </w:r>
      <w:r w:rsidR="0006302B" w:rsidRPr="00B623EE">
        <w:rPr>
          <w:rFonts w:ascii="Bookman Old Style" w:hAnsi="Bookman Old Style"/>
          <w:b/>
          <w:bCs/>
          <w:sz w:val="24"/>
          <w:szCs w:val="24"/>
          <w:lang w:val="es-ES"/>
        </w:rPr>
        <w:t xml:space="preserve"> partir del vigésimo día </w:t>
      </w:r>
      <w:r w:rsidR="00A2683E" w:rsidRPr="00B623EE">
        <w:rPr>
          <w:rFonts w:ascii="Bookman Old Style" w:hAnsi="Bookman Old Style"/>
          <w:b/>
          <w:bCs/>
          <w:sz w:val="24"/>
          <w:szCs w:val="24"/>
          <w:lang w:val="es-ES"/>
        </w:rPr>
        <w:t xml:space="preserve">hábil </w:t>
      </w:r>
      <w:r w:rsidR="0006302B" w:rsidRPr="00B623EE">
        <w:rPr>
          <w:rFonts w:ascii="Bookman Old Style" w:hAnsi="Bookman Old Style"/>
          <w:b/>
          <w:bCs/>
          <w:sz w:val="24"/>
          <w:szCs w:val="24"/>
          <w:lang w:val="es-ES"/>
        </w:rPr>
        <w:t xml:space="preserve">del trimestre de negociación, los compradores señalados en el </w:t>
      </w:r>
      <w:r w:rsidR="00F17E37">
        <w:rPr>
          <w:rFonts w:ascii="Bookman Old Style" w:hAnsi="Bookman Old Style"/>
          <w:b/>
          <w:bCs/>
          <w:sz w:val="24"/>
          <w:szCs w:val="24"/>
          <w:lang w:val="es-ES"/>
        </w:rPr>
        <w:t>a</w:t>
      </w:r>
      <w:r w:rsidR="0006302B" w:rsidRPr="00B623EE">
        <w:rPr>
          <w:rFonts w:ascii="Bookman Old Style" w:hAnsi="Bookman Old Style"/>
          <w:b/>
          <w:bCs/>
          <w:sz w:val="24"/>
          <w:szCs w:val="24"/>
          <w:lang w:val="es-ES"/>
        </w:rPr>
        <w:t>rtículo 17 de la presente Resolución</w:t>
      </w:r>
      <w:r w:rsidR="00F47DC6">
        <w:rPr>
          <w:rFonts w:ascii="Bookman Old Style" w:hAnsi="Bookman Old Style"/>
          <w:b/>
          <w:bCs/>
          <w:sz w:val="24"/>
          <w:szCs w:val="24"/>
          <w:lang w:val="es-ES"/>
        </w:rPr>
        <w:t xml:space="preserve"> </w:t>
      </w:r>
      <w:bookmarkStart w:id="57" w:name="_Hlk122347994"/>
      <w:r w:rsidR="00F47DC6">
        <w:rPr>
          <w:rFonts w:ascii="Bookman Old Style" w:hAnsi="Bookman Old Style"/>
          <w:b/>
          <w:bCs/>
          <w:sz w:val="24"/>
          <w:szCs w:val="24"/>
          <w:lang w:val="es-ES"/>
        </w:rPr>
        <w:t>deber</w:t>
      </w:r>
      <w:r w:rsidR="00F47DC6" w:rsidRPr="00B623EE">
        <w:rPr>
          <w:rFonts w:ascii="Bookman Old Style" w:hAnsi="Bookman Old Style"/>
          <w:b/>
          <w:bCs/>
          <w:sz w:val="24"/>
          <w:szCs w:val="24"/>
          <w:lang w:val="es-ES"/>
        </w:rPr>
        <w:t xml:space="preserve">án </w:t>
      </w:r>
      <w:r w:rsidR="0006302B" w:rsidRPr="00B623EE">
        <w:rPr>
          <w:rFonts w:ascii="Bookman Old Style" w:hAnsi="Bookman Old Style"/>
          <w:b/>
          <w:bCs/>
          <w:sz w:val="24"/>
          <w:szCs w:val="24"/>
          <w:lang w:val="es-ES"/>
        </w:rPr>
        <w:t xml:space="preserve">enviar </w:t>
      </w:r>
      <w:r w:rsidR="003C73BD">
        <w:rPr>
          <w:rFonts w:ascii="Bookman Old Style" w:hAnsi="Bookman Old Style"/>
          <w:b/>
          <w:bCs/>
          <w:sz w:val="24"/>
          <w:szCs w:val="24"/>
          <w:lang w:val="es-ES"/>
        </w:rPr>
        <w:t>con plazo máximo el vigésimo segundo día hábil del trimestre de negociación</w:t>
      </w:r>
      <w:r w:rsidR="00FD6654">
        <w:rPr>
          <w:rFonts w:ascii="Bookman Old Style" w:hAnsi="Bookman Old Style"/>
          <w:b/>
          <w:bCs/>
          <w:sz w:val="24"/>
          <w:szCs w:val="24"/>
          <w:lang w:val="es-ES"/>
        </w:rPr>
        <w:t xml:space="preserve">, </w:t>
      </w:r>
      <w:r w:rsidR="0006302B" w:rsidRPr="00B623EE">
        <w:rPr>
          <w:rFonts w:ascii="Bookman Old Style" w:hAnsi="Bookman Old Style"/>
          <w:b/>
          <w:bCs/>
          <w:sz w:val="24"/>
          <w:szCs w:val="24"/>
          <w:lang w:val="es-ES"/>
        </w:rPr>
        <w:t>a</w:t>
      </w:r>
      <w:r w:rsidR="00F47DC6">
        <w:rPr>
          <w:rFonts w:ascii="Bookman Old Style" w:hAnsi="Bookman Old Style"/>
          <w:b/>
          <w:bCs/>
          <w:sz w:val="24"/>
          <w:szCs w:val="24"/>
          <w:lang w:val="es-ES"/>
        </w:rPr>
        <w:t>l vendedor o a</w:t>
      </w:r>
      <w:r w:rsidR="0006302B" w:rsidRPr="00B623EE">
        <w:rPr>
          <w:rFonts w:ascii="Bookman Old Style" w:hAnsi="Bookman Old Style"/>
          <w:b/>
          <w:bCs/>
          <w:sz w:val="24"/>
          <w:szCs w:val="24"/>
          <w:lang w:val="es-ES"/>
        </w:rPr>
        <w:t xml:space="preserve"> los vendedores </w:t>
      </w:r>
      <w:r w:rsidR="00F47DC6" w:rsidRPr="00B623EE">
        <w:rPr>
          <w:rFonts w:ascii="Bookman Old Style" w:hAnsi="Bookman Old Style"/>
          <w:b/>
          <w:bCs/>
          <w:sz w:val="24"/>
          <w:szCs w:val="24"/>
          <w:lang w:val="es-ES"/>
        </w:rPr>
        <w:t>de un mismo Punto de Referencia</w:t>
      </w:r>
      <w:r w:rsidR="00F47DC6">
        <w:rPr>
          <w:rFonts w:ascii="Bookman Old Style" w:hAnsi="Bookman Old Style"/>
          <w:b/>
          <w:bCs/>
          <w:sz w:val="24"/>
          <w:szCs w:val="24"/>
          <w:lang w:val="es-ES"/>
        </w:rPr>
        <w:t xml:space="preserve"> que </w:t>
      </w:r>
      <w:r w:rsidR="00BF643D">
        <w:rPr>
          <w:rFonts w:ascii="Bookman Old Style" w:hAnsi="Bookman Old Style"/>
          <w:b/>
          <w:bCs/>
          <w:sz w:val="24"/>
          <w:szCs w:val="24"/>
          <w:lang w:val="es-ES"/>
        </w:rPr>
        <w:t xml:space="preserve">el comprador quiera </w:t>
      </w:r>
      <w:r w:rsidR="00F47DC6">
        <w:rPr>
          <w:rFonts w:ascii="Bookman Old Style" w:hAnsi="Bookman Old Style"/>
          <w:b/>
          <w:bCs/>
          <w:sz w:val="24"/>
          <w:szCs w:val="24"/>
          <w:lang w:val="es-ES"/>
        </w:rPr>
        <w:t>consider</w:t>
      </w:r>
      <w:r w:rsidR="00BF643D">
        <w:rPr>
          <w:rFonts w:ascii="Bookman Old Style" w:hAnsi="Bookman Old Style"/>
          <w:b/>
          <w:bCs/>
          <w:sz w:val="24"/>
          <w:szCs w:val="24"/>
          <w:lang w:val="es-ES"/>
        </w:rPr>
        <w:t>ar</w:t>
      </w:r>
      <w:r w:rsidR="00F47DC6">
        <w:rPr>
          <w:rFonts w:ascii="Bookman Old Style" w:hAnsi="Bookman Old Style"/>
          <w:b/>
          <w:bCs/>
          <w:sz w:val="24"/>
          <w:szCs w:val="24"/>
          <w:lang w:val="es-ES"/>
        </w:rPr>
        <w:t xml:space="preserve">, </w:t>
      </w:r>
      <w:r w:rsidR="00FD6654">
        <w:rPr>
          <w:rFonts w:ascii="Bookman Old Style" w:hAnsi="Bookman Old Style"/>
          <w:b/>
          <w:bCs/>
          <w:sz w:val="24"/>
          <w:szCs w:val="24"/>
          <w:lang w:val="es-ES"/>
        </w:rPr>
        <w:t xml:space="preserve">las </w:t>
      </w:r>
      <w:r w:rsidR="0006302B" w:rsidRPr="00B623EE">
        <w:rPr>
          <w:rFonts w:ascii="Bookman Old Style" w:hAnsi="Bookman Old Style"/>
          <w:b/>
          <w:bCs/>
          <w:sz w:val="24"/>
          <w:szCs w:val="24"/>
          <w:lang w:val="es-ES"/>
        </w:rPr>
        <w:t xml:space="preserve">solicitudes de </w:t>
      </w:r>
      <w:r w:rsidR="00651075" w:rsidRPr="00B623EE">
        <w:rPr>
          <w:rFonts w:ascii="Bookman Old Style" w:hAnsi="Bookman Old Style"/>
          <w:b/>
          <w:bCs/>
          <w:sz w:val="24"/>
          <w:szCs w:val="24"/>
          <w:lang w:val="es-ES"/>
        </w:rPr>
        <w:t>compra</w:t>
      </w:r>
      <w:r w:rsidR="00F47DC6">
        <w:rPr>
          <w:rFonts w:ascii="Bookman Old Style" w:hAnsi="Bookman Old Style"/>
          <w:b/>
          <w:bCs/>
          <w:sz w:val="24"/>
          <w:szCs w:val="24"/>
          <w:lang w:val="es-ES"/>
        </w:rPr>
        <w:t xml:space="preserve"> de las cantidades </w:t>
      </w:r>
      <w:r w:rsidR="00F47DC6" w:rsidRPr="00BC43C1">
        <w:rPr>
          <w:rFonts w:ascii="Bookman Old Style" w:hAnsi="Bookman Old Style"/>
          <w:b/>
          <w:bCs/>
          <w:sz w:val="24"/>
          <w:szCs w:val="24"/>
          <w:lang w:val="es-ES"/>
        </w:rPr>
        <w:t xml:space="preserve">requeridas para ese Punto, </w:t>
      </w:r>
      <w:r w:rsidR="00BF643D">
        <w:rPr>
          <w:rFonts w:ascii="Bookman Old Style" w:hAnsi="Bookman Old Style"/>
          <w:b/>
          <w:bCs/>
          <w:sz w:val="24"/>
          <w:szCs w:val="24"/>
          <w:lang w:val="es-ES"/>
        </w:rPr>
        <w:t xml:space="preserve">sin superar el total de las </w:t>
      </w:r>
      <w:r w:rsidR="003C73BD">
        <w:rPr>
          <w:rFonts w:ascii="Bookman Old Style" w:hAnsi="Bookman Old Style"/>
          <w:b/>
          <w:bCs/>
          <w:sz w:val="24"/>
          <w:szCs w:val="24"/>
          <w:lang w:val="es-ES"/>
        </w:rPr>
        <w:t xml:space="preserve">cantidades </w:t>
      </w:r>
      <w:r w:rsidR="00F47DC6">
        <w:rPr>
          <w:rFonts w:ascii="Bookman Old Style" w:hAnsi="Bookman Old Style"/>
          <w:b/>
          <w:bCs/>
          <w:sz w:val="24"/>
          <w:szCs w:val="24"/>
          <w:lang w:val="es-ES"/>
        </w:rPr>
        <w:t>declarad</w:t>
      </w:r>
      <w:r w:rsidR="003C73BD">
        <w:rPr>
          <w:rFonts w:ascii="Bookman Old Style" w:hAnsi="Bookman Old Style"/>
          <w:b/>
          <w:bCs/>
          <w:sz w:val="24"/>
          <w:szCs w:val="24"/>
          <w:lang w:val="es-ES"/>
        </w:rPr>
        <w:t>as</w:t>
      </w:r>
      <w:r w:rsidR="00F47DC6">
        <w:rPr>
          <w:rFonts w:ascii="Bookman Old Style" w:hAnsi="Bookman Old Style"/>
          <w:b/>
          <w:bCs/>
          <w:sz w:val="24"/>
          <w:szCs w:val="24"/>
          <w:lang w:val="es-ES"/>
        </w:rPr>
        <w:t xml:space="preserve"> </w:t>
      </w:r>
      <w:r w:rsidR="003C73BD">
        <w:rPr>
          <w:rFonts w:ascii="Bookman Old Style" w:hAnsi="Bookman Old Style"/>
          <w:b/>
          <w:bCs/>
          <w:sz w:val="24"/>
          <w:szCs w:val="24"/>
          <w:lang w:val="es-ES"/>
        </w:rPr>
        <w:t>por el comprador en aplicación d</w:t>
      </w:r>
      <w:r w:rsidR="00F47DC6">
        <w:rPr>
          <w:rFonts w:ascii="Bookman Old Style" w:hAnsi="Bookman Old Style"/>
          <w:b/>
          <w:bCs/>
          <w:sz w:val="24"/>
          <w:szCs w:val="24"/>
          <w:lang w:val="es-ES"/>
        </w:rPr>
        <w:t>el</w:t>
      </w:r>
      <w:r w:rsidR="00F47DC6" w:rsidRPr="00BC43C1">
        <w:rPr>
          <w:rFonts w:ascii="Bookman Old Style" w:hAnsi="Bookman Old Style"/>
          <w:b/>
          <w:bCs/>
          <w:sz w:val="24"/>
          <w:szCs w:val="24"/>
          <w:lang w:val="es-ES"/>
        </w:rPr>
        <w:t xml:space="preserve"> literal e. del </w:t>
      </w:r>
      <w:r w:rsidR="004D7FDB">
        <w:rPr>
          <w:rFonts w:ascii="Bookman Old Style" w:hAnsi="Bookman Old Style"/>
          <w:b/>
          <w:bCs/>
          <w:sz w:val="24"/>
          <w:szCs w:val="24"/>
          <w:lang w:val="es-ES"/>
        </w:rPr>
        <w:t>a</w:t>
      </w:r>
      <w:r w:rsidR="00F47DC6" w:rsidRPr="00BC43C1">
        <w:rPr>
          <w:rFonts w:ascii="Bookman Old Style" w:hAnsi="Bookman Old Style"/>
          <w:b/>
          <w:bCs/>
          <w:sz w:val="24"/>
          <w:szCs w:val="24"/>
          <w:lang w:val="es-ES"/>
        </w:rPr>
        <w:t>rtículo 21 de la presente resolución</w:t>
      </w:r>
      <w:r w:rsidR="0006302B" w:rsidRPr="00B623EE">
        <w:rPr>
          <w:rFonts w:ascii="Bookman Old Style" w:hAnsi="Bookman Old Style"/>
          <w:b/>
          <w:bCs/>
          <w:sz w:val="24"/>
          <w:szCs w:val="24"/>
          <w:lang w:val="es-ES"/>
        </w:rPr>
        <w:t xml:space="preserve">. </w:t>
      </w:r>
    </w:p>
    <w:p w14:paraId="54EA007A" w14:textId="57011F71" w:rsidR="00FD6654" w:rsidRDefault="00FD6654" w:rsidP="00FD6654">
      <w:pPr>
        <w:pStyle w:val="Prrafodelista"/>
        <w:ind w:left="709"/>
        <w:jc w:val="both"/>
        <w:outlineLvl w:val="0"/>
        <w:rPr>
          <w:rFonts w:ascii="Bookman Old Style" w:hAnsi="Bookman Old Style"/>
          <w:b/>
          <w:bCs/>
          <w:sz w:val="24"/>
          <w:szCs w:val="24"/>
          <w:lang w:val="es-ES"/>
        </w:rPr>
      </w:pPr>
    </w:p>
    <w:p w14:paraId="612016AE" w14:textId="1DD64051" w:rsidR="00FD6654" w:rsidRDefault="00BF643D" w:rsidP="00FD6654">
      <w:pPr>
        <w:pStyle w:val="Prrafodelista"/>
        <w:ind w:left="709"/>
        <w:jc w:val="both"/>
        <w:outlineLvl w:val="0"/>
        <w:rPr>
          <w:rFonts w:ascii="Bookman Old Style" w:hAnsi="Bookman Old Style"/>
          <w:b/>
          <w:bCs/>
          <w:sz w:val="24"/>
          <w:szCs w:val="24"/>
          <w:lang w:val="es-ES"/>
        </w:rPr>
      </w:pPr>
      <w:r>
        <w:rPr>
          <w:rFonts w:ascii="Bookman Old Style" w:hAnsi="Bookman Old Style"/>
          <w:b/>
          <w:bCs/>
          <w:sz w:val="24"/>
          <w:szCs w:val="24"/>
          <w:lang w:val="es-ES"/>
        </w:rPr>
        <w:t>Como máximo en el vigésimo cuarto día hábil del trimestre de negociación, c</w:t>
      </w:r>
      <w:r w:rsidR="00F47DC6">
        <w:rPr>
          <w:rFonts w:ascii="Bookman Old Style" w:hAnsi="Bookman Old Style"/>
          <w:b/>
          <w:bCs/>
          <w:sz w:val="24"/>
          <w:szCs w:val="24"/>
          <w:lang w:val="es-ES"/>
        </w:rPr>
        <w:t>ada uno de l</w:t>
      </w:r>
      <w:r w:rsidR="00FD6654">
        <w:rPr>
          <w:rFonts w:ascii="Bookman Old Style" w:hAnsi="Bookman Old Style"/>
          <w:b/>
          <w:bCs/>
          <w:sz w:val="24"/>
          <w:szCs w:val="24"/>
          <w:lang w:val="es-ES"/>
        </w:rPr>
        <w:t xml:space="preserve">os vendedores </w:t>
      </w:r>
      <w:r w:rsidR="00F47DC6">
        <w:rPr>
          <w:rFonts w:ascii="Bookman Old Style" w:hAnsi="Bookman Old Style"/>
          <w:b/>
          <w:bCs/>
          <w:sz w:val="24"/>
          <w:szCs w:val="24"/>
          <w:lang w:val="es-ES"/>
        </w:rPr>
        <w:t xml:space="preserve">del punto de referencia </w:t>
      </w:r>
      <w:r w:rsidR="00FD6654">
        <w:rPr>
          <w:rFonts w:ascii="Bookman Old Style" w:hAnsi="Bookman Old Style"/>
          <w:b/>
          <w:bCs/>
          <w:sz w:val="24"/>
          <w:szCs w:val="24"/>
          <w:lang w:val="es-ES"/>
        </w:rPr>
        <w:t>deberá informar a los compradores que les presentaron solicitudes</w:t>
      </w:r>
      <w:r w:rsidR="006D3884">
        <w:rPr>
          <w:rFonts w:ascii="Bookman Old Style" w:hAnsi="Bookman Old Style"/>
          <w:b/>
          <w:bCs/>
          <w:sz w:val="24"/>
          <w:szCs w:val="24"/>
          <w:lang w:val="es-ES"/>
        </w:rPr>
        <w:t>, si</w:t>
      </w:r>
      <w:r w:rsidR="00FD6654">
        <w:rPr>
          <w:rFonts w:ascii="Bookman Old Style" w:hAnsi="Bookman Old Style"/>
          <w:b/>
          <w:bCs/>
          <w:sz w:val="24"/>
          <w:szCs w:val="24"/>
          <w:lang w:val="es-ES"/>
        </w:rPr>
        <w:t xml:space="preserve"> las cantidades </w:t>
      </w:r>
      <w:r w:rsidR="00F47DC6">
        <w:rPr>
          <w:rFonts w:ascii="Bookman Old Style" w:hAnsi="Bookman Old Style"/>
          <w:b/>
          <w:bCs/>
          <w:sz w:val="24"/>
          <w:szCs w:val="24"/>
          <w:lang w:val="es-ES"/>
        </w:rPr>
        <w:t xml:space="preserve">totales que le fueron </w:t>
      </w:r>
      <w:r w:rsidR="00FD6654">
        <w:rPr>
          <w:rFonts w:ascii="Bookman Old Style" w:hAnsi="Bookman Old Style"/>
          <w:b/>
          <w:bCs/>
          <w:sz w:val="24"/>
          <w:szCs w:val="24"/>
          <w:lang w:val="es-ES"/>
        </w:rPr>
        <w:t xml:space="preserve">solicitadas </w:t>
      </w:r>
      <w:r w:rsidR="00F47DC6">
        <w:rPr>
          <w:rFonts w:ascii="Bookman Old Style" w:hAnsi="Bookman Old Style"/>
          <w:b/>
          <w:bCs/>
          <w:sz w:val="24"/>
          <w:szCs w:val="24"/>
          <w:lang w:val="es-ES"/>
        </w:rPr>
        <w:t>por los compradores</w:t>
      </w:r>
      <w:r w:rsidR="00FD6654">
        <w:rPr>
          <w:rFonts w:ascii="Bookman Old Style" w:hAnsi="Bookman Old Style"/>
          <w:b/>
          <w:bCs/>
          <w:sz w:val="24"/>
          <w:szCs w:val="24"/>
          <w:lang w:val="es-ES"/>
        </w:rPr>
        <w:t xml:space="preserve"> </w:t>
      </w:r>
      <w:r w:rsidR="006D3884">
        <w:rPr>
          <w:rFonts w:ascii="Bookman Old Style" w:hAnsi="Bookman Old Style"/>
          <w:b/>
          <w:bCs/>
          <w:sz w:val="24"/>
          <w:szCs w:val="24"/>
          <w:lang w:val="es-ES"/>
        </w:rPr>
        <w:t>son</w:t>
      </w:r>
      <w:r w:rsidR="00FD6654">
        <w:rPr>
          <w:rFonts w:ascii="Bookman Old Style" w:hAnsi="Bookman Old Style"/>
          <w:b/>
          <w:bCs/>
          <w:sz w:val="24"/>
          <w:szCs w:val="24"/>
          <w:lang w:val="es-ES"/>
        </w:rPr>
        <w:t xml:space="preserve"> superiores a las cantidades declaradas como PTDVF </w:t>
      </w:r>
      <w:r w:rsidR="003C73BD">
        <w:rPr>
          <w:rFonts w:ascii="Bookman Old Style" w:hAnsi="Bookman Old Style"/>
          <w:b/>
          <w:bCs/>
          <w:sz w:val="24"/>
          <w:szCs w:val="24"/>
          <w:lang w:val="es-ES"/>
        </w:rPr>
        <w:t xml:space="preserve">y/o CIDVF </w:t>
      </w:r>
      <w:r w:rsidR="00FD6654">
        <w:rPr>
          <w:rFonts w:ascii="Bookman Old Style" w:hAnsi="Bookman Old Style"/>
          <w:b/>
          <w:bCs/>
          <w:sz w:val="24"/>
          <w:szCs w:val="24"/>
          <w:lang w:val="es-ES"/>
        </w:rPr>
        <w:t xml:space="preserve">por el vendedor para </w:t>
      </w:r>
      <w:r w:rsidR="006D3884">
        <w:rPr>
          <w:rFonts w:ascii="Bookman Old Style" w:hAnsi="Bookman Old Style"/>
          <w:b/>
          <w:bCs/>
          <w:sz w:val="24"/>
          <w:szCs w:val="24"/>
          <w:lang w:val="es-ES"/>
        </w:rPr>
        <w:t>el punto de referencia.</w:t>
      </w:r>
      <w:r w:rsidR="00FD6654">
        <w:rPr>
          <w:rFonts w:ascii="Bookman Old Style" w:hAnsi="Bookman Old Style"/>
          <w:b/>
          <w:bCs/>
          <w:sz w:val="24"/>
          <w:szCs w:val="24"/>
          <w:lang w:val="es-ES"/>
        </w:rPr>
        <w:t xml:space="preserve"> </w:t>
      </w:r>
      <w:r w:rsidR="003C73BD">
        <w:rPr>
          <w:rFonts w:ascii="Bookman Old Style" w:hAnsi="Bookman Old Style"/>
          <w:b/>
          <w:bCs/>
          <w:sz w:val="24"/>
          <w:szCs w:val="24"/>
          <w:lang w:val="es-ES"/>
        </w:rPr>
        <w:t xml:space="preserve">Asimismo, se deberá informar a los compradores la manera en que se resolverá la asignación de la disponibilidad de PTDVF y/o CIDVF, </w:t>
      </w:r>
      <w:r w:rsidR="003C73BD" w:rsidRPr="00B623EE">
        <w:rPr>
          <w:rFonts w:ascii="Bookman Old Style" w:hAnsi="Bookman Old Style"/>
          <w:b/>
          <w:bCs/>
          <w:sz w:val="24"/>
          <w:szCs w:val="24"/>
          <w:lang w:val="es-ES"/>
        </w:rPr>
        <w:t>cumpliendo con lo establecido en la Resolución CREG 080 de 2019 o aquellas que la modifiquen o sustituyan, así como los criterios establecidos en el</w:t>
      </w:r>
      <w:r w:rsidR="00DD53A4">
        <w:rPr>
          <w:rFonts w:ascii="Bookman Old Style" w:hAnsi="Bookman Old Style"/>
          <w:b/>
          <w:bCs/>
          <w:sz w:val="24"/>
          <w:szCs w:val="24"/>
          <w:lang w:val="es-ES"/>
        </w:rPr>
        <w:t xml:space="preserve"> artículo 42</w:t>
      </w:r>
      <w:r w:rsidR="005B076E">
        <w:rPr>
          <w:rFonts w:ascii="Bookman Old Style" w:hAnsi="Bookman Old Style"/>
          <w:b/>
          <w:bCs/>
          <w:sz w:val="24"/>
          <w:szCs w:val="24"/>
          <w:lang w:val="es-ES"/>
        </w:rPr>
        <w:t xml:space="preserve"> </w:t>
      </w:r>
      <w:r w:rsidR="0027490D">
        <w:rPr>
          <w:rFonts w:ascii="Bookman Old Style" w:hAnsi="Bookman Old Style"/>
          <w:b/>
          <w:bCs/>
          <w:sz w:val="24"/>
          <w:szCs w:val="24"/>
          <w:lang w:val="es-ES"/>
        </w:rPr>
        <w:t>de la presente resolución</w:t>
      </w:r>
      <w:r w:rsidR="003C73BD">
        <w:rPr>
          <w:rFonts w:ascii="Bookman Old Style" w:hAnsi="Bookman Old Style"/>
          <w:b/>
          <w:bCs/>
          <w:sz w:val="24"/>
          <w:szCs w:val="24"/>
          <w:lang w:val="es-ES"/>
        </w:rPr>
        <w:t>.</w:t>
      </w:r>
    </w:p>
    <w:p w14:paraId="3F6818A4" w14:textId="77777777" w:rsidR="00FD6654" w:rsidRDefault="00FD6654" w:rsidP="00295053">
      <w:pPr>
        <w:pStyle w:val="Prrafodelista"/>
        <w:ind w:left="709"/>
        <w:jc w:val="both"/>
        <w:outlineLvl w:val="0"/>
        <w:rPr>
          <w:rFonts w:ascii="Bookman Old Style" w:hAnsi="Bookman Old Style"/>
          <w:b/>
          <w:bCs/>
          <w:sz w:val="24"/>
          <w:szCs w:val="24"/>
          <w:lang w:val="es-ES"/>
        </w:rPr>
      </w:pPr>
    </w:p>
    <w:p w14:paraId="4BD19761" w14:textId="68236A7C" w:rsidR="00BF643D" w:rsidRDefault="00BF643D" w:rsidP="00BF643D">
      <w:pPr>
        <w:ind w:left="709"/>
        <w:jc w:val="both"/>
        <w:outlineLvl w:val="0"/>
        <w:rPr>
          <w:rFonts w:ascii="Bookman Old Style" w:hAnsi="Bookman Old Style"/>
          <w:b/>
          <w:bCs/>
        </w:rPr>
      </w:pPr>
      <w:r>
        <w:rPr>
          <w:rFonts w:ascii="Bookman Old Style" w:hAnsi="Bookman Old Style"/>
          <w:b/>
          <w:bCs/>
        </w:rPr>
        <w:t xml:space="preserve">Como máximo en el vigésimo octavo día hábil del trimestre de negociación los vendedores deberán informar a los compradores las cantidades asignadas inicialmente. </w:t>
      </w:r>
    </w:p>
    <w:p w14:paraId="6CB8A4B1" w14:textId="77777777" w:rsidR="00BF643D" w:rsidRDefault="00BF643D" w:rsidP="00FD6654">
      <w:pPr>
        <w:ind w:left="709"/>
        <w:jc w:val="both"/>
        <w:outlineLvl w:val="0"/>
        <w:rPr>
          <w:rFonts w:ascii="Bookman Old Style" w:hAnsi="Bookman Old Style"/>
          <w:b/>
          <w:bCs/>
        </w:rPr>
      </w:pPr>
    </w:p>
    <w:p w14:paraId="11515BF3" w14:textId="7BADF06B" w:rsidR="00776DFF" w:rsidRDefault="00776DFF" w:rsidP="00FD6654">
      <w:pPr>
        <w:ind w:left="709"/>
        <w:jc w:val="both"/>
        <w:outlineLvl w:val="0"/>
        <w:rPr>
          <w:rFonts w:ascii="Bookman Old Style" w:hAnsi="Bookman Old Style"/>
          <w:b/>
          <w:bCs/>
        </w:rPr>
      </w:pPr>
      <w:r w:rsidRPr="00B623EE">
        <w:rPr>
          <w:rFonts w:ascii="Bookman Old Style" w:hAnsi="Bookman Old Style"/>
          <w:b/>
          <w:bCs/>
        </w:rPr>
        <w:t xml:space="preserve">Si a partir de lo anterior un comprador </w:t>
      </w:r>
      <w:r w:rsidR="00BF643D">
        <w:rPr>
          <w:rFonts w:ascii="Bookman Old Style" w:hAnsi="Bookman Old Style"/>
          <w:b/>
          <w:bCs/>
        </w:rPr>
        <w:t xml:space="preserve">encuentra que </w:t>
      </w:r>
      <w:r w:rsidRPr="00B623EE">
        <w:rPr>
          <w:rFonts w:ascii="Bookman Old Style" w:hAnsi="Bookman Old Style"/>
          <w:b/>
          <w:bCs/>
        </w:rPr>
        <w:t xml:space="preserve">no ha logrado contratar el total de las cantidades solicitadas a un vendedor, dicho comprador podrá </w:t>
      </w:r>
      <w:r w:rsidR="00BF643D">
        <w:rPr>
          <w:rFonts w:ascii="Bookman Old Style" w:hAnsi="Bookman Old Style"/>
          <w:b/>
          <w:bCs/>
        </w:rPr>
        <w:t>enviar</w:t>
      </w:r>
      <w:r w:rsidRPr="00B623EE">
        <w:rPr>
          <w:rFonts w:ascii="Bookman Old Style" w:hAnsi="Bookman Old Style"/>
          <w:b/>
          <w:bCs/>
        </w:rPr>
        <w:t xml:space="preserve"> a los </w:t>
      </w:r>
      <w:r>
        <w:rPr>
          <w:rFonts w:ascii="Bookman Old Style" w:hAnsi="Bookman Old Style"/>
          <w:b/>
          <w:bCs/>
        </w:rPr>
        <w:t xml:space="preserve">demás </w:t>
      </w:r>
      <w:r w:rsidRPr="00B623EE">
        <w:rPr>
          <w:rFonts w:ascii="Bookman Old Style" w:hAnsi="Bookman Old Style"/>
          <w:b/>
          <w:bCs/>
        </w:rPr>
        <w:t xml:space="preserve">vendedores de ese mismo Punto </w:t>
      </w:r>
      <w:r w:rsidRPr="00B623EE">
        <w:rPr>
          <w:rFonts w:ascii="Bookman Old Style" w:hAnsi="Bookman Old Style"/>
          <w:b/>
          <w:bCs/>
        </w:rPr>
        <w:lastRenderedPageBreak/>
        <w:t xml:space="preserve">de Referencia, </w:t>
      </w:r>
      <w:r w:rsidR="00BF643D">
        <w:rPr>
          <w:rFonts w:ascii="Bookman Old Style" w:hAnsi="Bookman Old Style"/>
          <w:b/>
          <w:bCs/>
        </w:rPr>
        <w:t xml:space="preserve">solicitudes de compra </w:t>
      </w:r>
      <w:r w:rsidRPr="00B623EE">
        <w:rPr>
          <w:rFonts w:ascii="Bookman Old Style" w:hAnsi="Bookman Old Style"/>
          <w:b/>
          <w:bCs/>
        </w:rPr>
        <w:t xml:space="preserve">para negociar y lograr el suministro de las cantidades </w:t>
      </w:r>
      <w:r>
        <w:rPr>
          <w:rFonts w:ascii="Bookman Old Style" w:hAnsi="Bookman Old Style"/>
          <w:b/>
          <w:bCs/>
        </w:rPr>
        <w:t xml:space="preserve">requeridas </w:t>
      </w:r>
      <w:r w:rsidR="00BF643D">
        <w:rPr>
          <w:rFonts w:ascii="Bookman Old Style" w:hAnsi="Bookman Old Style"/>
          <w:b/>
          <w:bCs/>
        </w:rPr>
        <w:t xml:space="preserve">declaradas en el literal e. del numeral 1 del artículo 21 de la presente resolución, </w:t>
      </w:r>
      <w:r w:rsidRPr="00B623EE">
        <w:rPr>
          <w:rFonts w:ascii="Bookman Old Style" w:hAnsi="Bookman Old Style"/>
          <w:b/>
          <w:bCs/>
        </w:rPr>
        <w:t>que aún no ha contratado</w:t>
      </w:r>
      <w:r>
        <w:rPr>
          <w:rFonts w:ascii="Bookman Old Style" w:hAnsi="Bookman Old Style"/>
          <w:b/>
          <w:bCs/>
        </w:rPr>
        <w:t>.</w:t>
      </w:r>
    </w:p>
    <w:p w14:paraId="32F892D9" w14:textId="77777777" w:rsidR="00BF643D" w:rsidRDefault="00BF643D" w:rsidP="00FD6654">
      <w:pPr>
        <w:ind w:left="709"/>
        <w:jc w:val="both"/>
        <w:outlineLvl w:val="0"/>
        <w:rPr>
          <w:rFonts w:ascii="Bookman Old Style" w:hAnsi="Bookman Old Style"/>
          <w:b/>
          <w:bCs/>
        </w:rPr>
      </w:pPr>
    </w:p>
    <w:p w14:paraId="23EDAB45" w14:textId="2A686816" w:rsidR="0027490D" w:rsidRDefault="0027490D" w:rsidP="00FD6654">
      <w:pPr>
        <w:ind w:left="709"/>
        <w:jc w:val="both"/>
        <w:outlineLvl w:val="0"/>
        <w:rPr>
          <w:rFonts w:ascii="Bookman Old Style" w:hAnsi="Bookman Old Style"/>
          <w:b/>
          <w:bCs/>
        </w:rPr>
      </w:pPr>
      <w:r>
        <w:rPr>
          <w:rFonts w:ascii="Bookman Old Style" w:hAnsi="Bookman Old Style"/>
          <w:b/>
          <w:bCs/>
        </w:rPr>
        <w:t>L</w:t>
      </w:r>
      <w:r w:rsidR="0058358D" w:rsidRPr="00295053">
        <w:rPr>
          <w:rFonts w:ascii="Bookman Old Style" w:hAnsi="Bookman Old Style"/>
          <w:b/>
          <w:bCs/>
        </w:rPr>
        <w:t xml:space="preserve">a primera etapa de negociación </w:t>
      </w:r>
      <w:r>
        <w:rPr>
          <w:rFonts w:ascii="Bookman Old Style" w:hAnsi="Bookman Old Style"/>
          <w:b/>
          <w:bCs/>
        </w:rPr>
        <w:t xml:space="preserve">se terminará con el registro de los contratos ante el Gestor del Mercado, </w:t>
      </w:r>
      <w:r w:rsidR="00BF643D">
        <w:rPr>
          <w:rFonts w:ascii="Bookman Old Style" w:hAnsi="Bookman Old Style"/>
          <w:b/>
          <w:bCs/>
        </w:rPr>
        <w:t xml:space="preserve">con plazo máximo el trigésimo segundo día hábil </w:t>
      </w:r>
      <w:r>
        <w:rPr>
          <w:rFonts w:ascii="Bookman Old Style" w:hAnsi="Bookman Old Style"/>
          <w:b/>
          <w:bCs/>
        </w:rPr>
        <w:t>del trimestre de negociación.</w:t>
      </w:r>
      <w:r w:rsidR="0058358D" w:rsidRPr="00295053">
        <w:rPr>
          <w:rFonts w:ascii="Bookman Old Style" w:hAnsi="Bookman Old Style"/>
          <w:b/>
          <w:bCs/>
        </w:rPr>
        <w:t xml:space="preserve"> </w:t>
      </w:r>
    </w:p>
    <w:p w14:paraId="47543A09" w14:textId="77777777" w:rsidR="0027490D" w:rsidRDefault="0027490D" w:rsidP="00FD6654">
      <w:pPr>
        <w:ind w:left="709"/>
        <w:jc w:val="both"/>
        <w:outlineLvl w:val="0"/>
        <w:rPr>
          <w:rFonts w:ascii="Bookman Old Style" w:hAnsi="Bookman Old Style"/>
          <w:b/>
          <w:bCs/>
        </w:rPr>
      </w:pPr>
    </w:p>
    <w:bookmarkEnd w:id="57"/>
    <w:p w14:paraId="34DBDD98" w14:textId="3F86F506" w:rsidR="00A20B36" w:rsidRPr="00295053" w:rsidRDefault="00A20B36" w:rsidP="00295053">
      <w:pPr>
        <w:ind w:left="709"/>
        <w:jc w:val="both"/>
        <w:outlineLvl w:val="0"/>
        <w:rPr>
          <w:rFonts w:ascii="Bookman Old Style" w:hAnsi="Bookman Old Style"/>
          <w:b/>
          <w:bCs/>
        </w:rPr>
      </w:pPr>
      <w:r w:rsidRPr="00295053">
        <w:rPr>
          <w:rFonts w:ascii="Bookman Old Style" w:hAnsi="Bookman Old Style"/>
          <w:b/>
          <w:bCs/>
        </w:rPr>
        <w:t xml:space="preserve">Al final de </w:t>
      </w:r>
      <w:r w:rsidR="005B076E">
        <w:rPr>
          <w:rFonts w:ascii="Bookman Old Style" w:hAnsi="Bookman Old Style"/>
          <w:b/>
          <w:bCs/>
        </w:rPr>
        <w:t xml:space="preserve">la primera etapa de </w:t>
      </w:r>
      <w:r w:rsidRPr="00295053">
        <w:rPr>
          <w:rFonts w:ascii="Bookman Old Style" w:hAnsi="Bookman Old Style"/>
          <w:b/>
          <w:bCs/>
        </w:rPr>
        <w:t xml:space="preserve">las negociaciones directas no deberá haber ningún agente que haya requerido las cantidades declaradas en el literal e. del </w:t>
      </w:r>
      <w:r w:rsidR="005B3E45">
        <w:rPr>
          <w:rFonts w:ascii="Bookman Old Style" w:hAnsi="Bookman Old Style"/>
          <w:b/>
          <w:bCs/>
        </w:rPr>
        <w:t>a</w:t>
      </w:r>
      <w:r w:rsidRPr="00295053">
        <w:rPr>
          <w:rFonts w:ascii="Bookman Old Style" w:hAnsi="Bookman Old Style"/>
          <w:b/>
          <w:bCs/>
        </w:rPr>
        <w:t>rtículo 21 de esta resolución para atender la Demanda Esencial</w:t>
      </w:r>
      <w:r>
        <w:rPr>
          <w:rFonts w:ascii="Bookman Old Style" w:hAnsi="Bookman Old Style"/>
          <w:b/>
          <w:bCs/>
        </w:rPr>
        <w:t xml:space="preserve"> y demás demanda</w:t>
      </w:r>
      <w:r w:rsidRPr="00295053">
        <w:rPr>
          <w:rFonts w:ascii="Bookman Old Style" w:hAnsi="Bookman Old Style"/>
          <w:b/>
          <w:bCs/>
        </w:rPr>
        <w:t>, que no haya logrado tener acceso a las cantidades de gas ofrecidas por los vendedores con Respaldo Físico</w:t>
      </w:r>
      <w:r>
        <w:rPr>
          <w:rFonts w:ascii="Bookman Old Style" w:hAnsi="Bookman Old Style"/>
          <w:b/>
          <w:bCs/>
        </w:rPr>
        <w:t>,</w:t>
      </w:r>
      <w:r w:rsidRPr="00295053">
        <w:rPr>
          <w:rFonts w:ascii="Bookman Old Style" w:hAnsi="Bookman Old Style"/>
          <w:b/>
          <w:bCs/>
        </w:rPr>
        <w:t xml:space="preserve"> para asumir y cumplir compromisos contractuales firmes o con garantía de firmeza para atender dicha Demanda.</w:t>
      </w:r>
    </w:p>
    <w:p w14:paraId="43F6CD4E" w14:textId="77777777" w:rsidR="00A20B36" w:rsidRPr="00295053" w:rsidRDefault="00A20B36" w:rsidP="00295053">
      <w:pPr>
        <w:ind w:left="709"/>
        <w:jc w:val="both"/>
        <w:outlineLvl w:val="0"/>
        <w:rPr>
          <w:rFonts w:ascii="Bookman Old Style" w:hAnsi="Bookman Old Style"/>
          <w:b/>
          <w:bCs/>
        </w:rPr>
      </w:pPr>
    </w:p>
    <w:p w14:paraId="68E84518" w14:textId="3772ACA4" w:rsidR="00BF643D" w:rsidRDefault="00BF643D" w:rsidP="00A4790E">
      <w:pPr>
        <w:pStyle w:val="Prrafodelista"/>
        <w:numPr>
          <w:ilvl w:val="1"/>
          <w:numId w:val="98"/>
        </w:numPr>
        <w:ind w:left="709" w:hanging="283"/>
        <w:jc w:val="both"/>
        <w:outlineLvl w:val="0"/>
        <w:rPr>
          <w:rFonts w:ascii="Bookman Old Style" w:hAnsi="Bookman Old Style"/>
          <w:b/>
          <w:bCs/>
          <w:sz w:val="24"/>
          <w:szCs w:val="24"/>
          <w:lang w:val="es-ES"/>
        </w:rPr>
      </w:pPr>
      <w:r>
        <w:rPr>
          <w:rFonts w:ascii="Bookman Old Style" w:hAnsi="Bookman Old Style"/>
          <w:b/>
          <w:bCs/>
          <w:sz w:val="24"/>
          <w:szCs w:val="24"/>
          <w:lang w:val="es-ES"/>
        </w:rPr>
        <w:t xml:space="preserve">Segunda etapa de negociación y registro de contratos: a partir del trigésimo quinto día hábil del trimestre de negociación los compradores podrán solicitar </w:t>
      </w:r>
      <w:r w:rsidR="00F62342">
        <w:rPr>
          <w:rFonts w:ascii="Bookman Old Style" w:hAnsi="Bookman Old Style"/>
          <w:b/>
          <w:bCs/>
          <w:sz w:val="24"/>
          <w:szCs w:val="24"/>
          <w:lang w:val="es-ES"/>
        </w:rPr>
        <w:t xml:space="preserve">a los vendedores la negociación de las </w:t>
      </w:r>
      <w:r>
        <w:rPr>
          <w:rFonts w:ascii="Bookman Old Style" w:hAnsi="Bookman Old Style"/>
          <w:b/>
          <w:bCs/>
          <w:sz w:val="24"/>
          <w:szCs w:val="24"/>
          <w:lang w:val="es-ES"/>
        </w:rPr>
        <w:t xml:space="preserve">cantidades adicionales a las requeridas de acuerdo con lo declarado </w:t>
      </w:r>
      <w:r w:rsidR="00F62342">
        <w:rPr>
          <w:rFonts w:ascii="Bookman Old Style" w:hAnsi="Bookman Old Style"/>
          <w:b/>
          <w:bCs/>
          <w:sz w:val="24"/>
          <w:szCs w:val="24"/>
          <w:lang w:val="es-ES"/>
        </w:rPr>
        <w:t xml:space="preserve">en aplicación del literal e. del </w:t>
      </w:r>
      <w:r w:rsidR="00FC073A">
        <w:rPr>
          <w:rFonts w:ascii="Bookman Old Style" w:hAnsi="Bookman Old Style"/>
          <w:b/>
          <w:bCs/>
          <w:sz w:val="24"/>
          <w:szCs w:val="24"/>
          <w:lang w:val="es-ES"/>
        </w:rPr>
        <w:t>a</w:t>
      </w:r>
      <w:r w:rsidR="00F62342">
        <w:rPr>
          <w:rFonts w:ascii="Bookman Old Style" w:hAnsi="Bookman Old Style"/>
          <w:b/>
          <w:bCs/>
          <w:sz w:val="24"/>
          <w:szCs w:val="24"/>
          <w:lang w:val="es-ES"/>
        </w:rPr>
        <w:t>rtículo 21 de la presente resolución, sin que se superen las cantidades declaradas en aplicación del literal c. del artículo en mención.</w:t>
      </w:r>
      <w:r>
        <w:rPr>
          <w:rFonts w:ascii="Bookman Old Style" w:hAnsi="Bookman Old Style"/>
          <w:b/>
          <w:bCs/>
          <w:sz w:val="24"/>
          <w:szCs w:val="24"/>
          <w:lang w:val="es-ES"/>
        </w:rPr>
        <w:t xml:space="preserve"> </w:t>
      </w:r>
    </w:p>
    <w:p w14:paraId="0A0687FA" w14:textId="77777777" w:rsidR="00BF643D" w:rsidRPr="00295053" w:rsidRDefault="00BF643D" w:rsidP="00295053">
      <w:pPr>
        <w:pStyle w:val="Prrafodelista"/>
        <w:ind w:left="709"/>
        <w:jc w:val="both"/>
        <w:outlineLvl w:val="0"/>
        <w:rPr>
          <w:rFonts w:ascii="Bookman Old Style" w:hAnsi="Bookman Old Style"/>
          <w:b/>
          <w:bCs/>
          <w:sz w:val="24"/>
          <w:szCs w:val="24"/>
          <w:lang w:val="es-ES"/>
        </w:rPr>
      </w:pPr>
    </w:p>
    <w:p w14:paraId="66F24FBB" w14:textId="34B68897" w:rsidR="00A20B36" w:rsidRPr="00A20B36" w:rsidRDefault="00A20B36" w:rsidP="00295053">
      <w:pPr>
        <w:ind w:left="709"/>
        <w:jc w:val="both"/>
        <w:outlineLvl w:val="0"/>
        <w:rPr>
          <w:rFonts w:ascii="Bookman Old Style" w:hAnsi="Bookman Old Style"/>
          <w:b/>
          <w:bCs/>
        </w:rPr>
      </w:pPr>
      <w:r w:rsidRPr="00295053">
        <w:rPr>
          <w:rFonts w:ascii="Bookman Old Style" w:hAnsi="Bookman Old Style"/>
          <w:b/>
          <w:bCs/>
        </w:rPr>
        <w:t xml:space="preserve">La segunda etapa de negociación se terminará con el registro de los contratos ante el Gestor del Mercado, con plazo máximo el cuadragésimo tercer día hábil del trimestre de negociación. En el caso que se hayan acordado cantidades adicionales en la segunda etapa de negociación entre las mismas partes de un contrato registrado previamente al finalizar la primera etapa de negociación, tales partes podrán, si así lo desean, modificar el contrato registrado inicialmente ante el Gestor del Mercado para incorporar los resultados de las negociaciones de la segunda etapa.  </w:t>
      </w:r>
    </w:p>
    <w:p w14:paraId="78E9A700" w14:textId="77777777" w:rsidR="00A20B36" w:rsidRPr="00295053" w:rsidRDefault="00A20B36" w:rsidP="00295053">
      <w:pPr>
        <w:pStyle w:val="Prrafodelista"/>
        <w:rPr>
          <w:rFonts w:ascii="Bookman Old Style" w:hAnsi="Bookman Old Style"/>
          <w:b/>
          <w:bCs/>
          <w:sz w:val="24"/>
          <w:szCs w:val="24"/>
        </w:rPr>
      </w:pPr>
    </w:p>
    <w:p w14:paraId="25A27D86" w14:textId="4555D1AA" w:rsidR="0006302B" w:rsidRPr="00B623EE" w:rsidRDefault="0006302B" w:rsidP="00A4790E">
      <w:pPr>
        <w:pStyle w:val="Prrafodelista"/>
        <w:numPr>
          <w:ilvl w:val="1"/>
          <w:numId w:val="98"/>
        </w:numPr>
        <w:ind w:left="709" w:hanging="283"/>
        <w:jc w:val="both"/>
        <w:outlineLvl w:val="0"/>
        <w:rPr>
          <w:rFonts w:ascii="Bookman Old Style" w:hAnsi="Bookman Old Style"/>
          <w:b/>
          <w:bCs/>
          <w:sz w:val="24"/>
          <w:szCs w:val="24"/>
          <w:lang w:val="es-ES"/>
        </w:rPr>
      </w:pPr>
      <w:r w:rsidRPr="000A4B7F">
        <w:rPr>
          <w:rFonts w:ascii="Bookman Old Style" w:hAnsi="Bookman Old Style"/>
          <w:b/>
          <w:bCs/>
          <w:sz w:val="24"/>
          <w:szCs w:val="24"/>
          <w:lang w:val="es-ES"/>
        </w:rPr>
        <w:t xml:space="preserve">Para las fuentes </w:t>
      </w:r>
      <w:r w:rsidRPr="00F90B03">
        <w:rPr>
          <w:rFonts w:ascii="Bookman Old Style" w:hAnsi="Bookman Old Style"/>
          <w:b/>
          <w:bCs/>
          <w:sz w:val="24"/>
          <w:szCs w:val="24"/>
          <w:lang w:val="es-ES"/>
        </w:rPr>
        <w:t xml:space="preserve">establecidas en el </w:t>
      </w:r>
      <w:r w:rsidR="00FC073A">
        <w:rPr>
          <w:rFonts w:ascii="Bookman Old Style" w:hAnsi="Bookman Old Style"/>
          <w:b/>
          <w:bCs/>
          <w:sz w:val="24"/>
          <w:szCs w:val="24"/>
          <w:lang w:val="es-ES"/>
        </w:rPr>
        <w:t>a</w:t>
      </w:r>
      <w:r w:rsidRPr="00D66B65">
        <w:rPr>
          <w:rFonts w:ascii="Bookman Old Style" w:hAnsi="Bookman Old Style"/>
          <w:b/>
          <w:bCs/>
          <w:sz w:val="24"/>
          <w:szCs w:val="24"/>
          <w:lang w:val="es-ES"/>
        </w:rPr>
        <w:t>rtículo 19</w:t>
      </w:r>
      <w:r w:rsidRPr="00F90B03">
        <w:rPr>
          <w:rFonts w:ascii="Bookman Old Style" w:hAnsi="Bookman Old Style"/>
          <w:b/>
          <w:bCs/>
          <w:sz w:val="24"/>
          <w:szCs w:val="24"/>
          <w:lang w:val="es-ES"/>
        </w:rPr>
        <w:t xml:space="preserve"> de la presente resolución </w:t>
      </w:r>
      <w:r w:rsidR="00F0125C">
        <w:rPr>
          <w:rFonts w:ascii="Bookman Old Style" w:hAnsi="Bookman Old Style"/>
          <w:b/>
          <w:bCs/>
          <w:sz w:val="24"/>
          <w:szCs w:val="24"/>
          <w:lang w:val="es-ES"/>
        </w:rPr>
        <w:t>se establecen los mismos plazos de</w:t>
      </w:r>
      <w:r w:rsidR="00A20B36">
        <w:rPr>
          <w:rFonts w:ascii="Bookman Old Style" w:hAnsi="Bookman Old Style"/>
          <w:b/>
          <w:bCs/>
          <w:sz w:val="24"/>
          <w:szCs w:val="24"/>
          <w:lang w:val="es-ES"/>
        </w:rPr>
        <w:t xml:space="preserve"> </w:t>
      </w:r>
      <w:r w:rsidR="00F0125C">
        <w:rPr>
          <w:rFonts w:ascii="Bookman Old Style" w:hAnsi="Bookman Old Style"/>
          <w:b/>
          <w:bCs/>
          <w:sz w:val="24"/>
          <w:szCs w:val="24"/>
          <w:lang w:val="es-ES"/>
        </w:rPr>
        <w:t>l</w:t>
      </w:r>
      <w:r w:rsidR="00A20B36">
        <w:rPr>
          <w:rFonts w:ascii="Bookman Old Style" w:hAnsi="Bookman Old Style"/>
          <w:b/>
          <w:bCs/>
          <w:sz w:val="24"/>
          <w:szCs w:val="24"/>
          <w:lang w:val="es-ES"/>
        </w:rPr>
        <w:t>os</w:t>
      </w:r>
      <w:r w:rsidR="00F0125C">
        <w:rPr>
          <w:rFonts w:ascii="Bookman Old Style" w:hAnsi="Bookman Old Style"/>
          <w:b/>
          <w:bCs/>
          <w:sz w:val="24"/>
          <w:szCs w:val="24"/>
          <w:lang w:val="es-ES"/>
        </w:rPr>
        <w:t xml:space="preserve"> literal</w:t>
      </w:r>
      <w:r w:rsidR="00A20B36">
        <w:rPr>
          <w:rFonts w:ascii="Bookman Old Style" w:hAnsi="Bookman Old Style"/>
          <w:b/>
          <w:bCs/>
          <w:sz w:val="24"/>
          <w:szCs w:val="24"/>
          <w:lang w:val="es-ES"/>
        </w:rPr>
        <w:t xml:space="preserve">es a. y b. </w:t>
      </w:r>
      <w:r w:rsidR="00F0125C">
        <w:rPr>
          <w:rFonts w:ascii="Bookman Old Style" w:hAnsi="Bookman Old Style"/>
          <w:b/>
          <w:bCs/>
          <w:sz w:val="24"/>
          <w:szCs w:val="24"/>
          <w:lang w:val="es-ES"/>
        </w:rPr>
        <w:t>del presente artículo</w:t>
      </w:r>
      <w:r w:rsidRPr="00F90B03">
        <w:rPr>
          <w:rFonts w:ascii="Bookman Old Style" w:hAnsi="Bookman Old Style"/>
          <w:b/>
          <w:bCs/>
          <w:sz w:val="24"/>
          <w:szCs w:val="24"/>
          <w:lang w:val="es-ES"/>
        </w:rPr>
        <w:t>. Después del primer trimestre de negociación, contado a partir de la entrada en vigencia de la presente resolución, se podrá</w:t>
      </w:r>
      <w:r w:rsidR="009156E7">
        <w:rPr>
          <w:rFonts w:ascii="Bookman Old Style" w:hAnsi="Bookman Old Style"/>
          <w:b/>
          <w:bCs/>
          <w:sz w:val="24"/>
          <w:szCs w:val="24"/>
          <w:lang w:val="es-ES"/>
        </w:rPr>
        <w:t>,</w:t>
      </w:r>
      <w:r w:rsidRPr="00F90B03">
        <w:rPr>
          <w:rFonts w:ascii="Bookman Old Style" w:hAnsi="Bookman Old Style"/>
          <w:b/>
          <w:bCs/>
          <w:sz w:val="24"/>
          <w:szCs w:val="24"/>
          <w:lang w:val="es-ES"/>
        </w:rPr>
        <w:t xml:space="preserve"> para dichas </w:t>
      </w:r>
      <w:r>
        <w:rPr>
          <w:rFonts w:ascii="Bookman Old Style" w:hAnsi="Bookman Old Style"/>
          <w:b/>
          <w:bCs/>
          <w:sz w:val="24"/>
          <w:szCs w:val="24"/>
          <w:lang w:val="es-ES"/>
        </w:rPr>
        <w:t xml:space="preserve">Fuentes de Suministro, </w:t>
      </w:r>
      <w:r w:rsidRPr="00F90B03">
        <w:rPr>
          <w:rFonts w:ascii="Bookman Old Style" w:hAnsi="Bookman Old Style"/>
          <w:b/>
          <w:bCs/>
          <w:sz w:val="24"/>
          <w:szCs w:val="24"/>
          <w:lang w:val="es-ES"/>
        </w:rPr>
        <w:t xml:space="preserve">seguir negociando en forma directa en cualquier momento del año, el suministro </w:t>
      </w:r>
      <w:r w:rsidR="006B1DB6">
        <w:rPr>
          <w:rFonts w:ascii="Bookman Old Style" w:hAnsi="Bookman Old Style"/>
          <w:b/>
          <w:bCs/>
          <w:sz w:val="24"/>
          <w:szCs w:val="24"/>
          <w:lang w:val="es-ES"/>
        </w:rPr>
        <w:t>mediante contratos firmes o que garanticen firmeza</w:t>
      </w:r>
      <w:r w:rsidRPr="00F90B03">
        <w:rPr>
          <w:rFonts w:ascii="Bookman Old Style" w:hAnsi="Bookman Old Style"/>
          <w:b/>
          <w:bCs/>
          <w:sz w:val="24"/>
          <w:szCs w:val="24"/>
          <w:lang w:val="es-ES"/>
        </w:rPr>
        <w:t xml:space="preserve"> para aquellos trimestres estándar en los que en el balance comercial más recientemente publicado a la fecha en que se desea registrar el contrato ante </w:t>
      </w:r>
      <w:r w:rsidRPr="00B623EE">
        <w:rPr>
          <w:rFonts w:ascii="Bookman Old Style" w:hAnsi="Bookman Old Style"/>
          <w:b/>
          <w:bCs/>
          <w:sz w:val="24"/>
          <w:szCs w:val="24"/>
          <w:lang w:val="es-ES"/>
        </w:rPr>
        <w:t>el</w:t>
      </w:r>
      <w:r w:rsidRPr="00B623EE">
        <w:rPr>
          <w:rFonts w:ascii="Bookman Old Style" w:hAnsi="Bookman Old Style"/>
          <w:b/>
          <w:sz w:val="24"/>
          <w:szCs w:val="24"/>
          <w:lang w:val="es-ES"/>
        </w:rPr>
        <w:t xml:space="preserve"> </w:t>
      </w:r>
      <w:r w:rsidR="0022131A" w:rsidRPr="00B623EE">
        <w:rPr>
          <w:rFonts w:ascii="Bookman Old Style" w:hAnsi="Bookman Old Style"/>
          <w:b/>
          <w:sz w:val="24"/>
          <w:szCs w:val="24"/>
          <w:lang w:val="es-ES"/>
        </w:rPr>
        <w:t>Gestor</w:t>
      </w:r>
      <w:r w:rsidRPr="00B623EE">
        <w:rPr>
          <w:rFonts w:ascii="Bookman Old Style" w:hAnsi="Bookman Old Style"/>
          <w:b/>
          <w:bCs/>
          <w:sz w:val="24"/>
          <w:szCs w:val="24"/>
          <w:lang w:val="es-ES"/>
        </w:rPr>
        <w:t xml:space="preserve"> del Mercado, de acuerdo con lo establecido en el literal f. del numeral 1 anterior, se encuentre que hay una oferta comercial firme excedentaria para el Punto de Referencia de la Fuente de Suministro. En caso contrario, deberán seguir el procedimiento descrito en el numeral</w:t>
      </w:r>
      <w:r w:rsidR="004B4D2C" w:rsidRPr="00B623EE">
        <w:rPr>
          <w:rFonts w:ascii="Bookman Old Style" w:hAnsi="Bookman Old Style"/>
          <w:b/>
          <w:bCs/>
          <w:sz w:val="24"/>
          <w:szCs w:val="24"/>
          <w:lang w:val="es-ES"/>
        </w:rPr>
        <w:t xml:space="preserve"> 2</w:t>
      </w:r>
      <w:r w:rsidRPr="00B623EE">
        <w:rPr>
          <w:rFonts w:ascii="Bookman Old Style" w:hAnsi="Bookman Old Style"/>
          <w:b/>
          <w:bCs/>
          <w:sz w:val="24"/>
          <w:szCs w:val="24"/>
          <w:lang w:val="es-ES"/>
        </w:rPr>
        <w:t xml:space="preserve"> siguiente.</w:t>
      </w:r>
    </w:p>
    <w:p w14:paraId="2329F548" w14:textId="77777777" w:rsidR="00FF56AC" w:rsidRPr="00B623EE" w:rsidRDefault="00FF56AC" w:rsidP="00FF56AC">
      <w:pPr>
        <w:pStyle w:val="Prrafodelista"/>
        <w:rPr>
          <w:rFonts w:ascii="Bookman Old Style" w:hAnsi="Bookman Old Style"/>
          <w:b/>
          <w:bCs/>
          <w:sz w:val="24"/>
          <w:szCs w:val="24"/>
          <w:lang w:val="es-ES"/>
        </w:rPr>
      </w:pPr>
    </w:p>
    <w:p w14:paraId="2D34B2D4" w14:textId="0686543F" w:rsidR="00AC5979" w:rsidRPr="00B623EE" w:rsidRDefault="00AC5979" w:rsidP="00CA02C6">
      <w:pPr>
        <w:pStyle w:val="Prrafodelista"/>
        <w:numPr>
          <w:ilvl w:val="0"/>
          <w:numId w:val="263"/>
        </w:numPr>
        <w:ind w:left="709" w:hanging="425"/>
        <w:jc w:val="both"/>
        <w:rPr>
          <w:rFonts w:ascii="Bookman Old Style" w:hAnsi="Bookman Old Style"/>
          <w:b/>
          <w:bCs/>
          <w:sz w:val="24"/>
          <w:lang w:val="es-ES"/>
        </w:rPr>
      </w:pPr>
      <w:r w:rsidRPr="00B623EE">
        <w:rPr>
          <w:rFonts w:ascii="Bookman Old Style" w:hAnsi="Bookman Old Style"/>
          <w:b/>
          <w:bCs/>
          <w:sz w:val="24"/>
          <w:szCs w:val="24"/>
          <w:lang w:val="es-ES"/>
        </w:rPr>
        <w:t>En</w:t>
      </w:r>
      <w:r w:rsidRPr="00B623EE">
        <w:rPr>
          <w:rFonts w:ascii="Bookman Old Style" w:hAnsi="Bookman Old Style"/>
          <w:b/>
          <w:bCs/>
          <w:sz w:val="24"/>
          <w:lang w:val="es-ES"/>
        </w:rPr>
        <w:t xml:space="preserve"> caso de no registrarse un contrato para atender la Demanda Esencial resultante</w:t>
      </w:r>
      <w:r w:rsidR="00663984">
        <w:rPr>
          <w:rFonts w:ascii="Bookman Old Style" w:hAnsi="Bookman Old Style"/>
          <w:b/>
          <w:bCs/>
          <w:sz w:val="24"/>
          <w:lang w:val="es-ES"/>
        </w:rPr>
        <w:t xml:space="preserve"> </w:t>
      </w:r>
      <w:r w:rsidRPr="00B623EE">
        <w:rPr>
          <w:rFonts w:ascii="Bookman Old Style" w:hAnsi="Bookman Old Style"/>
          <w:b/>
          <w:bCs/>
          <w:sz w:val="24"/>
          <w:lang w:val="es-ES"/>
        </w:rPr>
        <w:t xml:space="preserve">del mecanismo establecido en el presente </w:t>
      </w:r>
      <w:r w:rsidRPr="00B623EE">
        <w:rPr>
          <w:rFonts w:ascii="Bookman Old Style" w:hAnsi="Bookman Old Style"/>
          <w:b/>
          <w:bCs/>
          <w:sz w:val="24"/>
          <w:lang w:val="es-ES"/>
        </w:rPr>
        <w:lastRenderedPageBreak/>
        <w:t xml:space="preserve">numeral, las </w:t>
      </w:r>
      <w:r w:rsidRPr="00B623EE">
        <w:rPr>
          <w:rFonts w:ascii="Bookman Old Style" w:hAnsi="Bookman Old Style"/>
          <w:b/>
          <w:bCs/>
          <w:sz w:val="24"/>
          <w:szCs w:val="24"/>
          <w:lang w:val="es-ES"/>
        </w:rPr>
        <w:t>cantidades para atender la Demanda Esencial entre el vendedor y el comprador</w:t>
      </w:r>
      <w:r w:rsidRPr="00B623EE">
        <w:rPr>
          <w:rFonts w:ascii="Bookman Old Style" w:hAnsi="Bookman Old Style"/>
          <w:b/>
          <w:bCs/>
          <w:sz w:val="24"/>
          <w:lang w:val="es-ES"/>
        </w:rPr>
        <w:t xml:space="preserve"> podrán ser utilizadas</w:t>
      </w:r>
      <w:r w:rsidRPr="00B623EE">
        <w:rPr>
          <w:rFonts w:ascii="Bookman Old Style" w:hAnsi="Bookman Old Style"/>
          <w:b/>
          <w:bCs/>
          <w:sz w:val="24"/>
          <w:szCs w:val="24"/>
          <w:lang w:val="es-ES"/>
        </w:rPr>
        <w:t xml:space="preserve"> para atender la demanda diferente a la Demanda Esencial</w:t>
      </w:r>
      <w:r w:rsidRPr="00B623EE">
        <w:rPr>
          <w:rFonts w:ascii="Bookman Old Style" w:hAnsi="Bookman Old Style"/>
          <w:b/>
          <w:bCs/>
          <w:sz w:val="24"/>
          <w:lang w:val="es-ES"/>
        </w:rPr>
        <w:t xml:space="preserve">.   </w:t>
      </w:r>
    </w:p>
    <w:p w14:paraId="6B80AC0E" w14:textId="77777777" w:rsidR="0006302B" w:rsidRPr="00B623EE" w:rsidRDefault="0006302B" w:rsidP="00202051">
      <w:pPr>
        <w:pStyle w:val="Prrafodelista"/>
        <w:ind w:left="709" w:hanging="283"/>
        <w:jc w:val="both"/>
        <w:outlineLvl w:val="0"/>
        <w:rPr>
          <w:rFonts w:ascii="Bookman Old Style" w:hAnsi="Bookman Old Style"/>
          <w:b/>
          <w:bCs/>
          <w:sz w:val="24"/>
          <w:szCs w:val="24"/>
          <w:lang w:val="es-ES"/>
        </w:rPr>
      </w:pPr>
    </w:p>
    <w:p w14:paraId="26983292" w14:textId="386BC327" w:rsidR="00402041" w:rsidRPr="00B623EE" w:rsidRDefault="00A20B36" w:rsidP="00CA02C6">
      <w:pPr>
        <w:pStyle w:val="Prrafodelista"/>
        <w:numPr>
          <w:ilvl w:val="0"/>
          <w:numId w:val="263"/>
        </w:numPr>
        <w:tabs>
          <w:tab w:val="left" w:pos="993"/>
        </w:tabs>
        <w:ind w:left="709" w:hanging="425"/>
        <w:jc w:val="both"/>
        <w:outlineLvl w:val="0"/>
        <w:rPr>
          <w:rFonts w:ascii="Bookman Old Style" w:hAnsi="Bookman Old Style"/>
          <w:b/>
          <w:bCs/>
          <w:sz w:val="24"/>
          <w:lang w:val="es-ES"/>
        </w:rPr>
      </w:pPr>
      <w:r>
        <w:rPr>
          <w:rFonts w:ascii="Bookman Old Style" w:hAnsi="Bookman Old Style"/>
          <w:b/>
          <w:bCs/>
          <w:sz w:val="24"/>
          <w:szCs w:val="24"/>
          <w:lang w:val="es-ES"/>
        </w:rPr>
        <w:t>A partir del quincuagésimo primer día hábil del trimestre de negociación</w:t>
      </w:r>
      <w:r w:rsidR="0006302B" w:rsidRPr="00B623EE">
        <w:rPr>
          <w:rFonts w:ascii="Bookman Old Style" w:hAnsi="Bookman Old Style"/>
          <w:b/>
          <w:bCs/>
          <w:sz w:val="24"/>
          <w:szCs w:val="24"/>
          <w:lang w:val="es-ES"/>
        </w:rPr>
        <w:t xml:space="preserve">, se podrán negociar las cantidades declaradas de PTDVF y/o CIDVF que hayan quedado disponibles solamente para el siguiente Trimestre Estándar al Trimestre Estándar de negociación, mediante contratos </w:t>
      </w:r>
      <w:r w:rsidR="008D0251" w:rsidRPr="00B623EE">
        <w:rPr>
          <w:rFonts w:ascii="Bookman Old Style" w:hAnsi="Bookman Old Style"/>
          <w:b/>
          <w:bCs/>
          <w:sz w:val="24"/>
          <w:szCs w:val="24"/>
          <w:lang w:val="es-ES"/>
        </w:rPr>
        <w:t xml:space="preserve">bajo cualquiera de las modalidades establecidas en el </w:t>
      </w:r>
      <w:r w:rsidR="007D6087">
        <w:rPr>
          <w:rFonts w:ascii="Bookman Old Style" w:hAnsi="Bookman Old Style"/>
          <w:b/>
          <w:bCs/>
          <w:sz w:val="24"/>
          <w:szCs w:val="24"/>
          <w:lang w:val="es-ES"/>
        </w:rPr>
        <w:t>a</w:t>
      </w:r>
      <w:r w:rsidR="008D0251" w:rsidRPr="00B623EE">
        <w:rPr>
          <w:rFonts w:ascii="Bookman Old Style" w:hAnsi="Bookman Old Style"/>
          <w:b/>
          <w:bCs/>
          <w:sz w:val="24"/>
          <w:szCs w:val="24"/>
          <w:lang w:val="es-ES"/>
        </w:rPr>
        <w:t>rtículo 8 de la presente resolución</w:t>
      </w:r>
      <w:r w:rsidR="0006302B" w:rsidRPr="00B623EE">
        <w:rPr>
          <w:rFonts w:ascii="Bookman Old Style" w:hAnsi="Bookman Old Style"/>
          <w:b/>
          <w:bCs/>
          <w:sz w:val="24"/>
          <w:szCs w:val="24"/>
          <w:lang w:val="es-ES"/>
        </w:rPr>
        <w:t xml:space="preserve"> con plazo de ejecución de un (1) mes calendario. Estos contratos deberán ser registrados ante el </w:t>
      </w:r>
      <w:r w:rsidR="0022131A" w:rsidRPr="00B623EE">
        <w:rPr>
          <w:rFonts w:ascii="Bookman Old Style" w:hAnsi="Bookman Old Style"/>
          <w:b/>
          <w:sz w:val="24"/>
          <w:szCs w:val="24"/>
          <w:lang w:val="es-ES"/>
        </w:rPr>
        <w:t>Gestor</w:t>
      </w:r>
      <w:r w:rsidR="0006302B" w:rsidRPr="00B623EE">
        <w:rPr>
          <w:rFonts w:ascii="Bookman Old Style" w:hAnsi="Bookman Old Style"/>
          <w:b/>
          <w:sz w:val="24"/>
          <w:szCs w:val="24"/>
          <w:lang w:val="es-ES"/>
        </w:rPr>
        <w:t xml:space="preserve"> </w:t>
      </w:r>
      <w:r w:rsidR="0006302B" w:rsidRPr="00B623EE">
        <w:rPr>
          <w:rFonts w:ascii="Bookman Old Style" w:hAnsi="Bookman Old Style"/>
          <w:b/>
          <w:bCs/>
          <w:sz w:val="24"/>
          <w:szCs w:val="24"/>
          <w:lang w:val="es-ES"/>
        </w:rPr>
        <w:t xml:space="preserve">del Mercado </w:t>
      </w:r>
      <w:r w:rsidR="00571A5A" w:rsidRPr="00571A5A">
        <w:rPr>
          <w:rFonts w:ascii="Bookman Old Style" w:hAnsi="Bookman Old Style"/>
          <w:b/>
          <w:bCs/>
          <w:sz w:val="24"/>
          <w:szCs w:val="24"/>
          <w:lang w:val="es-ES"/>
        </w:rPr>
        <w:t xml:space="preserve">a más tardar el </w:t>
      </w:r>
      <w:r w:rsidR="00571A5A">
        <w:rPr>
          <w:rFonts w:ascii="Bookman Old Style" w:hAnsi="Bookman Old Style"/>
          <w:b/>
          <w:bCs/>
          <w:sz w:val="24"/>
          <w:szCs w:val="24"/>
          <w:lang w:val="es-ES"/>
        </w:rPr>
        <w:t xml:space="preserve">sexagésimo </w:t>
      </w:r>
      <w:r w:rsidR="00571A5A" w:rsidRPr="00571A5A">
        <w:rPr>
          <w:rFonts w:ascii="Bookman Old Style" w:hAnsi="Bookman Old Style"/>
          <w:b/>
          <w:bCs/>
          <w:sz w:val="24"/>
          <w:szCs w:val="24"/>
          <w:lang w:val="es-ES"/>
        </w:rPr>
        <w:t>día hábil del Trimestre Estándar de negociación</w:t>
      </w:r>
      <w:r w:rsidR="0006302B" w:rsidRPr="00B623EE">
        <w:rPr>
          <w:rFonts w:ascii="Bookman Old Style" w:hAnsi="Bookman Old Style"/>
          <w:b/>
          <w:bCs/>
          <w:sz w:val="24"/>
          <w:szCs w:val="24"/>
          <w:lang w:val="es-ES"/>
        </w:rPr>
        <w:t>.</w:t>
      </w:r>
    </w:p>
    <w:p w14:paraId="37D8D1B3" w14:textId="77777777" w:rsidR="00402041" w:rsidRPr="00B623EE" w:rsidRDefault="00402041" w:rsidP="00402041">
      <w:pPr>
        <w:pStyle w:val="Prrafodelista"/>
        <w:rPr>
          <w:rFonts w:ascii="Bookman Old Style" w:hAnsi="Bookman Old Style"/>
          <w:b/>
          <w:bCs/>
          <w:sz w:val="24"/>
          <w:szCs w:val="24"/>
          <w:lang w:val="es-ES"/>
        </w:rPr>
      </w:pPr>
    </w:p>
    <w:p w14:paraId="425573DF" w14:textId="370B07C2" w:rsidR="0006302B" w:rsidRPr="00B623EE" w:rsidRDefault="00402041" w:rsidP="00402041">
      <w:pPr>
        <w:pStyle w:val="Prrafodelista"/>
        <w:tabs>
          <w:tab w:val="left" w:pos="993"/>
        </w:tabs>
        <w:ind w:left="709"/>
        <w:jc w:val="both"/>
        <w:outlineLvl w:val="0"/>
        <w:rPr>
          <w:rFonts w:ascii="Bookman Old Style" w:hAnsi="Bookman Old Style"/>
          <w:b/>
          <w:bCs/>
          <w:sz w:val="24"/>
          <w:lang w:val="es-ES"/>
        </w:rPr>
      </w:pPr>
      <w:r w:rsidRPr="00B623EE">
        <w:rPr>
          <w:rFonts w:ascii="Bookman Old Style" w:hAnsi="Bookman Old Style"/>
          <w:b/>
          <w:bCs/>
          <w:sz w:val="24"/>
          <w:szCs w:val="24"/>
          <w:lang w:val="es-ES"/>
        </w:rPr>
        <w:t xml:space="preserve">Del mismo modo, si para el mismo trimestre estándar de negociación existe aún </w:t>
      </w:r>
      <w:r w:rsidR="001277DC">
        <w:rPr>
          <w:rFonts w:ascii="Bookman Old Style" w:hAnsi="Bookman Old Style"/>
          <w:b/>
          <w:bCs/>
          <w:sz w:val="24"/>
          <w:szCs w:val="24"/>
          <w:lang w:val="es-ES"/>
        </w:rPr>
        <w:t xml:space="preserve">disponible </w:t>
      </w:r>
      <w:r w:rsidRPr="00B623EE">
        <w:rPr>
          <w:rFonts w:ascii="Bookman Old Style" w:hAnsi="Bookman Old Style"/>
          <w:b/>
          <w:bCs/>
          <w:sz w:val="24"/>
          <w:szCs w:val="24"/>
          <w:lang w:val="es-ES"/>
        </w:rPr>
        <w:t>PTDVF</w:t>
      </w:r>
      <w:r w:rsidR="001277DC">
        <w:rPr>
          <w:rFonts w:ascii="Bookman Old Style" w:hAnsi="Bookman Old Style"/>
          <w:b/>
          <w:bCs/>
          <w:sz w:val="24"/>
          <w:szCs w:val="24"/>
          <w:lang w:val="es-ES"/>
        </w:rPr>
        <w:t xml:space="preserve"> y/o CIDVF</w:t>
      </w:r>
      <w:r w:rsidRPr="00B623EE">
        <w:rPr>
          <w:rFonts w:ascii="Bookman Old Style" w:hAnsi="Bookman Old Style"/>
          <w:b/>
          <w:bCs/>
          <w:sz w:val="24"/>
          <w:szCs w:val="24"/>
          <w:lang w:val="es-ES"/>
        </w:rPr>
        <w:t xml:space="preserve"> declarada en el trimestre estándar </w:t>
      </w:r>
      <w:r w:rsidR="004275CC" w:rsidRPr="00B623EE">
        <w:rPr>
          <w:rFonts w:ascii="Bookman Old Style" w:hAnsi="Bookman Old Style"/>
          <w:b/>
          <w:bCs/>
          <w:sz w:val="24"/>
          <w:szCs w:val="24"/>
          <w:lang w:val="es-ES"/>
        </w:rPr>
        <w:t>d</w:t>
      </w:r>
      <w:r w:rsidRPr="00B623EE">
        <w:rPr>
          <w:rFonts w:ascii="Bookman Old Style" w:hAnsi="Bookman Old Style"/>
          <w:b/>
          <w:bCs/>
          <w:sz w:val="24"/>
          <w:szCs w:val="24"/>
          <w:lang w:val="es-ES"/>
        </w:rPr>
        <w:t>e negociación anterior</w:t>
      </w:r>
      <w:r w:rsidR="001277DC">
        <w:rPr>
          <w:rFonts w:ascii="Bookman Old Style" w:hAnsi="Bookman Old Style"/>
          <w:b/>
          <w:bCs/>
          <w:sz w:val="24"/>
          <w:szCs w:val="24"/>
          <w:lang w:val="es-ES"/>
        </w:rPr>
        <w:t>,</w:t>
      </w:r>
      <w:r w:rsidRPr="00B623EE">
        <w:rPr>
          <w:rFonts w:ascii="Bookman Old Style" w:hAnsi="Bookman Old Style"/>
          <w:b/>
          <w:bCs/>
          <w:sz w:val="24"/>
          <w:szCs w:val="24"/>
          <w:lang w:val="es-ES"/>
        </w:rPr>
        <w:t xml:space="preserve"> para cualquiera de los </w:t>
      </w:r>
      <w:r w:rsidR="00571A5A">
        <w:rPr>
          <w:rFonts w:ascii="Bookman Old Style" w:hAnsi="Bookman Old Style"/>
          <w:b/>
          <w:bCs/>
          <w:sz w:val="24"/>
          <w:szCs w:val="24"/>
          <w:lang w:val="es-ES"/>
        </w:rPr>
        <w:t>tres (</w:t>
      </w:r>
      <w:r w:rsidRPr="00B623EE">
        <w:rPr>
          <w:rFonts w:ascii="Bookman Old Style" w:hAnsi="Bookman Old Style"/>
          <w:b/>
          <w:bCs/>
          <w:sz w:val="24"/>
          <w:szCs w:val="24"/>
          <w:lang w:val="es-ES"/>
        </w:rPr>
        <w:t>3</w:t>
      </w:r>
      <w:r w:rsidR="00571A5A">
        <w:rPr>
          <w:rFonts w:ascii="Bookman Old Style" w:hAnsi="Bookman Old Style"/>
          <w:b/>
          <w:bCs/>
          <w:sz w:val="24"/>
          <w:szCs w:val="24"/>
          <w:lang w:val="es-ES"/>
        </w:rPr>
        <w:t>)</w:t>
      </w:r>
      <w:r w:rsidRPr="00B623EE">
        <w:rPr>
          <w:rFonts w:ascii="Bookman Old Style" w:hAnsi="Bookman Old Style"/>
          <w:b/>
          <w:bCs/>
          <w:sz w:val="24"/>
          <w:szCs w:val="24"/>
          <w:lang w:val="es-ES"/>
        </w:rPr>
        <w:t xml:space="preserve"> meses de dicho trimestre de negociación, se podrán registrar </w:t>
      </w:r>
      <w:r w:rsidR="001277DC">
        <w:rPr>
          <w:rFonts w:ascii="Bookman Old Style" w:hAnsi="Bookman Old Style"/>
          <w:b/>
          <w:bCs/>
          <w:sz w:val="24"/>
          <w:szCs w:val="24"/>
          <w:lang w:val="es-ES"/>
        </w:rPr>
        <w:t>en cualquier día hábil del trimestre de negociación</w:t>
      </w:r>
      <w:r w:rsidR="001277DC" w:rsidRPr="00B623EE">
        <w:rPr>
          <w:rFonts w:ascii="Bookman Old Style" w:hAnsi="Bookman Old Style"/>
          <w:b/>
          <w:bCs/>
          <w:sz w:val="24"/>
          <w:szCs w:val="24"/>
          <w:lang w:val="es-ES"/>
        </w:rPr>
        <w:t xml:space="preserve"> </w:t>
      </w:r>
      <w:r w:rsidRPr="00B623EE">
        <w:rPr>
          <w:rFonts w:ascii="Bookman Old Style" w:hAnsi="Bookman Old Style"/>
          <w:b/>
          <w:bCs/>
          <w:sz w:val="24"/>
          <w:szCs w:val="24"/>
          <w:lang w:val="es-ES"/>
        </w:rPr>
        <w:t>ante el Gestor del Mercado contratos del tipo firme o que</w:t>
      </w:r>
      <w:r w:rsidR="00030C5B">
        <w:rPr>
          <w:rFonts w:ascii="Bookman Old Style" w:hAnsi="Bookman Old Style"/>
          <w:b/>
          <w:bCs/>
          <w:sz w:val="24"/>
          <w:szCs w:val="24"/>
          <w:lang w:val="es-ES"/>
        </w:rPr>
        <w:t xml:space="preserve"> garantizan firmeza</w:t>
      </w:r>
      <w:r w:rsidRPr="00B623EE">
        <w:rPr>
          <w:rFonts w:ascii="Bookman Old Style" w:hAnsi="Bookman Old Style"/>
          <w:b/>
          <w:bCs/>
          <w:sz w:val="24"/>
          <w:szCs w:val="24"/>
          <w:lang w:val="es-ES"/>
        </w:rPr>
        <w:t xml:space="preserve"> de duración mensual</w:t>
      </w:r>
      <w:r w:rsidR="00034878" w:rsidRPr="00B623EE">
        <w:rPr>
          <w:rFonts w:ascii="Bookman Old Style" w:hAnsi="Bookman Old Style"/>
          <w:b/>
          <w:bCs/>
          <w:sz w:val="24"/>
          <w:szCs w:val="24"/>
          <w:lang w:val="es-ES"/>
        </w:rPr>
        <w:t>,</w:t>
      </w:r>
      <w:r w:rsidRPr="00B623EE">
        <w:rPr>
          <w:rFonts w:ascii="Bookman Old Style" w:hAnsi="Bookman Old Style"/>
          <w:b/>
          <w:bCs/>
          <w:sz w:val="24"/>
          <w:szCs w:val="24"/>
          <w:lang w:val="es-ES"/>
        </w:rPr>
        <w:t xml:space="preserve"> para su ejecución durante el mismo trimestre estándar de negociación.  </w:t>
      </w:r>
      <w:r w:rsidR="0006302B" w:rsidRPr="00B623EE">
        <w:rPr>
          <w:rFonts w:ascii="Bookman Old Style" w:hAnsi="Bookman Old Style"/>
          <w:b/>
          <w:bCs/>
          <w:sz w:val="24"/>
          <w:szCs w:val="24"/>
          <w:lang w:val="es-ES"/>
        </w:rPr>
        <w:t xml:space="preserve"> </w:t>
      </w:r>
    </w:p>
    <w:p w14:paraId="634B034F" w14:textId="77777777" w:rsidR="0006302B" w:rsidRPr="00B623EE" w:rsidRDefault="0006302B" w:rsidP="00202051">
      <w:pPr>
        <w:pStyle w:val="Prrafodelista"/>
        <w:tabs>
          <w:tab w:val="left" w:pos="1134"/>
        </w:tabs>
        <w:ind w:left="709" w:hanging="283"/>
        <w:rPr>
          <w:rFonts w:ascii="Bookman Old Style" w:hAnsi="Bookman Old Style"/>
          <w:b/>
          <w:bCs/>
          <w:sz w:val="24"/>
          <w:lang w:val="es-ES"/>
        </w:rPr>
      </w:pPr>
    </w:p>
    <w:p w14:paraId="4FCACA9C" w14:textId="192A92AD" w:rsidR="0006302B" w:rsidRPr="000A4B7F" w:rsidRDefault="0006302B" w:rsidP="00CA02C6">
      <w:pPr>
        <w:pStyle w:val="Prrafodelista"/>
        <w:numPr>
          <w:ilvl w:val="0"/>
          <w:numId w:val="263"/>
        </w:numPr>
        <w:ind w:left="709" w:hanging="425"/>
        <w:jc w:val="both"/>
        <w:outlineLvl w:val="0"/>
        <w:rPr>
          <w:rFonts w:ascii="Bookman Old Style" w:hAnsi="Bookman Old Style"/>
          <w:b/>
          <w:bCs/>
          <w:sz w:val="24"/>
          <w:szCs w:val="24"/>
          <w:lang w:val="es-ES"/>
        </w:rPr>
      </w:pPr>
      <w:r w:rsidRPr="00B623EE">
        <w:rPr>
          <w:rFonts w:ascii="Bookman Old Style" w:hAnsi="Bookman Old Style"/>
          <w:b/>
          <w:bCs/>
          <w:sz w:val="24"/>
          <w:szCs w:val="24"/>
          <w:lang w:val="es-ES"/>
        </w:rPr>
        <w:t>En los casos de las Fuentes de Suministro establecidas en el artículo 19 de la presente resolución, el plazo de ejecución del suministro y</w:t>
      </w:r>
      <w:r w:rsidR="00AD766F" w:rsidRPr="00B623EE">
        <w:rPr>
          <w:rFonts w:ascii="Bookman Old Style" w:hAnsi="Bookman Old Style"/>
          <w:b/>
          <w:bCs/>
          <w:sz w:val="24"/>
          <w:szCs w:val="24"/>
          <w:lang w:val="es-ES"/>
        </w:rPr>
        <w:t xml:space="preserve"> la modalidad</w:t>
      </w:r>
      <w:r w:rsidRPr="00B623EE">
        <w:rPr>
          <w:rFonts w:ascii="Bookman Old Style" w:hAnsi="Bookman Old Style"/>
          <w:b/>
          <w:bCs/>
          <w:sz w:val="24"/>
          <w:szCs w:val="24"/>
          <w:lang w:val="es-ES"/>
        </w:rPr>
        <w:t xml:space="preserve"> de los contratos que se registren podrá ser libremente acordado entre las partes, de acuerdo con lo establecido en el </w:t>
      </w:r>
      <w:r w:rsidR="009C02E5">
        <w:rPr>
          <w:rFonts w:ascii="Bookman Old Style" w:hAnsi="Bookman Old Style"/>
          <w:b/>
          <w:bCs/>
          <w:sz w:val="24"/>
          <w:szCs w:val="24"/>
          <w:lang w:val="es-ES"/>
        </w:rPr>
        <w:t>a</w:t>
      </w:r>
      <w:r w:rsidRPr="00B623EE">
        <w:rPr>
          <w:rFonts w:ascii="Bookman Old Style" w:hAnsi="Bookman Old Style"/>
          <w:b/>
          <w:bCs/>
          <w:sz w:val="24"/>
          <w:szCs w:val="24"/>
          <w:lang w:val="es-ES"/>
        </w:rPr>
        <w:t>rtículo</w:t>
      </w:r>
      <w:r w:rsidRPr="00D66B65">
        <w:rPr>
          <w:rFonts w:ascii="Bookman Old Style" w:hAnsi="Bookman Old Style"/>
          <w:b/>
          <w:bCs/>
          <w:sz w:val="24"/>
          <w:szCs w:val="24"/>
          <w:lang w:val="es-ES"/>
        </w:rPr>
        <w:t xml:space="preserve"> 20</w:t>
      </w:r>
      <w:r w:rsidRPr="0094468A">
        <w:rPr>
          <w:rFonts w:ascii="Bookman Old Style" w:hAnsi="Bookman Old Style"/>
          <w:b/>
          <w:bCs/>
          <w:sz w:val="24"/>
          <w:szCs w:val="24"/>
          <w:lang w:val="es-ES"/>
        </w:rPr>
        <w:t xml:space="preserve"> de la presente</w:t>
      </w:r>
      <w:r w:rsidRPr="000A4B7F">
        <w:rPr>
          <w:rFonts w:ascii="Bookman Old Style" w:hAnsi="Bookman Old Style"/>
          <w:b/>
          <w:bCs/>
          <w:sz w:val="24"/>
          <w:szCs w:val="24"/>
          <w:lang w:val="es-ES"/>
        </w:rPr>
        <w:t xml:space="preserve"> Resolución.</w:t>
      </w:r>
    </w:p>
    <w:p w14:paraId="31CBA581" w14:textId="77777777" w:rsidR="0006302B" w:rsidRPr="000A4B7F" w:rsidRDefault="0006302B" w:rsidP="0006302B">
      <w:pPr>
        <w:pStyle w:val="Prrafodelista"/>
        <w:ind w:left="993"/>
        <w:jc w:val="both"/>
        <w:outlineLvl w:val="0"/>
        <w:rPr>
          <w:rFonts w:ascii="Bookman Old Style" w:hAnsi="Bookman Old Style"/>
          <w:b/>
          <w:bCs/>
          <w:sz w:val="24"/>
          <w:szCs w:val="24"/>
          <w:lang w:val="es-ES"/>
        </w:rPr>
      </w:pPr>
    </w:p>
    <w:p w14:paraId="6C990FBD" w14:textId="75A6B7FA" w:rsidR="0006302B" w:rsidRPr="00B623EE" w:rsidRDefault="0006302B" w:rsidP="00A4790E">
      <w:pPr>
        <w:pStyle w:val="Prrafodelista"/>
        <w:numPr>
          <w:ilvl w:val="0"/>
          <w:numId w:val="98"/>
        </w:numPr>
        <w:ind w:left="567" w:hanging="567"/>
        <w:jc w:val="both"/>
        <w:outlineLvl w:val="0"/>
        <w:rPr>
          <w:rFonts w:ascii="Bookman Old Style" w:hAnsi="Bookman Old Style"/>
          <w:b/>
          <w:bCs/>
          <w:sz w:val="24"/>
          <w:szCs w:val="24"/>
          <w:lang w:val="es-ES"/>
        </w:rPr>
      </w:pPr>
      <w:r w:rsidRPr="000A4B7F">
        <w:rPr>
          <w:rFonts w:ascii="Bookman Old Style" w:hAnsi="Bookman Old Style"/>
          <w:b/>
          <w:bCs/>
          <w:sz w:val="24"/>
          <w:szCs w:val="24"/>
        </w:rPr>
        <w:t xml:space="preserve">Negociación y/o </w:t>
      </w:r>
      <w:r w:rsidRPr="0005081C">
        <w:rPr>
          <w:rFonts w:ascii="Bookman Old Style" w:hAnsi="Bookman Old Style"/>
          <w:b/>
          <w:bCs/>
          <w:sz w:val="24"/>
          <w:szCs w:val="24"/>
        </w:rPr>
        <w:t>asignación de PTDVF y CIDVF cuando el balance comercial sea deficitario:</w:t>
      </w:r>
      <w:r w:rsidRPr="000A4B7F">
        <w:rPr>
          <w:rFonts w:ascii="Bookman Old Style" w:hAnsi="Bookman Old Style"/>
          <w:b/>
          <w:bCs/>
          <w:sz w:val="24"/>
          <w:szCs w:val="24"/>
        </w:rPr>
        <w:t xml:space="preserve"> </w:t>
      </w:r>
      <w:r w:rsidRPr="000A4B7F">
        <w:rPr>
          <w:rFonts w:ascii="Bookman Old Style" w:hAnsi="Bookman Old Style"/>
          <w:b/>
          <w:bCs/>
          <w:sz w:val="24"/>
          <w:szCs w:val="24"/>
          <w:lang w:val="es-ES"/>
        </w:rPr>
        <w:t>Para negociar y/o asignar las cantidades de PTDVF y CIDVF</w:t>
      </w:r>
      <w:r w:rsidR="00602B51">
        <w:rPr>
          <w:rFonts w:ascii="Bookman Old Style" w:hAnsi="Bookman Old Style"/>
          <w:b/>
          <w:bCs/>
          <w:sz w:val="24"/>
          <w:szCs w:val="24"/>
          <w:lang w:val="es-ES"/>
        </w:rPr>
        <w:t xml:space="preserve"> </w:t>
      </w:r>
      <w:r w:rsidRPr="000A4B7F">
        <w:rPr>
          <w:rFonts w:ascii="Bookman Old Style" w:hAnsi="Bookman Old Style"/>
          <w:b/>
          <w:bCs/>
          <w:sz w:val="24"/>
          <w:szCs w:val="24"/>
          <w:lang w:val="es-ES"/>
        </w:rPr>
        <w:t xml:space="preserve">en </w:t>
      </w:r>
      <w:r w:rsidR="00602B51">
        <w:rPr>
          <w:rFonts w:ascii="Bookman Old Style" w:hAnsi="Bookman Old Style"/>
          <w:b/>
          <w:bCs/>
          <w:sz w:val="24"/>
          <w:szCs w:val="24"/>
          <w:lang w:val="es-ES"/>
        </w:rPr>
        <w:t>un</w:t>
      </w:r>
      <w:r w:rsidR="00602B51" w:rsidRPr="000A4B7F">
        <w:rPr>
          <w:rFonts w:ascii="Bookman Old Style" w:hAnsi="Bookman Old Style"/>
          <w:b/>
          <w:bCs/>
          <w:sz w:val="24"/>
          <w:szCs w:val="24"/>
          <w:lang w:val="es-ES"/>
        </w:rPr>
        <w:t xml:space="preserve"> </w:t>
      </w:r>
      <w:r>
        <w:rPr>
          <w:rFonts w:ascii="Bookman Old Style" w:hAnsi="Bookman Old Style"/>
          <w:b/>
          <w:bCs/>
          <w:sz w:val="24"/>
          <w:szCs w:val="24"/>
          <w:lang w:val="es-ES"/>
        </w:rPr>
        <w:t>Punto de Referencia</w:t>
      </w:r>
      <w:r w:rsidRPr="000A4B7F">
        <w:rPr>
          <w:rFonts w:ascii="Bookman Old Style" w:hAnsi="Bookman Old Style"/>
          <w:b/>
          <w:bCs/>
          <w:sz w:val="24"/>
          <w:szCs w:val="24"/>
          <w:lang w:val="es-ES"/>
        </w:rPr>
        <w:t xml:space="preserve"> establecido por el </w:t>
      </w:r>
      <w:r w:rsidR="0022131A" w:rsidRPr="002D5416">
        <w:rPr>
          <w:rFonts w:ascii="Bookman Old Style" w:hAnsi="Bookman Old Style"/>
          <w:b/>
          <w:sz w:val="24"/>
          <w:szCs w:val="24"/>
          <w:u w:color="FF0000"/>
          <w:lang w:val="es-ES"/>
        </w:rPr>
        <w:t>Gestor</w:t>
      </w:r>
      <w:r w:rsidRPr="000A4B7F">
        <w:rPr>
          <w:rFonts w:ascii="Bookman Old Style" w:hAnsi="Bookman Old Style"/>
          <w:b/>
          <w:bCs/>
          <w:sz w:val="24"/>
          <w:szCs w:val="24"/>
          <w:lang w:val="es-ES"/>
        </w:rPr>
        <w:t xml:space="preserve"> </w:t>
      </w:r>
      <w:r w:rsidRPr="00356DAC">
        <w:rPr>
          <w:rFonts w:ascii="Bookman Old Style" w:hAnsi="Bookman Old Style"/>
          <w:b/>
          <w:bCs/>
          <w:sz w:val="24"/>
          <w:szCs w:val="24"/>
          <w:lang w:val="es-ES"/>
        </w:rPr>
        <w:t xml:space="preserve">del Mercado, entre los </w:t>
      </w:r>
      <w:r>
        <w:rPr>
          <w:rFonts w:ascii="Bookman Old Style" w:hAnsi="Bookman Old Style"/>
          <w:b/>
          <w:bCs/>
          <w:sz w:val="24"/>
          <w:szCs w:val="24"/>
          <w:lang w:val="es-ES"/>
        </w:rPr>
        <w:t>Participantes del Mercado</w:t>
      </w:r>
      <w:r w:rsidRPr="00356DAC">
        <w:rPr>
          <w:rFonts w:ascii="Bookman Old Style" w:hAnsi="Bookman Old Style"/>
          <w:b/>
          <w:bCs/>
          <w:sz w:val="24"/>
          <w:szCs w:val="24"/>
          <w:lang w:val="es-ES"/>
        </w:rPr>
        <w:t xml:space="preserve"> de que tratan los </w:t>
      </w:r>
      <w:r w:rsidRPr="00D66B65">
        <w:rPr>
          <w:rFonts w:ascii="Bookman Old Style" w:hAnsi="Bookman Old Style"/>
          <w:b/>
          <w:bCs/>
          <w:sz w:val="24"/>
          <w:szCs w:val="24"/>
          <w:lang w:val="es-ES"/>
        </w:rPr>
        <w:t>artículos 16 y 17</w:t>
      </w:r>
      <w:r w:rsidRPr="00356DAC">
        <w:rPr>
          <w:rFonts w:ascii="Bookman Old Style" w:hAnsi="Bookman Old Style"/>
          <w:b/>
          <w:bCs/>
          <w:sz w:val="24"/>
          <w:szCs w:val="24"/>
          <w:lang w:val="es-ES"/>
        </w:rPr>
        <w:t xml:space="preserve"> de</w:t>
      </w:r>
      <w:r w:rsidRPr="000A4B7F">
        <w:rPr>
          <w:rFonts w:ascii="Bookman Old Style" w:hAnsi="Bookman Old Style"/>
          <w:b/>
          <w:bCs/>
          <w:sz w:val="24"/>
          <w:szCs w:val="24"/>
          <w:lang w:val="es-ES"/>
        </w:rPr>
        <w:t xml:space="preserve"> la presente resolución o aquella que la modifique</w:t>
      </w:r>
      <w:r>
        <w:rPr>
          <w:rFonts w:ascii="Bookman Old Style" w:hAnsi="Bookman Old Style"/>
          <w:b/>
          <w:bCs/>
          <w:sz w:val="24"/>
          <w:szCs w:val="24"/>
          <w:lang w:val="es-ES"/>
        </w:rPr>
        <w:t xml:space="preserve"> o </w:t>
      </w:r>
      <w:r w:rsidRPr="000A4B7F">
        <w:rPr>
          <w:rFonts w:ascii="Bookman Old Style" w:hAnsi="Bookman Old Style"/>
          <w:b/>
          <w:bCs/>
          <w:sz w:val="24"/>
          <w:szCs w:val="24"/>
          <w:lang w:val="es-ES"/>
        </w:rPr>
        <w:t>sustituya, se aplicará</w:t>
      </w:r>
      <w:r w:rsidR="00164F01">
        <w:rPr>
          <w:rFonts w:ascii="Bookman Old Style" w:hAnsi="Bookman Old Style"/>
          <w:b/>
          <w:bCs/>
          <w:sz w:val="24"/>
          <w:szCs w:val="24"/>
          <w:lang w:val="es-ES"/>
        </w:rPr>
        <w:t>n las siguientes reglas y procedimientos</w:t>
      </w:r>
      <w:r w:rsidRPr="000A4B7F">
        <w:rPr>
          <w:rFonts w:ascii="Bookman Old Style" w:hAnsi="Bookman Old Style"/>
          <w:b/>
          <w:bCs/>
          <w:sz w:val="24"/>
          <w:szCs w:val="24"/>
          <w:lang w:val="es-ES"/>
        </w:rPr>
        <w:t xml:space="preserve"> para todas y cada un</w:t>
      </w:r>
      <w:r>
        <w:rPr>
          <w:rFonts w:ascii="Bookman Old Style" w:hAnsi="Bookman Old Style"/>
          <w:b/>
          <w:bCs/>
          <w:sz w:val="24"/>
          <w:szCs w:val="24"/>
          <w:lang w:val="es-ES"/>
        </w:rPr>
        <w:t>o de los Puntos de Entrega de l</w:t>
      </w:r>
      <w:r w:rsidRPr="000A4B7F">
        <w:rPr>
          <w:rFonts w:ascii="Bookman Old Style" w:hAnsi="Bookman Old Style"/>
          <w:b/>
          <w:bCs/>
          <w:sz w:val="24"/>
          <w:szCs w:val="24"/>
          <w:lang w:val="es-ES"/>
        </w:rPr>
        <w:t xml:space="preserve">as </w:t>
      </w:r>
      <w:r>
        <w:rPr>
          <w:rFonts w:ascii="Bookman Old Style" w:hAnsi="Bookman Old Style"/>
          <w:b/>
          <w:bCs/>
          <w:sz w:val="24"/>
          <w:szCs w:val="24"/>
          <w:lang w:val="es-ES"/>
        </w:rPr>
        <w:t>Fuentes de Suministro</w:t>
      </w:r>
      <w:r w:rsidR="00164F01">
        <w:rPr>
          <w:rFonts w:ascii="Bookman Old Style" w:hAnsi="Bookman Old Style"/>
          <w:b/>
          <w:bCs/>
          <w:sz w:val="24"/>
          <w:szCs w:val="24"/>
          <w:lang w:val="es-ES"/>
        </w:rPr>
        <w:t xml:space="preserve"> sin excepción ninguna,</w:t>
      </w:r>
      <w:r w:rsidRPr="000A4B7F">
        <w:rPr>
          <w:rFonts w:ascii="Bookman Old Style" w:hAnsi="Bookman Old Style"/>
          <w:b/>
          <w:bCs/>
          <w:sz w:val="24"/>
          <w:szCs w:val="24"/>
          <w:lang w:val="es-ES"/>
        </w:rPr>
        <w:t xml:space="preserve"> de un mismo </w:t>
      </w:r>
      <w:r>
        <w:rPr>
          <w:rFonts w:ascii="Bookman Old Style" w:hAnsi="Bookman Old Style"/>
          <w:b/>
          <w:bCs/>
          <w:sz w:val="24"/>
          <w:szCs w:val="24"/>
          <w:lang w:val="es-ES"/>
        </w:rPr>
        <w:t>Punto de Referencia</w:t>
      </w:r>
      <w:r w:rsidR="00164F01">
        <w:rPr>
          <w:rFonts w:ascii="Bookman Old Style" w:hAnsi="Bookman Old Style"/>
          <w:b/>
          <w:bCs/>
          <w:sz w:val="24"/>
          <w:szCs w:val="24"/>
          <w:lang w:val="es-ES"/>
        </w:rPr>
        <w:t>,</w:t>
      </w:r>
      <w:r w:rsidRPr="000A4B7F">
        <w:rPr>
          <w:rFonts w:ascii="Bookman Old Style" w:hAnsi="Bookman Old Style"/>
          <w:b/>
          <w:bCs/>
          <w:sz w:val="24"/>
          <w:szCs w:val="24"/>
          <w:lang w:val="es-ES"/>
        </w:rPr>
        <w:t xml:space="preserve"> </w:t>
      </w:r>
      <w:r w:rsidR="00602B51">
        <w:rPr>
          <w:rFonts w:ascii="Bookman Old Style" w:hAnsi="Bookman Old Style"/>
          <w:b/>
          <w:bCs/>
          <w:sz w:val="24"/>
          <w:szCs w:val="24"/>
          <w:lang w:val="es-ES"/>
        </w:rPr>
        <w:t xml:space="preserve">para cada trimestre </w:t>
      </w:r>
      <w:r w:rsidR="00602B51" w:rsidRPr="00B623EE">
        <w:rPr>
          <w:rFonts w:ascii="Bookman Old Style" w:hAnsi="Bookman Old Style"/>
          <w:b/>
          <w:bCs/>
          <w:sz w:val="24"/>
          <w:szCs w:val="24"/>
          <w:lang w:val="es-ES"/>
        </w:rPr>
        <w:t xml:space="preserve">estándar en que </w:t>
      </w:r>
      <w:r w:rsidRPr="00B623EE">
        <w:rPr>
          <w:rFonts w:ascii="Bookman Old Style" w:hAnsi="Bookman Old Style"/>
          <w:b/>
          <w:bCs/>
          <w:sz w:val="24"/>
          <w:szCs w:val="24"/>
          <w:lang w:val="es-ES"/>
        </w:rPr>
        <w:t xml:space="preserve">el balance comercial realizado en </w:t>
      </w:r>
      <w:r w:rsidR="00602B51" w:rsidRPr="00B623EE">
        <w:rPr>
          <w:rFonts w:ascii="Bookman Old Style" w:hAnsi="Bookman Old Style"/>
          <w:b/>
          <w:bCs/>
          <w:sz w:val="24"/>
          <w:szCs w:val="24"/>
          <w:lang w:val="es-ES"/>
        </w:rPr>
        <w:t xml:space="preserve">ese </w:t>
      </w:r>
      <w:r w:rsidRPr="00B623EE">
        <w:rPr>
          <w:rFonts w:ascii="Bookman Old Style" w:hAnsi="Bookman Old Style"/>
          <w:b/>
          <w:bCs/>
          <w:sz w:val="24"/>
          <w:szCs w:val="24"/>
          <w:lang w:val="es-ES"/>
        </w:rPr>
        <w:t>Punto de Referencia haya resultado deficitario</w:t>
      </w:r>
      <w:r w:rsidR="00602B51" w:rsidRPr="00B623EE">
        <w:rPr>
          <w:rFonts w:ascii="Bookman Old Style" w:hAnsi="Bookman Old Style"/>
          <w:b/>
          <w:bCs/>
          <w:sz w:val="24"/>
          <w:szCs w:val="24"/>
          <w:lang w:val="es-ES"/>
        </w:rPr>
        <w:t>,</w:t>
      </w:r>
      <w:r w:rsidRPr="00B623EE">
        <w:rPr>
          <w:rFonts w:ascii="Bookman Old Style" w:hAnsi="Bookman Old Style"/>
          <w:b/>
          <w:bCs/>
          <w:sz w:val="24"/>
          <w:szCs w:val="24"/>
          <w:lang w:val="es-ES"/>
        </w:rPr>
        <w:t xml:space="preserve"> en alguno</w:t>
      </w:r>
      <w:r w:rsidR="00602B51" w:rsidRPr="00B623EE">
        <w:rPr>
          <w:rFonts w:ascii="Bookman Old Style" w:hAnsi="Bookman Old Style"/>
          <w:b/>
          <w:bCs/>
          <w:sz w:val="24"/>
          <w:szCs w:val="24"/>
          <w:lang w:val="es-ES"/>
        </w:rPr>
        <w:t>(s)</w:t>
      </w:r>
      <w:r w:rsidRPr="00B623EE">
        <w:rPr>
          <w:rFonts w:ascii="Bookman Old Style" w:hAnsi="Bookman Old Style"/>
          <w:b/>
          <w:bCs/>
          <w:sz w:val="24"/>
          <w:szCs w:val="24"/>
          <w:lang w:val="es-ES"/>
        </w:rPr>
        <w:t xml:space="preserve"> de los veinte (20) trimestres estándar siguientes al Trimestre Estándar de negociación:</w:t>
      </w:r>
    </w:p>
    <w:p w14:paraId="46FDC99C" w14:textId="77777777" w:rsidR="0006302B" w:rsidRPr="00B623EE" w:rsidRDefault="0006302B" w:rsidP="0006302B">
      <w:pPr>
        <w:pStyle w:val="Prrafodelista"/>
        <w:ind w:left="360"/>
        <w:jc w:val="both"/>
        <w:rPr>
          <w:rFonts w:ascii="Bookman Old Style" w:hAnsi="Bookman Old Style"/>
          <w:b/>
          <w:bCs/>
          <w:sz w:val="24"/>
          <w:szCs w:val="24"/>
        </w:rPr>
      </w:pPr>
    </w:p>
    <w:p w14:paraId="799E517B" w14:textId="22B3B004" w:rsidR="00AD396D" w:rsidRPr="00B623EE" w:rsidRDefault="00AD396D" w:rsidP="00A4790E">
      <w:pPr>
        <w:pStyle w:val="Prrafodelista"/>
        <w:numPr>
          <w:ilvl w:val="1"/>
          <w:numId w:val="98"/>
        </w:numPr>
        <w:ind w:left="709" w:hanging="283"/>
        <w:jc w:val="both"/>
        <w:rPr>
          <w:rFonts w:ascii="Bookman Old Style" w:hAnsi="Bookman Old Style"/>
          <w:b/>
          <w:bCs/>
          <w:sz w:val="24"/>
          <w:szCs w:val="24"/>
          <w:lang w:val="es-ES"/>
        </w:rPr>
      </w:pPr>
      <w:proofErr w:type="gramStart"/>
      <w:r w:rsidRPr="00B623EE">
        <w:rPr>
          <w:rFonts w:ascii="Bookman Old Style" w:hAnsi="Bookman Old Style"/>
          <w:b/>
          <w:bCs/>
          <w:sz w:val="24"/>
          <w:szCs w:val="24"/>
          <w:lang w:val="es-ES"/>
        </w:rPr>
        <w:t>Los contratos a suscribir</w:t>
      </w:r>
      <w:proofErr w:type="gramEnd"/>
      <w:r w:rsidRPr="00B623EE">
        <w:rPr>
          <w:rFonts w:ascii="Bookman Old Style" w:hAnsi="Bookman Old Style"/>
          <w:b/>
          <w:bCs/>
          <w:sz w:val="24"/>
          <w:szCs w:val="24"/>
          <w:lang w:val="es-ES"/>
        </w:rPr>
        <w:t xml:space="preserve"> para la atención de la Demanda Esencial</w:t>
      </w:r>
      <w:r w:rsidR="00164F01" w:rsidRPr="00B623EE">
        <w:rPr>
          <w:rFonts w:ascii="Bookman Old Style" w:hAnsi="Bookman Old Style"/>
          <w:b/>
          <w:bCs/>
          <w:sz w:val="24"/>
          <w:szCs w:val="24"/>
          <w:lang w:val="es-ES"/>
        </w:rPr>
        <w:t xml:space="preserve"> requerida</w:t>
      </w:r>
      <w:r w:rsidRPr="00B623EE">
        <w:rPr>
          <w:rFonts w:ascii="Bookman Old Style" w:hAnsi="Bookman Old Style"/>
          <w:b/>
          <w:bCs/>
          <w:sz w:val="24"/>
          <w:szCs w:val="24"/>
          <w:lang w:val="es-ES"/>
        </w:rPr>
        <w:t xml:space="preserve"> serán de la modalidad CF95.</w:t>
      </w:r>
    </w:p>
    <w:p w14:paraId="368D14B6" w14:textId="77777777" w:rsidR="00AD396D" w:rsidRPr="00B623EE" w:rsidRDefault="00AD396D" w:rsidP="002D5416">
      <w:pPr>
        <w:pStyle w:val="Prrafodelista"/>
        <w:ind w:left="709"/>
        <w:jc w:val="both"/>
        <w:rPr>
          <w:rFonts w:ascii="Bookman Old Style" w:hAnsi="Bookman Old Style"/>
          <w:b/>
          <w:bCs/>
          <w:sz w:val="24"/>
          <w:szCs w:val="24"/>
          <w:lang w:val="es-ES"/>
        </w:rPr>
      </w:pPr>
    </w:p>
    <w:p w14:paraId="14D042EA" w14:textId="1149B2B8" w:rsidR="00AD396D" w:rsidRPr="00B623EE" w:rsidRDefault="00AD396D" w:rsidP="00AD396D">
      <w:pPr>
        <w:pStyle w:val="Prrafodelista"/>
        <w:numPr>
          <w:ilvl w:val="1"/>
          <w:numId w:val="98"/>
        </w:numPr>
        <w:ind w:left="709" w:hanging="283"/>
        <w:jc w:val="both"/>
        <w:rPr>
          <w:rFonts w:ascii="Bookman Old Style" w:hAnsi="Bookman Old Style"/>
          <w:b/>
          <w:bCs/>
          <w:sz w:val="24"/>
          <w:szCs w:val="24"/>
          <w:lang w:val="es-ES"/>
        </w:rPr>
      </w:pPr>
      <w:r w:rsidRPr="00B623EE">
        <w:rPr>
          <w:rFonts w:ascii="Bookman Old Style" w:hAnsi="Bookman Old Style"/>
          <w:b/>
          <w:bCs/>
          <w:sz w:val="24"/>
          <w:szCs w:val="24"/>
          <w:lang w:val="es-ES"/>
        </w:rPr>
        <w:t xml:space="preserve">Los contratos a suscribir resultantes de la asignación de cantidades mediante la subasta reglamentada en el Anexo 7 de la presente resolución, y de los procesos de comercialización de las fuentes de suministro establecidas en el </w:t>
      </w:r>
      <w:r w:rsidR="009C02E5">
        <w:rPr>
          <w:rFonts w:ascii="Bookman Old Style" w:hAnsi="Bookman Old Style"/>
          <w:b/>
          <w:bCs/>
          <w:sz w:val="24"/>
          <w:szCs w:val="24"/>
          <w:lang w:val="es-ES"/>
        </w:rPr>
        <w:t>a</w:t>
      </w:r>
      <w:r w:rsidRPr="00B623EE">
        <w:rPr>
          <w:rFonts w:ascii="Bookman Old Style" w:hAnsi="Bookman Old Style"/>
          <w:b/>
          <w:bCs/>
          <w:sz w:val="24"/>
          <w:szCs w:val="24"/>
          <w:lang w:val="es-ES"/>
        </w:rPr>
        <w:t>rtículo 19 de la presente resolución</w:t>
      </w:r>
      <w:r w:rsidR="00011CB1" w:rsidRPr="00B623EE">
        <w:rPr>
          <w:rFonts w:ascii="Bookman Old Style" w:hAnsi="Bookman Old Style"/>
          <w:b/>
          <w:bCs/>
          <w:sz w:val="24"/>
          <w:szCs w:val="24"/>
          <w:lang w:val="es-ES"/>
        </w:rPr>
        <w:t>,</w:t>
      </w:r>
      <w:r w:rsidRPr="00B623EE">
        <w:rPr>
          <w:rFonts w:ascii="Bookman Old Style" w:hAnsi="Bookman Old Style"/>
          <w:b/>
          <w:bCs/>
          <w:sz w:val="24"/>
          <w:szCs w:val="24"/>
          <w:lang w:val="es-ES"/>
        </w:rPr>
        <w:t xml:space="preserve"> podrán ser de la modalidad CF95, </w:t>
      </w:r>
      <w:r w:rsidR="00F47E1A" w:rsidRPr="00B623EE">
        <w:rPr>
          <w:rFonts w:ascii="Bookman Old Style" w:hAnsi="Bookman Old Style"/>
          <w:b/>
          <w:bCs/>
          <w:color w:val="000000" w:themeColor="text1"/>
          <w:sz w:val="24"/>
          <w:szCs w:val="24"/>
        </w:rPr>
        <w:t>de suministro con firmeza condicionada CFC o de opción de compra de gas OCG</w:t>
      </w:r>
      <w:r w:rsidRPr="00B623EE">
        <w:rPr>
          <w:rFonts w:ascii="Bookman Old Style" w:hAnsi="Bookman Old Style"/>
          <w:b/>
          <w:bCs/>
          <w:sz w:val="24"/>
          <w:szCs w:val="24"/>
          <w:lang w:val="es-ES"/>
        </w:rPr>
        <w:t>.</w:t>
      </w:r>
    </w:p>
    <w:p w14:paraId="65FF4118" w14:textId="25A3A9D5" w:rsidR="00AD396D" w:rsidRPr="00B623EE" w:rsidRDefault="00AD396D" w:rsidP="002D5416">
      <w:pPr>
        <w:pStyle w:val="Prrafodelista"/>
        <w:ind w:left="709"/>
        <w:jc w:val="both"/>
        <w:rPr>
          <w:rFonts w:ascii="Bookman Old Style" w:hAnsi="Bookman Old Style"/>
          <w:b/>
          <w:bCs/>
          <w:sz w:val="24"/>
          <w:szCs w:val="24"/>
          <w:lang w:val="es-ES"/>
        </w:rPr>
      </w:pPr>
    </w:p>
    <w:p w14:paraId="112C3A92" w14:textId="4B3E06A6" w:rsidR="0006302B" w:rsidRPr="000A4B7F" w:rsidRDefault="0006302B" w:rsidP="00A4790E">
      <w:pPr>
        <w:pStyle w:val="Prrafodelista"/>
        <w:numPr>
          <w:ilvl w:val="1"/>
          <w:numId w:val="98"/>
        </w:numPr>
        <w:ind w:left="709" w:hanging="283"/>
        <w:jc w:val="both"/>
        <w:rPr>
          <w:rFonts w:ascii="Bookman Old Style" w:hAnsi="Bookman Old Style"/>
          <w:b/>
          <w:bCs/>
          <w:sz w:val="24"/>
          <w:szCs w:val="24"/>
          <w:lang w:val="es-ES"/>
        </w:rPr>
      </w:pPr>
      <w:r w:rsidRPr="00B623EE">
        <w:rPr>
          <w:rFonts w:ascii="Bookman Old Style" w:hAnsi="Bookman Old Style"/>
          <w:b/>
          <w:bCs/>
          <w:sz w:val="24"/>
          <w:szCs w:val="24"/>
          <w:lang w:val="es-ES"/>
        </w:rPr>
        <w:lastRenderedPageBreak/>
        <w:t xml:space="preserve">Cada vendedor deberá enviar al </w:t>
      </w:r>
      <w:r w:rsidR="0022131A" w:rsidRPr="00B623EE">
        <w:rPr>
          <w:rFonts w:ascii="Bookman Old Style" w:hAnsi="Bookman Old Style"/>
          <w:b/>
          <w:bCs/>
          <w:sz w:val="24"/>
          <w:szCs w:val="24"/>
          <w:lang w:val="es-ES"/>
        </w:rPr>
        <w:t>Gestor</w:t>
      </w:r>
      <w:r w:rsidRPr="00B623EE">
        <w:rPr>
          <w:rFonts w:ascii="Bookman Old Style" w:hAnsi="Bookman Old Style"/>
          <w:b/>
          <w:bCs/>
          <w:sz w:val="24"/>
          <w:szCs w:val="24"/>
          <w:lang w:val="es-ES"/>
        </w:rPr>
        <w:t xml:space="preserve"> del Mercado, a más tardar al décimo noveno día hábil del Trimestre Estándar de negociación, el precio de reserva</w:t>
      </w:r>
      <w:r w:rsidR="00620BA0" w:rsidRPr="00B623EE">
        <w:rPr>
          <w:rFonts w:ascii="Bookman Old Style" w:hAnsi="Bookman Old Style"/>
          <w:b/>
          <w:bCs/>
          <w:sz w:val="24"/>
          <w:szCs w:val="24"/>
          <w:lang w:val="es-ES"/>
        </w:rPr>
        <w:t xml:space="preserve"> </w:t>
      </w:r>
      <w:r w:rsidRPr="00B623EE">
        <w:rPr>
          <w:rFonts w:ascii="Bookman Old Style" w:hAnsi="Bookman Old Style"/>
          <w:b/>
          <w:bCs/>
          <w:sz w:val="24"/>
          <w:szCs w:val="24"/>
          <w:lang w:val="es-ES"/>
        </w:rPr>
        <w:t>por cada</w:t>
      </w:r>
      <w:r w:rsidR="00060479" w:rsidRPr="00B623EE">
        <w:rPr>
          <w:rFonts w:ascii="Bookman Old Style" w:hAnsi="Bookman Old Style"/>
          <w:b/>
          <w:bCs/>
          <w:sz w:val="24"/>
          <w:szCs w:val="24"/>
          <w:lang w:val="es-ES"/>
        </w:rPr>
        <w:t xml:space="preserve"> Punto de Entrega</w:t>
      </w:r>
      <w:r w:rsidR="00274B42" w:rsidRPr="00B623EE">
        <w:rPr>
          <w:rFonts w:ascii="Bookman Old Style" w:hAnsi="Bookman Old Style"/>
          <w:b/>
          <w:bCs/>
          <w:sz w:val="24"/>
          <w:szCs w:val="24"/>
          <w:lang w:val="es-ES"/>
        </w:rPr>
        <w:t>,</w:t>
      </w:r>
      <w:r w:rsidRPr="00B623EE">
        <w:rPr>
          <w:rFonts w:ascii="Bookman Old Style" w:hAnsi="Bookman Old Style"/>
          <w:b/>
          <w:bCs/>
          <w:sz w:val="24"/>
          <w:szCs w:val="24"/>
          <w:lang w:val="es-ES"/>
        </w:rPr>
        <w:t xml:space="preserve"> de </w:t>
      </w:r>
      <w:r w:rsidR="00274B42" w:rsidRPr="00B623EE">
        <w:rPr>
          <w:rFonts w:ascii="Bookman Old Style" w:hAnsi="Bookman Old Style"/>
          <w:b/>
          <w:bCs/>
          <w:sz w:val="24"/>
          <w:szCs w:val="24"/>
          <w:lang w:val="es-ES"/>
        </w:rPr>
        <w:t xml:space="preserve">cada una de </w:t>
      </w:r>
      <w:r w:rsidRPr="00B623EE">
        <w:rPr>
          <w:rFonts w:ascii="Bookman Old Style" w:hAnsi="Bookman Old Style"/>
          <w:b/>
          <w:bCs/>
          <w:sz w:val="24"/>
          <w:szCs w:val="24"/>
          <w:lang w:val="es-ES"/>
        </w:rPr>
        <w:t xml:space="preserve">las Fuentes de Suministro </w:t>
      </w:r>
      <w:r w:rsidR="00EC264A" w:rsidRPr="00B623EE">
        <w:rPr>
          <w:rFonts w:ascii="Bookman Old Style" w:hAnsi="Bookman Old Style"/>
          <w:b/>
          <w:bCs/>
          <w:sz w:val="24"/>
          <w:szCs w:val="24"/>
          <w:lang w:val="es-ES"/>
        </w:rPr>
        <w:t>sin excepción</w:t>
      </w:r>
      <w:r w:rsidR="00A233AD">
        <w:rPr>
          <w:rFonts w:ascii="Bookman Old Style" w:hAnsi="Bookman Old Style"/>
          <w:b/>
          <w:bCs/>
          <w:sz w:val="24"/>
          <w:szCs w:val="24"/>
          <w:lang w:val="es-ES"/>
        </w:rPr>
        <w:t xml:space="preserve"> ninguna</w:t>
      </w:r>
      <w:r w:rsidRPr="00B623EE">
        <w:rPr>
          <w:rFonts w:ascii="Bookman Old Style" w:hAnsi="Bookman Old Style"/>
          <w:b/>
          <w:bCs/>
          <w:sz w:val="24"/>
          <w:szCs w:val="24"/>
          <w:lang w:val="es-ES"/>
        </w:rPr>
        <w:t>, que hace</w:t>
      </w:r>
      <w:r w:rsidR="00EC264A" w:rsidRPr="00B623EE">
        <w:rPr>
          <w:rFonts w:ascii="Bookman Old Style" w:hAnsi="Bookman Old Style"/>
          <w:b/>
          <w:bCs/>
          <w:sz w:val="24"/>
          <w:szCs w:val="24"/>
          <w:lang w:val="es-ES"/>
        </w:rPr>
        <w:t>n</w:t>
      </w:r>
      <w:r w:rsidRPr="00B623EE">
        <w:rPr>
          <w:rFonts w:ascii="Bookman Old Style" w:hAnsi="Bookman Old Style"/>
          <w:b/>
          <w:bCs/>
          <w:sz w:val="24"/>
          <w:szCs w:val="24"/>
          <w:lang w:val="es-ES"/>
        </w:rPr>
        <w:t xml:space="preserve"> parte del Punto de Referencia con balance comercial deficitario.</w:t>
      </w:r>
      <w:r w:rsidR="00675018" w:rsidRPr="00B623EE">
        <w:rPr>
          <w:rFonts w:ascii="Bookman Old Style" w:hAnsi="Bookman Old Style"/>
          <w:b/>
          <w:bCs/>
          <w:sz w:val="24"/>
          <w:szCs w:val="24"/>
          <w:lang w:val="es-ES"/>
        </w:rPr>
        <w:t xml:space="preserve"> </w:t>
      </w:r>
      <w:r w:rsidR="00CB553E" w:rsidRPr="00B623EE">
        <w:rPr>
          <w:rFonts w:ascii="Bookman Old Style" w:hAnsi="Bookman Old Style"/>
          <w:b/>
          <w:bCs/>
          <w:sz w:val="24"/>
          <w:szCs w:val="24"/>
          <w:lang w:val="es-ES"/>
        </w:rPr>
        <w:t xml:space="preserve">Dicho precio deberá ser superior a cero </w:t>
      </w:r>
      <w:r w:rsidR="00274B42" w:rsidRPr="00B623EE">
        <w:rPr>
          <w:rFonts w:ascii="Bookman Old Style" w:hAnsi="Bookman Old Style"/>
          <w:b/>
          <w:bCs/>
          <w:sz w:val="24"/>
          <w:szCs w:val="24"/>
          <w:lang w:val="es-ES"/>
        </w:rPr>
        <w:t xml:space="preserve">dólares por millón de </w:t>
      </w:r>
      <w:proofErr w:type="spellStart"/>
      <w:r w:rsidR="00274B42" w:rsidRPr="00B623EE">
        <w:rPr>
          <w:rFonts w:ascii="Bookman Old Style" w:hAnsi="Bookman Old Style"/>
          <w:b/>
          <w:bCs/>
          <w:sz w:val="24"/>
          <w:szCs w:val="24"/>
          <w:lang w:val="es-ES"/>
        </w:rPr>
        <w:t>btu</w:t>
      </w:r>
      <w:proofErr w:type="spellEnd"/>
      <w:r w:rsidR="00274B42" w:rsidRPr="00B623EE">
        <w:rPr>
          <w:rFonts w:ascii="Bookman Old Style" w:hAnsi="Bookman Old Style"/>
          <w:b/>
          <w:bCs/>
          <w:sz w:val="24"/>
          <w:szCs w:val="24"/>
          <w:lang w:val="es-ES"/>
        </w:rPr>
        <w:t xml:space="preserve"> </w:t>
      </w:r>
      <w:r w:rsidR="00CB553E" w:rsidRPr="00B623EE">
        <w:rPr>
          <w:rFonts w:ascii="Bookman Old Style" w:hAnsi="Bookman Old Style"/>
          <w:b/>
          <w:bCs/>
          <w:sz w:val="24"/>
          <w:szCs w:val="24"/>
          <w:lang w:val="es-ES"/>
        </w:rPr>
        <w:t>(</w:t>
      </w:r>
      <w:r w:rsidR="00274B42" w:rsidRPr="00B623EE">
        <w:rPr>
          <w:rFonts w:ascii="Bookman Old Style" w:hAnsi="Bookman Old Style"/>
          <w:b/>
          <w:bCs/>
          <w:sz w:val="24"/>
          <w:szCs w:val="24"/>
          <w:lang w:val="es-ES"/>
        </w:rPr>
        <w:t xml:space="preserve">USD </w:t>
      </w:r>
      <w:r w:rsidR="00CB553E" w:rsidRPr="00B623EE">
        <w:rPr>
          <w:rFonts w:ascii="Bookman Old Style" w:hAnsi="Bookman Old Style"/>
          <w:b/>
          <w:bCs/>
          <w:sz w:val="24"/>
          <w:szCs w:val="24"/>
          <w:lang w:val="es-ES"/>
        </w:rPr>
        <w:t>0</w:t>
      </w:r>
      <w:r w:rsidR="00274B42" w:rsidRPr="00B623EE">
        <w:rPr>
          <w:rFonts w:ascii="Bookman Old Style" w:hAnsi="Bookman Old Style"/>
          <w:b/>
          <w:bCs/>
          <w:sz w:val="24"/>
          <w:szCs w:val="24"/>
          <w:lang w:val="es-ES"/>
        </w:rPr>
        <w:t>,00/MBTU</w:t>
      </w:r>
      <w:r w:rsidR="00CB553E" w:rsidRPr="00B623EE">
        <w:rPr>
          <w:rFonts w:ascii="Bookman Old Style" w:hAnsi="Bookman Old Style"/>
          <w:b/>
          <w:bCs/>
          <w:sz w:val="24"/>
          <w:szCs w:val="24"/>
          <w:lang w:val="es-ES"/>
        </w:rPr>
        <w:t>)</w:t>
      </w:r>
      <w:r w:rsidR="00274B42" w:rsidRPr="00B623EE">
        <w:rPr>
          <w:rFonts w:ascii="Bookman Old Style" w:hAnsi="Bookman Old Style"/>
          <w:b/>
          <w:bCs/>
          <w:sz w:val="24"/>
          <w:szCs w:val="24"/>
          <w:lang w:val="es-ES"/>
        </w:rPr>
        <w:t>,</w:t>
      </w:r>
      <w:r w:rsidR="00CB553E" w:rsidRPr="00B623EE">
        <w:rPr>
          <w:rFonts w:ascii="Bookman Old Style" w:hAnsi="Bookman Old Style"/>
          <w:b/>
          <w:bCs/>
          <w:sz w:val="24"/>
          <w:szCs w:val="24"/>
          <w:lang w:val="es-ES"/>
        </w:rPr>
        <w:t xml:space="preserve"> no podrá tener más de dos (2) cifras decimales</w:t>
      </w:r>
      <w:r w:rsidR="00B83BC3" w:rsidRPr="00B623EE">
        <w:rPr>
          <w:rFonts w:ascii="Bookman Old Style" w:hAnsi="Bookman Old Style"/>
          <w:b/>
          <w:bCs/>
          <w:sz w:val="24"/>
          <w:szCs w:val="24"/>
          <w:lang w:val="es-ES"/>
        </w:rPr>
        <w:t xml:space="preserve"> y deberá ser igual en el caso de una misma fuente de suministro, para todos</w:t>
      </w:r>
      <w:r w:rsidR="00B83BC3">
        <w:rPr>
          <w:rFonts w:ascii="Bookman Old Style" w:hAnsi="Bookman Old Style"/>
          <w:b/>
          <w:bCs/>
          <w:sz w:val="24"/>
          <w:szCs w:val="24"/>
          <w:lang w:val="es-ES"/>
        </w:rPr>
        <w:t xml:space="preserve"> los trimestres estándar en que se presente un balance comercial deficitario en el trimestre estándar de negociación</w:t>
      </w:r>
      <w:r w:rsidR="00CB553E">
        <w:rPr>
          <w:rFonts w:ascii="Bookman Old Style" w:hAnsi="Bookman Old Style"/>
          <w:b/>
          <w:bCs/>
          <w:sz w:val="24"/>
          <w:szCs w:val="24"/>
          <w:lang w:val="es-ES"/>
        </w:rPr>
        <w:t>.</w:t>
      </w:r>
    </w:p>
    <w:p w14:paraId="68CF9ECC" w14:textId="77777777" w:rsidR="0006302B" w:rsidRPr="000A4B7F" w:rsidRDefault="0006302B" w:rsidP="00202051">
      <w:pPr>
        <w:pStyle w:val="Prrafodelista"/>
        <w:ind w:left="709" w:hanging="283"/>
        <w:jc w:val="both"/>
        <w:rPr>
          <w:rFonts w:ascii="Bookman Old Style" w:hAnsi="Bookman Old Style"/>
          <w:b/>
          <w:bCs/>
          <w:sz w:val="24"/>
          <w:szCs w:val="24"/>
          <w:lang w:val="es-ES"/>
        </w:rPr>
      </w:pPr>
    </w:p>
    <w:p w14:paraId="000BD4F3" w14:textId="0BCDC75A"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05081C">
        <w:rPr>
          <w:rFonts w:ascii="Bookman Old Style" w:hAnsi="Bookman Old Style"/>
          <w:b/>
          <w:bCs/>
          <w:sz w:val="24"/>
          <w:lang w:val="es-ES"/>
        </w:rPr>
        <w:t xml:space="preserve">El </w:t>
      </w:r>
      <w:r w:rsidR="0022131A" w:rsidRPr="002D5416">
        <w:rPr>
          <w:rFonts w:ascii="Bookman Old Style" w:hAnsi="Bookman Old Style"/>
          <w:b/>
          <w:sz w:val="24"/>
          <w:szCs w:val="24"/>
          <w:u w:color="FF0000"/>
          <w:lang w:val="es-ES"/>
        </w:rPr>
        <w:t>Gestor</w:t>
      </w:r>
      <w:r w:rsidRPr="00730A18">
        <w:rPr>
          <w:rFonts w:ascii="Bookman Old Style" w:hAnsi="Bookman Old Style"/>
          <w:b/>
          <w:sz w:val="24"/>
          <w:szCs w:val="24"/>
          <w:lang w:val="es-ES"/>
        </w:rPr>
        <w:t xml:space="preserve"> </w:t>
      </w:r>
      <w:r w:rsidRPr="0005081C">
        <w:rPr>
          <w:rFonts w:ascii="Bookman Old Style" w:hAnsi="Bookman Old Style"/>
          <w:b/>
          <w:bCs/>
          <w:sz w:val="24"/>
          <w:lang w:val="es-ES"/>
        </w:rPr>
        <w:t xml:space="preserve">del Mercado descontará, para </w:t>
      </w:r>
      <w:r w:rsidRPr="0005081C">
        <w:rPr>
          <w:rFonts w:ascii="Bookman Old Style" w:hAnsi="Bookman Old Style"/>
          <w:b/>
          <w:bCs/>
          <w:sz w:val="24"/>
          <w:szCs w:val="24"/>
          <w:lang w:val="es-ES"/>
        </w:rPr>
        <w:t>el</w:t>
      </w:r>
      <w:r w:rsidRPr="0005081C">
        <w:rPr>
          <w:rFonts w:ascii="Bookman Old Style" w:hAnsi="Bookman Old Style"/>
          <w:b/>
          <w:bCs/>
          <w:sz w:val="24"/>
          <w:lang w:val="es-ES"/>
        </w:rPr>
        <w:t xml:space="preserve"> Punto de Referencia</w:t>
      </w:r>
      <w:r w:rsidRPr="0005081C">
        <w:rPr>
          <w:rFonts w:ascii="Bookman Old Style" w:hAnsi="Bookman Old Style"/>
          <w:b/>
          <w:bCs/>
          <w:sz w:val="24"/>
          <w:szCs w:val="24"/>
          <w:lang w:val="es-ES"/>
        </w:rPr>
        <w:t xml:space="preserve"> identificado y a más tardar </w:t>
      </w:r>
      <w:r w:rsidR="009156E7" w:rsidRPr="0005081C">
        <w:rPr>
          <w:rFonts w:ascii="Bookman Old Style" w:hAnsi="Bookman Old Style"/>
          <w:b/>
          <w:bCs/>
          <w:sz w:val="24"/>
          <w:szCs w:val="24"/>
          <w:lang w:val="es-ES"/>
        </w:rPr>
        <w:t>e</w:t>
      </w:r>
      <w:r w:rsidRPr="0005081C">
        <w:rPr>
          <w:rFonts w:ascii="Bookman Old Style" w:hAnsi="Bookman Old Style"/>
          <w:b/>
          <w:bCs/>
          <w:sz w:val="24"/>
          <w:szCs w:val="24"/>
          <w:lang w:val="es-ES"/>
        </w:rPr>
        <w:t>l vigésimo día hábil del Trimestre Estándar de negociación</w:t>
      </w:r>
      <w:r w:rsidRPr="0005081C">
        <w:rPr>
          <w:rFonts w:ascii="Bookman Old Style" w:hAnsi="Bookman Old Style"/>
          <w:b/>
          <w:bCs/>
          <w:sz w:val="24"/>
          <w:lang w:val="es-ES"/>
        </w:rPr>
        <w:t xml:space="preserve">, la suma de las cantidades trimestrales que los </w:t>
      </w:r>
      <w:r w:rsidRPr="0005081C">
        <w:rPr>
          <w:rFonts w:ascii="Bookman Old Style" w:hAnsi="Bookman Old Style"/>
          <w:b/>
          <w:bCs/>
          <w:sz w:val="24"/>
          <w:szCs w:val="24"/>
          <w:lang w:val="es-ES"/>
        </w:rPr>
        <w:t>vendedores de</w:t>
      </w:r>
      <w:r w:rsidRPr="0005081C">
        <w:rPr>
          <w:rFonts w:ascii="Bookman Old Style" w:hAnsi="Bookman Old Style"/>
          <w:b/>
          <w:bCs/>
          <w:sz w:val="24"/>
          <w:lang w:val="es-ES"/>
        </w:rPr>
        <w:t xml:space="preserve"> gas </w:t>
      </w:r>
      <w:r w:rsidRPr="0005081C">
        <w:rPr>
          <w:rFonts w:ascii="Bookman Old Style" w:hAnsi="Bookman Old Style"/>
          <w:b/>
          <w:bCs/>
          <w:sz w:val="24"/>
          <w:szCs w:val="24"/>
          <w:lang w:val="es-ES"/>
        </w:rPr>
        <w:t>de todos los Puntos de Entrega de las Fuentes de Suministro en ese Punto de Referencia, pueden</w:t>
      </w:r>
      <w:r w:rsidRPr="0005081C">
        <w:rPr>
          <w:rFonts w:ascii="Bookman Old Style" w:hAnsi="Bookman Old Style"/>
          <w:b/>
          <w:bCs/>
          <w:sz w:val="24"/>
          <w:lang w:val="es-ES"/>
        </w:rPr>
        <w:t xml:space="preserve"> negociar con destino a la atención de la </w:t>
      </w:r>
      <w:r w:rsidRPr="0005081C">
        <w:rPr>
          <w:rFonts w:ascii="Bookman Old Style" w:hAnsi="Bookman Old Style"/>
          <w:b/>
          <w:bCs/>
          <w:sz w:val="24"/>
          <w:szCs w:val="24"/>
          <w:lang w:val="es-ES"/>
        </w:rPr>
        <w:t xml:space="preserve">Demanda Esencial, teniendo en cuenta la información entregada por los compradores, de acuerdo con lo dispuesto en el </w:t>
      </w:r>
      <w:r w:rsidRPr="0030393A">
        <w:rPr>
          <w:rFonts w:ascii="Bookman Old Style" w:hAnsi="Bookman Old Style"/>
          <w:b/>
          <w:bCs/>
          <w:sz w:val="24"/>
          <w:szCs w:val="24"/>
          <w:lang w:val="es-ES"/>
        </w:rPr>
        <w:t>literal e. del numeral 1 anterior. Dichas cantidades descontadas</w:t>
      </w:r>
      <w:r w:rsidRPr="0030393A">
        <w:rPr>
          <w:rFonts w:ascii="Bookman Old Style" w:hAnsi="Bookman Old Style"/>
          <w:b/>
          <w:bCs/>
          <w:sz w:val="24"/>
          <w:lang w:val="es-ES"/>
        </w:rPr>
        <w:t xml:space="preserve"> se distribuirán </w:t>
      </w:r>
      <w:r w:rsidRPr="0030393A">
        <w:rPr>
          <w:rFonts w:ascii="Bookman Old Style" w:hAnsi="Bookman Old Style"/>
          <w:b/>
          <w:bCs/>
          <w:sz w:val="24"/>
          <w:szCs w:val="24"/>
          <w:lang w:val="es-ES"/>
        </w:rPr>
        <w:t>para ese Punto de Referencia</w:t>
      </w:r>
      <w:r w:rsidRPr="0030393A">
        <w:rPr>
          <w:rFonts w:ascii="Bookman Old Style" w:hAnsi="Bookman Old Style"/>
          <w:b/>
          <w:bCs/>
          <w:sz w:val="24"/>
          <w:lang w:val="es-ES"/>
        </w:rPr>
        <w:t xml:space="preserve"> de </w:t>
      </w:r>
      <w:r w:rsidRPr="0030393A">
        <w:rPr>
          <w:rFonts w:ascii="Bookman Old Style" w:hAnsi="Bookman Old Style"/>
          <w:b/>
          <w:bCs/>
          <w:sz w:val="24"/>
          <w:szCs w:val="24"/>
          <w:lang w:val="es-ES"/>
        </w:rPr>
        <w:t>la manera descrita en los literales e., f.</w:t>
      </w:r>
      <w:r w:rsidR="00274B42" w:rsidRPr="0030393A">
        <w:rPr>
          <w:rFonts w:ascii="Bookman Old Style" w:hAnsi="Bookman Old Style"/>
          <w:b/>
          <w:bCs/>
          <w:sz w:val="24"/>
          <w:szCs w:val="24"/>
          <w:lang w:val="es-ES"/>
        </w:rPr>
        <w:t>,</w:t>
      </w:r>
      <w:r w:rsidRPr="0030393A">
        <w:rPr>
          <w:rFonts w:ascii="Bookman Old Style" w:hAnsi="Bookman Old Style"/>
          <w:b/>
          <w:bCs/>
          <w:sz w:val="24"/>
          <w:szCs w:val="24"/>
          <w:lang w:val="es-ES"/>
        </w:rPr>
        <w:t xml:space="preserve"> g</w:t>
      </w:r>
      <w:r w:rsidR="00274B42" w:rsidRPr="0030393A">
        <w:rPr>
          <w:rFonts w:ascii="Bookman Old Style" w:hAnsi="Bookman Old Style"/>
          <w:b/>
          <w:bCs/>
          <w:sz w:val="24"/>
          <w:szCs w:val="24"/>
          <w:lang w:val="es-ES"/>
        </w:rPr>
        <w:t>, h. e i</w:t>
      </w:r>
      <w:r w:rsidRPr="0030393A">
        <w:rPr>
          <w:rFonts w:ascii="Bookman Old Style" w:hAnsi="Bookman Old Style"/>
          <w:b/>
          <w:bCs/>
          <w:sz w:val="24"/>
          <w:szCs w:val="24"/>
          <w:lang w:val="es-ES"/>
        </w:rPr>
        <w:t>. siguientes.</w:t>
      </w:r>
    </w:p>
    <w:p w14:paraId="60F523C6" w14:textId="77777777" w:rsidR="0006302B" w:rsidRPr="0030393A" w:rsidRDefault="0006302B" w:rsidP="00202051">
      <w:pPr>
        <w:pStyle w:val="Prrafodelista"/>
        <w:ind w:left="709" w:hanging="283"/>
        <w:rPr>
          <w:rFonts w:ascii="Bookman Old Style" w:hAnsi="Bookman Old Style"/>
          <w:b/>
          <w:bCs/>
          <w:sz w:val="24"/>
          <w:szCs w:val="24"/>
          <w:lang w:val="es-ES"/>
        </w:rPr>
      </w:pPr>
    </w:p>
    <w:p w14:paraId="0A97B175" w14:textId="77777777" w:rsidR="00263BC5" w:rsidRPr="0030393A" w:rsidRDefault="0006302B" w:rsidP="00A4790E">
      <w:pPr>
        <w:pStyle w:val="Prrafodelista"/>
        <w:numPr>
          <w:ilvl w:val="1"/>
          <w:numId w:val="98"/>
        </w:numPr>
        <w:ind w:left="709" w:hanging="283"/>
        <w:jc w:val="both"/>
        <w:rPr>
          <w:rFonts w:ascii="Bookman Old Style" w:hAnsi="Bookman Old Style"/>
          <w:b/>
          <w:bCs/>
          <w:sz w:val="24"/>
          <w:lang w:val="es-ES"/>
        </w:rPr>
      </w:pPr>
      <w:r w:rsidRPr="0030393A">
        <w:rPr>
          <w:rFonts w:ascii="Bookman Old Style" w:hAnsi="Bookman Old Style"/>
          <w:b/>
          <w:bCs/>
          <w:sz w:val="24"/>
          <w:szCs w:val="24"/>
          <w:lang w:val="es-ES"/>
        </w:rPr>
        <w:t xml:space="preserve">El </w:t>
      </w:r>
      <w:r w:rsidR="0022131A" w:rsidRPr="0030393A">
        <w:rPr>
          <w:rFonts w:ascii="Bookman Old Style" w:hAnsi="Bookman Old Style"/>
          <w:b/>
          <w:sz w:val="24"/>
          <w:szCs w:val="24"/>
          <w:lang w:val="es-ES"/>
        </w:rPr>
        <w:t>Gestor</w:t>
      </w:r>
      <w:r w:rsidRPr="0030393A">
        <w:rPr>
          <w:rFonts w:ascii="Bookman Old Style" w:hAnsi="Bookman Old Style"/>
          <w:b/>
          <w:sz w:val="24"/>
          <w:szCs w:val="24"/>
          <w:lang w:val="es-ES"/>
        </w:rPr>
        <w:t xml:space="preserve"> </w:t>
      </w:r>
      <w:r w:rsidRPr="0030393A">
        <w:rPr>
          <w:rFonts w:ascii="Bookman Old Style" w:hAnsi="Bookman Old Style"/>
          <w:b/>
          <w:bCs/>
          <w:sz w:val="24"/>
          <w:szCs w:val="24"/>
          <w:lang w:val="es-ES"/>
        </w:rPr>
        <w:t>del Mercado determinará el porcentaje de participación de cada vendedor, por</w:t>
      </w:r>
      <w:r w:rsidR="00D959AE" w:rsidRPr="0030393A">
        <w:rPr>
          <w:rFonts w:ascii="Bookman Old Style" w:hAnsi="Bookman Old Style"/>
          <w:b/>
          <w:bCs/>
          <w:sz w:val="24"/>
          <w:szCs w:val="24"/>
          <w:lang w:val="es-ES"/>
        </w:rPr>
        <w:t xml:space="preserve"> cada Punto de Entrega</w:t>
      </w:r>
      <w:r w:rsidRPr="0030393A">
        <w:rPr>
          <w:rFonts w:ascii="Bookman Old Style" w:hAnsi="Bookman Old Style"/>
          <w:b/>
          <w:bCs/>
          <w:sz w:val="24"/>
          <w:szCs w:val="24"/>
          <w:lang w:val="es-ES"/>
        </w:rPr>
        <w:t xml:space="preserve"> y por cada Fuente de Suministro en ese Punto de Referencia, con base en </w:t>
      </w:r>
      <w:r w:rsidRPr="0030393A">
        <w:rPr>
          <w:rFonts w:ascii="Bookman Old Style" w:hAnsi="Bookman Old Style"/>
          <w:b/>
          <w:bCs/>
          <w:sz w:val="24"/>
          <w:lang w:val="es-ES"/>
        </w:rPr>
        <w:t xml:space="preserve">las cantidades </w:t>
      </w:r>
      <w:r w:rsidRPr="0030393A">
        <w:rPr>
          <w:rFonts w:ascii="Bookman Old Style" w:hAnsi="Bookman Old Style"/>
          <w:b/>
          <w:bCs/>
          <w:sz w:val="24"/>
          <w:szCs w:val="24"/>
          <w:lang w:val="es-ES"/>
        </w:rPr>
        <w:t>totales</w:t>
      </w:r>
      <w:r w:rsidRPr="0030393A">
        <w:rPr>
          <w:rFonts w:ascii="Bookman Old Style" w:hAnsi="Bookman Old Style"/>
          <w:b/>
          <w:bCs/>
          <w:sz w:val="24"/>
          <w:lang w:val="es-ES"/>
        </w:rPr>
        <w:t xml:space="preserve"> declaradas de </w:t>
      </w:r>
      <w:r w:rsidRPr="0030393A">
        <w:rPr>
          <w:rFonts w:ascii="Bookman Old Style" w:hAnsi="Bookman Old Style"/>
          <w:b/>
          <w:bCs/>
          <w:sz w:val="24"/>
          <w:szCs w:val="24"/>
          <w:lang w:val="es-ES"/>
        </w:rPr>
        <w:t>PTDVF y CIDVF en dicho punto para todas las Fuentes de Suministro</w:t>
      </w:r>
      <w:r w:rsidR="00263BC5" w:rsidRPr="0030393A">
        <w:rPr>
          <w:rFonts w:ascii="Bookman Old Style" w:hAnsi="Bookman Old Style"/>
          <w:b/>
          <w:bCs/>
          <w:sz w:val="24"/>
          <w:szCs w:val="24"/>
          <w:lang w:val="es-ES"/>
        </w:rPr>
        <w:t>, así:</w:t>
      </w:r>
    </w:p>
    <w:p w14:paraId="787F9C02" w14:textId="1140591C" w:rsidR="00263BC5" w:rsidRPr="0030393A" w:rsidRDefault="00263BC5" w:rsidP="00263BC5">
      <w:pPr>
        <w:pStyle w:val="Prrafodelista"/>
        <w:rPr>
          <w:rFonts w:ascii="Bookman Old Style" w:hAnsi="Bookman Old Style"/>
          <w:b/>
          <w:bCs/>
          <w:sz w:val="24"/>
          <w:szCs w:val="24"/>
          <w:lang w:val="es-ES"/>
        </w:rPr>
      </w:pPr>
    </w:p>
    <w:p w14:paraId="6CA73C38" w14:textId="090DFF79" w:rsidR="00263BC5" w:rsidRPr="0030393A" w:rsidRDefault="00FB7B28" w:rsidP="006461EF">
      <w:pPr>
        <w:pStyle w:val="Prrafodelista"/>
        <w:rPr>
          <w:rFonts w:ascii="Bookman Old Style" w:hAnsi="Bookman Old Style"/>
          <w:b/>
          <w:bCs/>
          <w:sz w:val="24"/>
          <w:szCs w:val="24"/>
          <w:lang w:val="es-ES"/>
        </w:rPr>
      </w:pPr>
      <m:oMathPara>
        <m:oMath>
          <m:sSub>
            <m:sSubPr>
              <m:ctrlPr>
                <w:rPr>
                  <w:rFonts w:ascii="Cambria Math" w:hAnsi="Cambria Math"/>
                  <w:b/>
                  <w:bCs/>
                  <w:i/>
                  <w:sz w:val="24"/>
                  <w:szCs w:val="24"/>
                  <w:lang w:val="es-ES"/>
                </w:rPr>
              </m:ctrlPr>
            </m:sSubPr>
            <m:e>
              <m:r>
                <m:rPr>
                  <m:sty m:val="bi"/>
                </m:rPr>
                <w:rPr>
                  <w:rFonts w:ascii="Cambria Math" w:hAnsi="Cambria Math"/>
                  <w:sz w:val="24"/>
                  <w:szCs w:val="24"/>
                  <w:lang w:val="es-ES"/>
                </w:rPr>
                <m:t>Ppventa</m:t>
              </m:r>
            </m:e>
            <m:sub>
              <m:r>
                <m:rPr>
                  <m:sty m:val="bi"/>
                </m:rPr>
                <w:rPr>
                  <w:rFonts w:ascii="Cambria Math" w:hAnsi="Cambria Math"/>
                  <w:sz w:val="24"/>
                  <w:szCs w:val="24"/>
                  <w:lang w:val="es-ES"/>
                </w:rPr>
                <m:t xml:space="preserve">i,f,te,pr </m:t>
              </m:r>
            </m:sub>
          </m:sSub>
          <m:r>
            <m:rPr>
              <m:sty m:val="bi"/>
            </m:rPr>
            <w:rPr>
              <w:rFonts w:ascii="Cambria Math" w:hAnsi="Cambria Math"/>
              <w:sz w:val="24"/>
              <w:szCs w:val="24"/>
              <w:lang w:val="es-ES"/>
            </w:rPr>
            <m:t>=</m:t>
          </m:r>
          <m:d>
            <m:dPr>
              <m:ctrlPr>
                <w:rPr>
                  <w:rFonts w:ascii="Cambria Math" w:hAnsi="Cambria Math"/>
                  <w:b/>
                  <w:bCs/>
                  <w:i/>
                  <w:sz w:val="24"/>
                  <w:szCs w:val="24"/>
                  <w:lang w:val="es-ES"/>
                </w:rPr>
              </m:ctrlPr>
            </m:dPr>
            <m:e>
              <m:sSub>
                <m:sSubPr>
                  <m:ctrlPr>
                    <w:rPr>
                      <w:rFonts w:ascii="Cambria Math" w:hAnsi="Cambria Math"/>
                      <w:b/>
                      <w:bCs/>
                      <w:i/>
                      <w:sz w:val="24"/>
                      <w:szCs w:val="24"/>
                      <w:lang w:val="es-ES"/>
                    </w:rPr>
                  </m:ctrlPr>
                </m:sSubPr>
                <m:e>
                  <m:r>
                    <m:rPr>
                      <m:sty m:val="bi"/>
                    </m:rPr>
                    <w:rPr>
                      <w:rFonts w:ascii="Cambria Math" w:hAnsi="Cambria Math"/>
                      <w:sz w:val="24"/>
                      <w:szCs w:val="24"/>
                      <w:lang w:val="es-ES"/>
                    </w:rPr>
                    <m:t>PTDVF</m:t>
                  </m:r>
                </m:e>
                <m:sub>
                  <m:r>
                    <m:rPr>
                      <m:sty m:val="bi"/>
                    </m:rPr>
                    <w:rPr>
                      <w:rFonts w:ascii="Cambria Math" w:hAnsi="Cambria Math"/>
                      <w:sz w:val="24"/>
                      <w:szCs w:val="24"/>
                      <w:lang w:val="es-ES"/>
                    </w:rPr>
                    <m:t>i,f,te,pr</m:t>
                  </m:r>
                </m:sub>
              </m:sSub>
              <m:r>
                <m:rPr>
                  <m:sty m:val="bi"/>
                </m:rPr>
                <w:rPr>
                  <w:rFonts w:ascii="Cambria Math" w:hAnsi="Cambria Math"/>
                  <w:sz w:val="24"/>
                  <w:szCs w:val="24"/>
                  <w:lang w:val="es-ES"/>
                </w:rPr>
                <m:t xml:space="preserve">+ </m:t>
              </m:r>
              <m:sSub>
                <m:sSubPr>
                  <m:ctrlPr>
                    <w:rPr>
                      <w:rFonts w:ascii="Cambria Math" w:hAnsi="Cambria Math"/>
                      <w:b/>
                      <w:bCs/>
                      <w:i/>
                      <w:sz w:val="24"/>
                      <w:szCs w:val="24"/>
                      <w:lang w:val="es-ES"/>
                    </w:rPr>
                  </m:ctrlPr>
                </m:sSubPr>
                <m:e>
                  <m:r>
                    <m:rPr>
                      <m:sty m:val="bi"/>
                    </m:rPr>
                    <w:rPr>
                      <w:rFonts w:ascii="Cambria Math" w:hAnsi="Cambria Math"/>
                      <w:sz w:val="24"/>
                      <w:szCs w:val="24"/>
                      <w:lang w:val="es-ES"/>
                    </w:rPr>
                    <m:t>CIDVF</m:t>
                  </m:r>
                </m:e>
                <m:sub>
                  <m:r>
                    <m:rPr>
                      <m:sty m:val="bi"/>
                    </m:rPr>
                    <w:rPr>
                      <w:rFonts w:ascii="Cambria Math" w:hAnsi="Cambria Math"/>
                      <w:sz w:val="24"/>
                      <w:szCs w:val="24"/>
                      <w:lang w:val="es-ES"/>
                    </w:rPr>
                    <m:t>i,f,te,pr</m:t>
                  </m:r>
                </m:sub>
              </m:sSub>
            </m:e>
          </m:d>
          <m:r>
            <m:rPr>
              <m:sty m:val="bi"/>
            </m:rPr>
            <w:rPr>
              <w:rFonts w:ascii="Cambria Math" w:hAnsi="Cambria Math"/>
              <w:sz w:val="24"/>
              <w:szCs w:val="24"/>
              <w:lang w:val="es-ES"/>
            </w:rPr>
            <m:t xml:space="preserve"> / </m:t>
          </m:r>
          <m:nary>
            <m:naryPr>
              <m:chr m:val="∑"/>
              <m:limLoc m:val="undOvr"/>
              <m:ctrlPr>
                <w:rPr>
                  <w:rFonts w:ascii="Cambria Math" w:hAnsi="Cambria Math"/>
                  <w:b/>
                  <w:bCs/>
                  <w:i/>
                  <w:sz w:val="24"/>
                  <w:szCs w:val="24"/>
                  <w:lang w:val="es-ES"/>
                </w:rPr>
              </m:ctrlPr>
            </m:naryPr>
            <m:sub>
              <m:r>
                <m:rPr>
                  <m:sty m:val="bi"/>
                </m:rPr>
                <w:rPr>
                  <w:rFonts w:ascii="Cambria Math" w:hAnsi="Cambria Math"/>
                  <w:sz w:val="24"/>
                  <w:szCs w:val="24"/>
                  <w:lang w:val="es-ES"/>
                </w:rPr>
                <m:t>i=1</m:t>
              </m:r>
            </m:sub>
            <m:sup>
              <m:r>
                <m:rPr>
                  <m:sty m:val="bi"/>
                </m:rPr>
                <w:rPr>
                  <w:rFonts w:ascii="Cambria Math" w:hAnsi="Cambria Math"/>
                  <w:sz w:val="24"/>
                  <w:szCs w:val="24"/>
                  <w:lang w:val="es-ES"/>
                </w:rPr>
                <m:t>I</m:t>
              </m:r>
            </m:sup>
            <m:e>
              <m:nary>
                <m:naryPr>
                  <m:chr m:val="∑"/>
                  <m:limLoc m:val="undOvr"/>
                  <m:ctrlPr>
                    <w:rPr>
                      <w:rFonts w:ascii="Cambria Math" w:hAnsi="Cambria Math"/>
                      <w:b/>
                      <w:bCs/>
                      <w:i/>
                      <w:sz w:val="24"/>
                      <w:szCs w:val="24"/>
                      <w:lang w:val="es-ES"/>
                    </w:rPr>
                  </m:ctrlPr>
                </m:naryPr>
                <m:sub>
                  <m:r>
                    <m:rPr>
                      <m:sty m:val="bi"/>
                    </m:rPr>
                    <w:rPr>
                      <w:rFonts w:ascii="Cambria Math" w:hAnsi="Cambria Math"/>
                      <w:sz w:val="24"/>
                      <w:szCs w:val="24"/>
                      <w:lang w:val="es-ES"/>
                    </w:rPr>
                    <m:t>f=1</m:t>
                  </m:r>
                </m:sub>
                <m:sup>
                  <m:r>
                    <m:rPr>
                      <m:sty m:val="bi"/>
                    </m:rPr>
                    <w:rPr>
                      <w:rFonts w:ascii="Cambria Math" w:hAnsi="Cambria Math"/>
                      <w:sz w:val="24"/>
                      <w:szCs w:val="24"/>
                      <w:lang w:val="es-ES"/>
                    </w:rPr>
                    <m:t>F</m:t>
                  </m:r>
                </m:sup>
                <m:e>
                  <m:d>
                    <m:dPr>
                      <m:ctrlPr>
                        <w:rPr>
                          <w:rFonts w:ascii="Cambria Math" w:hAnsi="Cambria Math"/>
                          <w:b/>
                          <w:bCs/>
                          <w:i/>
                          <w:sz w:val="24"/>
                          <w:szCs w:val="24"/>
                          <w:lang w:val="es-ES"/>
                        </w:rPr>
                      </m:ctrlPr>
                    </m:dPr>
                    <m:e>
                      <m:sSub>
                        <m:sSubPr>
                          <m:ctrlPr>
                            <w:rPr>
                              <w:rFonts w:ascii="Cambria Math" w:hAnsi="Cambria Math"/>
                              <w:b/>
                              <w:bCs/>
                              <w:i/>
                              <w:sz w:val="24"/>
                              <w:szCs w:val="24"/>
                              <w:lang w:val="es-ES"/>
                            </w:rPr>
                          </m:ctrlPr>
                        </m:sSubPr>
                        <m:e>
                          <m:r>
                            <m:rPr>
                              <m:sty m:val="bi"/>
                            </m:rPr>
                            <w:rPr>
                              <w:rFonts w:ascii="Cambria Math" w:hAnsi="Cambria Math"/>
                              <w:sz w:val="24"/>
                              <w:szCs w:val="24"/>
                              <w:lang w:val="es-ES"/>
                            </w:rPr>
                            <m:t>PTDVF</m:t>
                          </m:r>
                        </m:e>
                        <m:sub>
                          <m:r>
                            <m:rPr>
                              <m:sty m:val="bi"/>
                            </m:rPr>
                            <w:rPr>
                              <w:rFonts w:ascii="Cambria Math" w:hAnsi="Cambria Math"/>
                              <w:sz w:val="24"/>
                              <w:szCs w:val="24"/>
                              <w:lang w:val="es-ES"/>
                            </w:rPr>
                            <m:t>i,f,te,pr</m:t>
                          </m:r>
                        </m:sub>
                      </m:sSub>
                      <m:r>
                        <m:rPr>
                          <m:sty m:val="bi"/>
                        </m:rPr>
                        <w:rPr>
                          <w:rFonts w:ascii="Cambria Math" w:hAnsi="Cambria Math"/>
                          <w:sz w:val="24"/>
                          <w:szCs w:val="24"/>
                          <w:lang w:val="es-ES"/>
                        </w:rPr>
                        <m:t xml:space="preserve">+ </m:t>
                      </m:r>
                      <m:sSub>
                        <m:sSubPr>
                          <m:ctrlPr>
                            <w:rPr>
                              <w:rFonts w:ascii="Cambria Math" w:hAnsi="Cambria Math"/>
                              <w:b/>
                              <w:bCs/>
                              <w:i/>
                              <w:sz w:val="24"/>
                              <w:szCs w:val="24"/>
                              <w:lang w:val="es-ES"/>
                            </w:rPr>
                          </m:ctrlPr>
                        </m:sSubPr>
                        <m:e>
                          <m:r>
                            <m:rPr>
                              <m:sty m:val="bi"/>
                            </m:rPr>
                            <w:rPr>
                              <w:rFonts w:ascii="Cambria Math" w:hAnsi="Cambria Math"/>
                              <w:sz w:val="24"/>
                              <w:szCs w:val="24"/>
                              <w:lang w:val="es-ES"/>
                            </w:rPr>
                            <m:t>CIDVF</m:t>
                          </m:r>
                        </m:e>
                        <m:sub>
                          <m:r>
                            <m:rPr>
                              <m:sty m:val="bi"/>
                            </m:rPr>
                            <w:rPr>
                              <w:rFonts w:ascii="Cambria Math" w:hAnsi="Cambria Math"/>
                              <w:sz w:val="24"/>
                              <w:szCs w:val="24"/>
                              <w:lang w:val="es-ES"/>
                            </w:rPr>
                            <m:t>i,f,te,pr</m:t>
                          </m:r>
                        </m:sub>
                      </m:sSub>
                    </m:e>
                  </m:d>
                </m:e>
              </m:nary>
            </m:e>
          </m:nary>
          <m:r>
            <m:rPr>
              <m:sty m:val="bi"/>
            </m:rPr>
            <w:rPr>
              <w:rFonts w:ascii="Cambria Math" w:hAnsi="Cambria Math"/>
              <w:sz w:val="24"/>
              <w:szCs w:val="24"/>
              <w:lang w:val="es-ES"/>
            </w:rPr>
            <m:t xml:space="preserve"> </m:t>
          </m:r>
        </m:oMath>
      </m:oMathPara>
    </w:p>
    <w:p w14:paraId="540E3E04" w14:textId="77777777" w:rsidR="00B24256" w:rsidRPr="0030393A" w:rsidRDefault="00B24256" w:rsidP="006461EF">
      <w:pPr>
        <w:ind w:left="1418"/>
        <w:jc w:val="both"/>
        <w:rPr>
          <w:rFonts w:ascii="Bookman Old Style" w:hAnsi="Bookman Old Style"/>
          <w:b/>
          <w:bCs/>
        </w:rPr>
      </w:pPr>
    </w:p>
    <w:p w14:paraId="7DB62C47" w14:textId="6E3B88B3" w:rsidR="00B24256" w:rsidRPr="0030393A" w:rsidRDefault="00B24256" w:rsidP="00B24256">
      <w:pPr>
        <w:pStyle w:val="Prrafodelista"/>
        <w:ind w:left="992" w:hanging="283"/>
        <w:rPr>
          <w:rFonts w:ascii="Bookman Old Style" w:hAnsi="Bookman Old Style"/>
          <w:b/>
          <w:bCs/>
          <w:sz w:val="24"/>
          <w:szCs w:val="24"/>
          <w:lang w:val="es-ES" w:eastAsia="es-ES"/>
        </w:rPr>
      </w:pPr>
      <w:r w:rsidRPr="0030393A">
        <w:rPr>
          <w:rFonts w:ascii="Bookman Old Style" w:hAnsi="Bookman Old Style"/>
          <w:b/>
          <w:bCs/>
          <w:sz w:val="24"/>
          <w:szCs w:val="24"/>
          <w:lang w:val="es-ES" w:eastAsia="es-ES"/>
        </w:rPr>
        <w:t>Donde:</w:t>
      </w:r>
    </w:p>
    <w:p w14:paraId="7CF83AA0" w14:textId="051EA51E" w:rsidR="00652CD9" w:rsidRPr="0030393A" w:rsidRDefault="00652CD9" w:rsidP="00B24256">
      <w:pPr>
        <w:pStyle w:val="Prrafodelista"/>
        <w:ind w:left="992" w:hanging="283"/>
        <w:rPr>
          <w:rFonts w:ascii="Bookman Old Style" w:hAnsi="Bookman Old Style"/>
          <w:b/>
          <w:bCs/>
          <w:sz w:val="24"/>
          <w:szCs w:val="24"/>
          <w:lang w:val="es-ES" w:eastAsia="es-ES"/>
        </w:rPr>
      </w:pPr>
    </w:p>
    <w:p w14:paraId="03B13489" w14:textId="43B00B2A" w:rsidR="00652CD9" w:rsidRPr="0030393A" w:rsidRDefault="00FB7B28" w:rsidP="006461EF">
      <w:pPr>
        <w:pStyle w:val="Prrafodelista"/>
        <w:ind w:left="2552" w:hanging="1843"/>
        <w:jc w:val="both"/>
        <w:rPr>
          <w:rFonts w:ascii="Bookman Old Style" w:hAnsi="Bookman Old Style"/>
          <w:b/>
          <w:bCs/>
          <w:sz w:val="24"/>
          <w:szCs w:val="24"/>
          <w:lang w:val="es-ES" w:eastAsia="es-ES"/>
        </w:rPr>
      </w:pPr>
      <m:oMath>
        <m:sSub>
          <m:sSubPr>
            <m:ctrlPr>
              <w:rPr>
                <w:rFonts w:ascii="Cambria Math" w:hAnsi="Cambria Math"/>
                <w:b/>
                <w:bCs/>
                <w:i/>
                <w:sz w:val="24"/>
                <w:szCs w:val="24"/>
                <w:lang w:val="es-ES"/>
              </w:rPr>
            </m:ctrlPr>
          </m:sSubPr>
          <m:e>
            <m:r>
              <m:rPr>
                <m:sty m:val="bi"/>
              </m:rPr>
              <w:rPr>
                <w:rFonts w:ascii="Cambria Math" w:hAnsi="Cambria Math"/>
                <w:sz w:val="24"/>
                <w:szCs w:val="24"/>
                <w:lang w:val="es-ES"/>
              </w:rPr>
              <m:t>Ppventa</m:t>
            </m:r>
          </m:e>
          <m:sub>
            <m:r>
              <m:rPr>
                <m:sty m:val="bi"/>
              </m:rPr>
              <w:rPr>
                <w:rFonts w:ascii="Cambria Math" w:hAnsi="Cambria Math"/>
                <w:sz w:val="24"/>
                <w:szCs w:val="24"/>
                <w:lang w:val="es-ES"/>
              </w:rPr>
              <m:t xml:space="preserve">i,f,te,pr </m:t>
            </m:r>
          </m:sub>
        </m:sSub>
      </m:oMath>
      <w:r w:rsidR="00652CD9" w:rsidRPr="0030393A">
        <w:rPr>
          <w:rFonts w:ascii="Bookman Old Style" w:hAnsi="Bookman Old Style"/>
          <w:b/>
          <w:bCs/>
          <w:sz w:val="24"/>
          <w:szCs w:val="24"/>
          <w:lang w:val="es-ES"/>
        </w:rPr>
        <w:t xml:space="preserve">: </w:t>
      </w:r>
      <w:r w:rsidR="00392594" w:rsidRPr="0030393A">
        <w:rPr>
          <w:rFonts w:ascii="Bookman Old Style" w:hAnsi="Bookman Old Style"/>
          <w:b/>
          <w:bCs/>
          <w:sz w:val="24"/>
          <w:szCs w:val="24"/>
          <w:lang w:val="es-ES"/>
        </w:rPr>
        <w:tab/>
      </w:r>
      <w:r w:rsidR="00652CD9" w:rsidRPr="0030393A">
        <w:rPr>
          <w:rFonts w:ascii="Bookman Old Style" w:hAnsi="Bookman Old Style"/>
          <w:b/>
          <w:bCs/>
          <w:sz w:val="24"/>
          <w:szCs w:val="24"/>
          <w:lang w:val="es-ES"/>
        </w:rPr>
        <w:t xml:space="preserve">Porcentaje de participación del </w:t>
      </w:r>
      <w:r w:rsidR="00652CD9" w:rsidRPr="0030393A">
        <w:rPr>
          <w:rFonts w:ascii="Bookman Old Style" w:hAnsi="Bookman Old Style"/>
          <w:b/>
          <w:bCs/>
          <w:sz w:val="24"/>
          <w:szCs w:val="24"/>
        </w:rPr>
        <w:t xml:space="preserve">vendedor </w:t>
      </w:r>
      <w:r w:rsidR="00652CD9" w:rsidRPr="0030393A">
        <w:rPr>
          <w:rFonts w:ascii="Bookman Old Style" w:hAnsi="Bookman Old Style"/>
          <w:b/>
          <w:bCs/>
          <w:i/>
          <w:iCs/>
          <w:sz w:val="24"/>
          <w:szCs w:val="24"/>
        </w:rPr>
        <w:t>i</w:t>
      </w:r>
      <w:r w:rsidR="00652CD9" w:rsidRPr="0030393A">
        <w:rPr>
          <w:rFonts w:ascii="Bookman Old Style" w:hAnsi="Bookman Old Style"/>
          <w:b/>
          <w:bCs/>
          <w:sz w:val="24"/>
          <w:szCs w:val="24"/>
        </w:rPr>
        <w:t xml:space="preserve">, </w:t>
      </w:r>
      <w:r w:rsidR="00D87D59" w:rsidRPr="0030393A">
        <w:rPr>
          <w:rFonts w:ascii="Bookman Old Style" w:hAnsi="Bookman Old Style"/>
          <w:b/>
          <w:bCs/>
          <w:sz w:val="24"/>
          <w:szCs w:val="24"/>
        </w:rPr>
        <w:t xml:space="preserve">para la fuente de suministro </w:t>
      </w:r>
      <w:r w:rsidR="00D87D59" w:rsidRPr="0030393A">
        <w:rPr>
          <w:rFonts w:ascii="Bookman Old Style" w:hAnsi="Bookman Old Style"/>
          <w:b/>
          <w:bCs/>
          <w:i/>
          <w:iCs/>
          <w:sz w:val="24"/>
          <w:szCs w:val="24"/>
        </w:rPr>
        <w:t>f,</w:t>
      </w:r>
      <w:r w:rsidR="00D87D59" w:rsidRPr="0030393A">
        <w:rPr>
          <w:rFonts w:ascii="Bookman Old Style" w:hAnsi="Bookman Old Style"/>
          <w:b/>
          <w:bCs/>
          <w:sz w:val="24"/>
          <w:szCs w:val="24"/>
        </w:rPr>
        <w:t xml:space="preserve"> </w:t>
      </w:r>
      <w:r w:rsidR="00652CD9" w:rsidRPr="0030393A">
        <w:rPr>
          <w:rFonts w:ascii="Bookman Old Style" w:hAnsi="Bookman Old Style"/>
          <w:b/>
          <w:bCs/>
          <w:sz w:val="24"/>
          <w:szCs w:val="24"/>
        </w:rPr>
        <w:t xml:space="preserve">para el trimestre estándar </w:t>
      </w:r>
      <w:r w:rsidR="00652CD9" w:rsidRPr="0030393A">
        <w:rPr>
          <w:rFonts w:ascii="Bookman Old Style" w:hAnsi="Bookman Old Style"/>
          <w:b/>
          <w:bCs/>
          <w:i/>
          <w:iCs/>
          <w:sz w:val="24"/>
          <w:szCs w:val="24"/>
        </w:rPr>
        <w:t>te</w:t>
      </w:r>
      <w:r w:rsidR="00392594" w:rsidRPr="0030393A">
        <w:rPr>
          <w:rFonts w:ascii="Bookman Old Style" w:hAnsi="Bookman Old Style"/>
          <w:b/>
          <w:bCs/>
          <w:i/>
          <w:iCs/>
          <w:sz w:val="24"/>
          <w:szCs w:val="24"/>
        </w:rPr>
        <w:t>,</w:t>
      </w:r>
      <w:r w:rsidR="00652CD9" w:rsidRPr="0030393A">
        <w:rPr>
          <w:rFonts w:ascii="Bookman Old Style" w:hAnsi="Bookman Old Style"/>
          <w:b/>
          <w:bCs/>
          <w:sz w:val="24"/>
          <w:szCs w:val="24"/>
        </w:rPr>
        <w:t xml:space="preserve"> en el punto de referencia </w:t>
      </w:r>
      <w:proofErr w:type="spellStart"/>
      <w:r w:rsidR="00652CD9" w:rsidRPr="0030393A">
        <w:rPr>
          <w:rFonts w:ascii="Bookman Old Style" w:hAnsi="Bookman Old Style"/>
          <w:b/>
          <w:bCs/>
          <w:i/>
          <w:iCs/>
          <w:sz w:val="24"/>
          <w:szCs w:val="24"/>
        </w:rPr>
        <w:t>pr</w:t>
      </w:r>
      <w:proofErr w:type="spellEnd"/>
      <w:r w:rsidR="00652CD9" w:rsidRPr="0030393A">
        <w:rPr>
          <w:rFonts w:ascii="Bookman Old Style" w:hAnsi="Bookman Old Style"/>
          <w:b/>
          <w:bCs/>
          <w:i/>
          <w:iCs/>
          <w:sz w:val="24"/>
          <w:szCs w:val="24"/>
        </w:rPr>
        <w:t>.</w:t>
      </w:r>
    </w:p>
    <w:p w14:paraId="72025971" w14:textId="4F902340" w:rsidR="00B24256" w:rsidRPr="0030393A" w:rsidRDefault="00B24256" w:rsidP="006461EF">
      <w:pPr>
        <w:pStyle w:val="Prrafodelista"/>
        <w:ind w:left="709" w:hanging="283"/>
        <w:jc w:val="both"/>
        <w:rPr>
          <w:rFonts w:ascii="Bookman Old Style" w:hAnsi="Bookman Old Style"/>
          <w:b/>
          <w:bCs/>
          <w:sz w:val="24"/>
          <w:szCs w:val="24"/>
          <w:lang w:val="es-ES"/>
        </w:rPr>
      </w:pPr>
    </w:p>
    <w:p w14:paraId="0CE6B6D1" w14:textId="73B1F444" w:rsidR="00B24256" w:rsidRPr="0030393A" w:rsidRDefault="00FB7B28" w:rsidP="006461EF">
      <w:pPr>
        <w:ind w:left="2552" w:hanging="1843"/>
        <w:jc w:val="both"/>
        <w:rPr>
          <w:rFonts w:ascii="Bookman Old Style" w:hAnsi="Bookman Old Style"/>
          <w:b/>
          <w:bCs/>
          <w:i/>
          <w:iCs/>
          <w:lang w:eastAsia="x-none"/>
        </w:rPr>
      </w:pPr>
      <m:oMath>
        <m:sSub>
          <m:sSubPr>
            <m:ctrlPr>
              <w:rPr>
                <w:rFonts w:ascii="Cambria Math" w:hAnsi="Cambria Math"/>
                <w:b/>
                <w:bCs/>
                <w:i/>
                <w:lang w:eastAsia="x-none"/>
              </w:rPr>
            </m:ctrlPr>
          </m:sSubPr>
          <m:e>
            <m:r>
              <m:rPr>
                <m:sty m:val="bi"/>
              </m:rPr>
              <w:rPr>
                <w:rFonts w:ascii="Cambria Math" w:hAnsi="Cambria Math"/>
              </w:rPr>
              <m:t>PTDVF</m:t>
            </m:r>
          </m:e>
          <m:sub>
            <m:r>
              <m:rPr>
                <m:sty m:val="bi"/>
              </m:rPr>
              <w:rPr>
                <w:rFonts w:ascii="Cambria Math" w:hAnsi="Cambria Math"/>
              </w:rPr>
              <m:t>i,f,te,pr</m:t>
            </m:r>
          </m:sub>
        </m:sSub>
        <m:r>
          <m:rPr>
            <m:sty m:val="bi"/>
          </m:rPr>
          <w:rPr>
            <w:rFonts w:ascii="Cambria Math" w:hAnsi="Cambria Math"/>
            <w:lang w:eastAsia="x-none"/>
          </w:rPr>
          <m:t>:</m:t>
        </m:r>
      </m:oMath>
      <w:r w:rsidR="00B24256" w:rsidRPr="0030393A">
        <w:rPr>
          <w:rFonts w:ascii="Bookman Old Style" w:hAnsi="Bookman Old Style"/>
          <w:b/>
          <w:bCs/>
          <w:lang w:eastAsia="x-none"/>
        </w:rPr>
        <w:t xml:space="preserve"> </w:t>
      </w:r>
      <w:r w:rsidR="00392594" w:rsidRPr="0030393A">
        <w:rPr>
          <w:rFonts w:ascii="Bookman Old Style" w:hAnsi="Bookman Old Style"/>
          <w:b/>
          <w:bCs/>
          <w:lang w:eastAsia="x-none"/>
        </w:rPr>
        <w:tab/>
      </w:r>
      <w:r w:rsidR="00B24256" w:rsidRPr="0030393A">
        <w:rPr>
          <w:rFonts w:ascii="Bookman Old Style" w:hAnsi="Bookman Old Style"/>
          <w:b/>
          <w:bCs/>
          <w:lang w:eastAsia="x-none"/>
        </w:rPr>
        <w:t xml:space="preserve">Cantidad de PTDVF declarada por el vendedor </w:t>
      </w:r>
      <w:r w:rsidR="00B24256" w:rsidRPr="0030393A">
        <w:rPr>
          <w:rFonts w:ascii="Bookman Old Style" w:hAnsi="Bookman Old Style"/>
          <w:b/>
          <w:bCs/>
          <w:i/>
          <w:iCs/>
          <w:lang w:eastAsia="x-none"/>
        </w:rPr>
        <w:t>i</w:t>
      </w:r>
      <w:r w:rsidR="00B24256" w:rsidRPr="0030393A">
        <w:rPr>
          <w:rFonts w:ascii="Bookman Old Style" w:hAnsi="Bookman Old Style"/>
          <w:b/>
          <w:bCs/>
          <w:lang w:eastAsia="x-none"/>
        </w:rPr>
        <w:t xml:space="preserve">, </w:t>
      </w:r>
      <w:r w:rsidR="008F6F01" w:rsidRPr="0030393A">
        <w:rPr>
          <w:rFonts w:ascii="Bookman Old Style" w:hAnsi="Bookman Old Style"/>
          <w:b/>
          <w:bCs/>
        </w:rPr>
        <w:t xml:space="preserve">para la fuente de suministro </w:t>
      </w:r>
      <w:r w:rsidR="008F6F01" w:rsidRPr="0030393A">
        <w:rPr>
          <w:rFonts w:ascii="Bookman Old Style" w:hAnsi="Bookman Old Style"/>
          <w:b/>
          <w:bCs/>
          <w:i/>
          <w:iCs/>
        </w:rPr>
        <w:t xml:space="preserve">f, </w:t>
      </w:r>
      <w:r w:rsidR="00B24256" w:rsidRPr="0030393A">
        <w:rPr>
          <w:rFonts w:ascii="Bookman Old Style" w:hAnsi="Bookman Old Style"/>
          <w:b/>
          <w:bCs/>
          <w:lang w:eastAsia="x-none"/>
        </w:rPr>
        <w:t xml:space="preserve">para el trimestre estándar </w:t>
      </w:r>
      <w:r w:rsidR="00B24256" w:rsidRPr="0030393A">
        <w:rPr>
          <w:rFonts w:ascii="Bookman Old Style" w:hAnsi="Bookman Old Style"/>
          <w:b/>
          <w:bCs/>
          <w:i/>
          <w:iCs/>
          <w:lang w:eastAsia="x-none"/>
        </w:rPr>
        <w:t>te</w:t>
      </w:r>
      <w:r w:rsidR="00392594" w:rsidRPr="0030393A">
        <w:rPr>
          <w:rFonts w:ascii="Bookman Old Style" w:hAnsi="Bookman Old Style"/>
          <w:b/>
          <w:bCs/>
          <w:i/>
          <w:iCs/>
          <w:lang w:eastAsia="x-none"/>
        </w:rPr>
        <w:t>,</w:t>
      </w:r>
      <w:r w:rsidR="00B24256" w:rsidRPr="0030393A">
        <w:rPr>
          <w:rFonts w:ascii="Bookman Old Style" w:hAnsi="Bookman Old Style"/>
          <w:b/>
          <w:bCs/>
          <w:lang w:eastAsia="x-none"/>
        </w:rPr>
        <w:t xml:space="preserve"> en el punto de referencia </w:t>
      </w:r>
      <w:proofErr w:type="spellStart"/>
      <w:r w:rsidR="00B24256" w:rsidRPr="0030393A">
        <w:rPr>
          <w:rFonts w:ascii="Bookman Old Style" w:hAnsi="Bookman Old Style"/>
          <w:b/>
          <w:bCs/>
          <w:i/>
          <w:iCs/>
          <w:lang w:eastAsia="x-none"/>
        </w:rPr>
        <w:t>pr</w:t>
      </w:r>
      <w:proofErr w:type="spellEnd"/>
      <w:r w:rsidR="00B24256" w:rsidRPr="0030393A">
        <w:rPr>
          <w:rFonts w:ascii="Bookman Old Style" w:hAnsi="Bookman Old Style"/>
          <w:b/>
          <w:bCs/>
          <w:i/>
          <w:iCs/>
          <w:lang w:eastAsia="x-none"/>
        </w:rPr>
        <w:t>.</w:t>
      </w:r>
    </w:p>
    <w:p w14:paraId="5195F962" w14:textId="49DA2AFA" w:rsidR="00B24256" w:rsidRPr="0030393A" w:rsidRDefault="00B24256" w:rsidP="00652CD9">
      <w:pPr>
        <w:ind w:left="2268" w:hanging="1559"/>
        <w:jc w:val="both"/>
        <w:rPr>
          <w:rFonts w:ascii="Bookman Old Style" w:hAnsi="Bookman Old Style"/>
          <w:b/>
          <w:bCs/>
          <w:lang w:eastAsia="x-none"/>
        </w:rPr>
      </w:pPr>
    </w:p>
    <w:p w14:paraId="4B79E77E" w14:textId="080CEBE2" w:rsidR="00B24256" w:rsidRPr="0030393A" w:rsidRDefault="00FB7B28" w:rsidP="006461EF">
      <w:pPr>
        <w:ind w:left="2552" w:hanging="1843"/>
        <w:jc w:val="both"/>
        <w:rPr>
          <w:rFonts w:ascii="Bookman Old Style" w:hAnsi="Bookman Old Style"/>
          <w:b/>
          <w:bCs/>
          <w:lang w:eastAsia="x-none"/>
        </w:rPr>
      </w:pPr>
      <m:oMath>
        <m:sSub>
          <m:sSubPr>
            <m:ctrlPr>
              <w:rPr>
                <w:rFonts w:ascii="Cambria Math" w:hAnsi="Cambria Math"/>
                <w:b/>
                <w:bCs/>
                <w:i/>
                <w:lang w:eastAsia="x-none"/>
              </w:rPr>
            </m:ctrlPr>
          </m:sSubPr>
          <m:e>
            <m:r>
              <m:rPr>
                <m:sty m:val="bi"/>
              </m:rPr>
              <w:rPr>
                <w:rFonts w:ascii="Cambria Math" w:hAnsi="Cambria Math"/>
              </w:rPr>
              <m:t>CIDVF</m:t>
            </m:r>
          </m:e>
          <m:sub>
            <m:r>
              <m:rPr>
                <m:sty m:val="bi"/>
              </m:rPr>
              <w:rPr>
                <w:rFonts w:ascii="Cambria Math" w:hAnsi="Cambria Math"/>
              </w:rPr>
              <m:t>i,f,te,pr</m:t>
            </m:r>
          </m:sub>
        </m:sSub>
        <m:r>
          <m:rPr>
            <m:sty m:val="bi"/>
          </m:rPr>
          <w:rPr>
            <w:rFonts w:ascii="Cambria Math" w:hAnsi="Cambria Math"/>
            <w:lang w:eastAsia="x-none"/>
          </w:rPr>
          <m:t>:</m:t>
        </m:r>
      </m:oMath>
      <w:r w:rsidR="00B24256" w:rsidRPr="0030393A">
        <w:rPr>
          <w:rFonts w:ascii="Bookman Old Style" w:hAnsi="Bookman Old Style"/>
          <w:b/>
          <w:bCs/>
          <w:lang w:eastAsia="x-none"/>
        </w:rPr>
        <w:t xml:space="preserve"> </w:t>
      </w:r>
      <w:r w:rsidR="00392594" w:rsidRPr="0030393A">
        <w:rPr>
          <w:rFonts w:ascii="Bookman Old Style" w:hAnsi="Bookman Old Style"/>
          <w:b/>
          <w:bCs/>
          <w:lang w:eastAsia="x-none"/>
        </w:rPr>
        <w:tab/>
      </w:r>
      <w:r w:rsidR="00B24256" w:rsidRPr="0030393A">
        <w:rPr>
          <w:rFonts w:ascii="Bookman Old Style" w:hAnsi="Bookman Old Style"/>
          <w:b/>
          <w:bCs/>
          <w:lang w:eastAsia="x-none"/>
        </w:rPr>
        <w:t xml:space="preserve">Cantidad de CIDVF declarada por el vendedor </w:t>
      </w:r>
      <w:r w:rsidR="00B24256" w:rsidRPr="0030393A">
        <w:rPr>
          <w:rFonts w:ascii="Bookman Old Style" w:hAnsi="Bookman Old Style"/>
          <w:b/>
          <w:bCs/>
          <w:i/>
          <w:iCs/>
          <w:lang w:eastAsia="x-none"/>
        </w:rPr>
        <w:t>i</w:t>
      </w:r>
      <w:r w:rsidR="00B24256" w:rsidRPr="0030393A">
        <w:rPr>
          <w:rFonts w:ascii="Bookman Old Style" w:hAnsi="Bookman Old Style"/>
          <w:b/>
          <w:bCs/>
          <w:lang w:eastAsia="x-none"/>
        </w:rPr>
        <w:t xml:space="preserve">, </w:t>
      </w:r>
      <w:r w:rsidR="008F6F01" w:rsidRPr="0030393A">
        <w:rPr>
          <w:rFonts w:ascii="Bookman Old Style" w:hAnsi="Bookman Old Style"/>
          <w:b/>
          <w:bCs/>
        </w:rPr>
        <w:t xml:space="preserve">para la fuente de suministro </w:t>
      </w:r>
      <w:r w:rsidR="008F6F01" w:rsidRPr="0030393A">
        <w:rPr>
          <w:rFonts w:ascii="Bookman Old Style" w:hAnsi="Bookman Old Style"/>
          <w:b/>
          <w:bCs/>
          <w:i/>
          <w:iCs/>
        </w:rPr>
        <w:t xml:space="preserve">f, </w:t>
      </w:r>
      <w:r w:rsidR="00B24256" w:rsidRPr="0030393A">
        <w:rPr>
          <w:rFonts w:ascii="Bookman Old Style" w:hAnsi="Bookman Old Style"/>
          <w:b/>
          <w:bCs/>
          <w:lang w:eastAsia="x-none"/>
        </w:rPr>
        <w:t xml:space="preserve">para el trimestre estándar </w:t>
      </w:r>
      <w:r w:rsidR="00B24256" w:rsidRPr="0030393A">
        <w:rPr>
          <w:rFonts w:ascii="Bookman Old Style" w:hAnsi="Bookman Old Style"/>
          <w:b/>
          <w:bCs/>
          <w:i/>
          <w:iCs/>
          <w:lang w:eastAsia="x-none"/>
        </w:rPr>
        <w:t>te</w:t>
      </w:r>
      <w:r w:rsidR="00392594" w:rsidRPr="0030393A">
        <w:rPr>
          <w:rFonts w:ascii="Bookman Old Style" w:hAnsi="Bookman Old Style"/>
          <w:b/>
          <w:bCs/>
          <w:i/>
          <w:iCs/>
          <w:lang w:eastAsia="x-none"/>
        </w:rPr>
        <w:t>,</w:t>
      </w:r>
      <w:r w:rsidR="00B24256" w:rsidRPr="0030393A">
        <w:rPr>
          <w:rFonts w:ascii="Bookman Old Style" w:hAnsi="Bookman Old Style"/>
          <w:b/>
          <w:bCs/>
          <w:lang w:eastAsia="x-none"/>
        </w:rPr>
        <w:t xml:space="preserve"> en el punto de referencia </w:t>
      </w:r>
      <w:proofErr w:type="spellStart"/>
      <w:r w:rsidR="00B24256" w:rsidRPr="0030393A">
        <w:rPr>
          <w:rFonts w:ascii="Bookman Old Style" w:hAnsi="Bookman Old Style"/>
          <w:b/>
          <w:bCs/>
          <w:i/>
          <w:iCs/>
          <w:lang w:eastAsia="x-none"/>
        </w:rPr>
        <w:t>pr</w:t>
      </w:r>
      <w:proofErr w:type="spellEnd"/>
      <w:r w:rsidR="00B24256" w:rsidRPr="0030393A">
        <w:rPr>
          <w:rFonts w:ascii="Bookman Old Style" w:hAnsi="Bookman Old Style"/>
          <w:b/>
          <w:bCs/>
          <w:i/>
          <w:iCs/>
          <w:lang w:eastAsia="x-none"/>
        </w:rPr>
        <w:t>.</w:t>
      </w:r>
    </w:p>
    <w:p w14:paraId="51AF9894" w14:textId="77777777" w:rsidR="00B24256" w:rsidRPr="0030393A" w:rsidRDefault="00B24256" w:rsidP="006461EF">
      <w:pPr>
        <w:ind w:left="2268" w:hanging="1559"/>
        <w:jc w:val="both"/>
        <w:rPr>
          <w:rFonts w:ascii="Bookman Old Style" w:hAnsi="Bookman Old Style"/>
          <w:b/>
          <w:bCs/>
          <w:lang w:eastAsia="x-none"/>
        </w:rPr>
      </w:pPr>
    </w:p>
    <w:p w14:paraId="0BC5A087" w14:textId="30CC2FC1" w:rsidR="00B24256" w:rsidRPr="0030393A" w:rsidRDefault="00B24256" w:rsidP="00392594">
      <w:pPr>
        <w:ind w:left="2552" w:hanging="1843"/>
        <w:jc w:val="both"/>
        <w:rPr>
          <w:rFonts w:ascii="Bookman Old Style" w:hAnsi="Bookman Old Style"/>
          <w:b/>
          <w:bCs/>
          <w:i/>
          <w:iCs/>
        </w:rPr>
      </w:pPr>
      <w:r w:rsidRPr="0030393A">
        <w:rPr>
          <w:rFonts w:ascii="Bookman Old Style" w:hAnsi="Bookman Old Style"/>
          <w:b/>
          <w:bCs/>
          <w:i/>
          <w:iCs/>
        </w:rPr>
        <w:t>I</w:t>
      </w:r>
      <w:r w:rsidRPr="0030393A">
        <w:rPr>
          <w:rFonts w:ascii="Bookman Old Style" w:hAnsi="Bookman Old Style"/>
          <w:b/>
          <w:bCs/>
        </w:rPr>
        <w:t>:</w:t>
      </w:r>
      <w:r w:rsidRPr="0030393A">
        <w:rPr>
          <w:rFonts w:ascii="Bookman Old Style" w:hAnsi="Bookman Old Style"/>
          <w:b/>
          <w:bCs/>
        </w:rPr>
        <w:tab/>
        <w:t xml:space="preserve">Número total de vendedores </w:t>
      </w:r>
      <w:r w:rsidRPr="0030393A">
        <w:rPr>
          <w:rFonts w:ascii="Bookman Old Style" w:hAnsi="Bookman Old Style"/>
          <w:b/>
          <w:bCs/>
          <w:i/>
          <w:iCs/>
        </w:rPr>
        <w:t>i</w:t>
      </w:r>
      <w:r w:rsidRPr="0030393A">
        <w:rPr>
          <w:rFonts w:ascii="Bookman Old Style" w:hAnsi="Bookman Old Style"/>
          <w:b/>
          <w:bCs/>
        </w:rPr>
        <w:t xml:space="preserve">, para el trimestre estándar </w:t>
      </w:r>
      <w:r w:rsidRPr="0030393A">
        <w:rPr>
          <w:rFonts w:ascii="Bookman Old Style" w:hAnsi="Bookman Old Style"/>
          <w:b/>
          <w:bCs/>
          <w:i/>
          <w:iCs/>
        </w:rPr>
        <w:t>te</w:t>
      </w:r>
      <w:r w:rsidRPr="0030393A">
        <w:rPr>
          <w:rFonts w:ascii="Bookman Old Style" w:hAnsi="Bookman Old Style"/>
          <w:b/>
          <w:bCs/>
        </w:rPr>
        <w:t xml:space="preserve">, en el punto de referencia </w:t>
      </w:r>
      <w:proofErr w:type="spellStart"/>
      <w:r w:rsidRPr="0030393A">
        <w:rPr>
          <w:rFonts w:ascii="Bookman Old Style" w:hAnsi="Bookman Old Style"/>
          <w:b/>
          <w:bCs/>
          <w:i/>
          <w:iCs/>
        </w:rPr>
        <w:t>pr</w:t>
      </w:r>
      <w:proofErr w:type="spellEnd"/>
      <w:r w:rsidRPr="0030393A">
        <w:rPr>
          <w:rFonts w:ascii="Bookman Old Style" w:hAnsi="Bookman Old Style"/>
          <w:b/>
          <w:bCs/>
          <w:i/>
          <w:iCs/>
        </w:rPr>
        <w:t>.</w:t>
      </w:r>
    </w:p>
    <w:p w14:paraId="2450BD02" w14:textId="5F21ADB3" w:rsidR="00F24508" w:rsidRPr="0030393A" w:rsidRDefault="00F24508" w:rsidP="00392594">
      <w:pPr>
        <w:ind w:left="2552" w:hanging="1843"/>
        <w:jc w:val="both"/>
        <w:rPr>
          <w:rFonts w:ascii="Bookman Old Style" w:hAnsi="Bookman Old Style"/>
          <w:b/>
          <w:bCs/>
          <w:i/>
          <w:iCs/>
        </w:rPr>
      </w:pPr>
    </w:p>
    <w:p w14:paraId="6A123912" w14:textId="609CE1F1" w:rsidR="00F24508" w:rsidRPr="0030393A" w:rsidRDefault="00F24508" w:rsidP="00F24508">
      <w:pPr>
        <w:ind w:left="2552" w:hanging="1843"/>
        <w:jc w:val="both"/>
        <w:rPr>
          <w:rFonts w:ascii="Bookman Old Style" w:hAnsi="Bookman Old Style"/>
          <w:b/>
          <w:bCs/>
        </w:rPr>
      </w:pPr>
      <w:r w:rsidRPr="0030393A">
        <w:rPr>
          <w:rFonts w:ascii="Bookman Old Style" w:hAnsi="Bookman Old Style"/>
          <w:b/>
          <w:bCs/>
          <w:i/>
          <w:iCs/>
        </w:rPr>
        <w:lastRenderedPageBreak/>
        <w:t>F</w:t>
      </w:r>
      <w:r w:rsidRPr="0030393A">
        <w:rPr>
          <w:rFonts w:ascii="Bookman Old Style" w:hAnsi="Bookman Old Style"/>
          <w:b/>
          <w:bCs/>
        </w:rPr>
        <w:t>:</w:t>
      </w:r>
      <w:r w:rsidRPr="0030393A">
        <w:rPr>
          <w:rFonts w:ascii="Bookman Old Style" w:hAnsi="Bookman Old Style"/>
          <w:b/>
          <w:bCs/>
        </w:rPr>
        <w:tab/>
        <w:t xml:space="preserve">Número total de las fuentes de suministro </w:t>
      </w:r>
      <w:r w:rsidRPr="0030393A">
        <w:rPr>
          <w:rFonts w:ascii="Bookman Old Style" w:hAnsi="Bookman Old Style"/>
          <w:b/>
          <w:bCs/>
          <w:i/>
          <w:iCs/>
        </w:rPr>
        <w:t>f</w:t>
      </w:r>
      <w:r w:rsidRPr="0030393A">
        <w:rPr>
          <w:rFonts w:ascii="Bookman Old Style" w:hAnsi="Bookman Old Style"/>
          <w:b/>
          <w:bCs/>
        </w:rPr>
        <w:t xml:space="preserve">, para el trimestre estándar </w:t>
      </w:r>
      <w:r w:rsidRPr="0030393A">
        <w:rPr>
          <w:rFonts w:ascii="Bookman Old Style" w:hAnsi="Bookman Old Style"/>
          <w:b/>
          <w:bCs/>
          <w:i/>
          <w:iCs/>
        </w:rPr>
        <w:t>te</w:t>
      </w:r>
      <w:r w:rsidRPr="0030393A">
        <w:rPr>
          <w:rFonts w:ascii="Bookman Old Style" w:hAnsi="Bookman Old Style"/>
          <w:b/>
          <w:bCs/>
        </w:rPr>
        <w:t xml:space="preserve">, en el punto de referencia </w:t>
      </w:r>
      <w:proofErr w:type="spellStart"/>
      <w:r w:rsidRPr="0030393A">
        <w:rPr>
          <w:rFonts w:ascii="Bookman Old Style" w:hAnsi="Bookman Old Style"/>
          <w:b/>
          <w:bCs/>
          <w:i/>
          <w:iCs/>
        </w:rPr>
        <w:t>pr</w:t>
      </w:r>
      <w:proofErr w:type="spellEnd"/>
      <w:r w:rsidRPr="0030393A">
        <w:rPr>
          <w:rFonts w:ascii="Bookman Old Style" w:hAnsi="Bookman Old Style"/>
          <w:b/>
          <w:bCs/>
          <w:i/>
          <w:iCs/>
        </w:rPr>
        <w:t>.</w:t>
      </w:r>
    </w:p>
    <w:p w14:paraId="2A119F45" w14:textId="77777777" w:rsidR="00F24508" w:rsidRPr="0030393A" w:rsidRDefault="00F24508" w:rsidP="006461EF">
      <w:pPr>
        <w:ind w:left="2552" w:hanging="1843"/>
        <w:jc w:val="both"/>
        <w:rPr>
          <w:rFonts w:ascii="Bookman Old Style" w:hAnsi="Bookman Old Style"/>
          <w:b/>
          <w:bCs/>
        </w:rPr>
      </w:pPr>
    </w:p>
    <w:p w14:paraId="76804A4E" w14:textId="70656CB5" w:rsidR="0006302B" w:rsidRPr="0030393A" w:rsidRDefault="0006302B" w:rsidP="00A4790E">
      <w:pPr>
        <w:pStyle w:val="Prrafodelista"/>
        <w:numPr>
          <w:ilvl w:val="1"/>
          <w:numId w:val="98"/>
        </w:numPr>
        <w:ind w:left="709" w:hanging="283"/>
        <w:jc w:val="both"/>
        <w:rPr>
          <w:rFonts w:ascii="Bookman Old Style" w:hAnsi="Bookman Old Style"/>
          <w:b/>
          <w:bCs/>
          <w:sz w:val="24"/>
          <w:lang w:val="es-ES"/>
        </w:rPr>
      </w:pPr>
      <w:r w:rsidRPr="0005081C">
        <w:rPr>
          <w:rFonts w:ascii="Bookman Old Style" w:hAnsi="Bookman Old Style"/>
          <w:b/>
          <w:bCs/>
          <w:sz w:val="24"/>
          <w:szCs w:val="24"/>
          <w:lang w:val="es-ES"/>
        </w:rPr>
        <w:t xml:space="preserve">El </w:t>
      </w:r>
      <w:r w:rsidR="0022131A" w:rsidRPr="002D5416">
        <w:rPr>
          <w:rFonts w:ascii="Bookman Old Style" w:hAnsi="Bookman Old Style"/>
          <w:b/>
          <w:sz w:val="24"/>
          <w:szCs w:val="24"/>
          <w:u w:color="FF0000"/>
          <w:lang w:val="es-ES"/>
        </w:rPr>
        <w:t>Gestor</w:t>
      </w:r>
      <w:r w:rsidRPr="00730A18">
        <w:rPr>
          <w:rFonts w:ascii="Bookman Old Style" w:hAnsi="Bookman Old Style"/>
          <w:b/>
          <w:sz w:val="24"/>
          <w:szCs w:val="24"/>
          <w:lang w:val="es-ES"/>
        </w:rPr>
        <w:t xml:space="preserve"> </w:t>
      </w:r>
      <w:r w:rsidRPr="0005081C">
        <w:rPr>
          <w:rFonts w:ascii="Bookman Old Style" w:hAnsi="Bookman Old Style"/>
          <w:b/>
          <w:bCs/>
          <w:sz w:val="24"/>
          <w:szCs w:val="24"/>
          <w:lang w:val="es-ES"/>
        </w:rPr>
        <w:t>del Mercado</w:t>
      </w:r>
      <w:r w:rsidRPr="0005081C">
        <w:rPr>
          <w:rFonts w:ascii="Bookman Old Style" w:hAnsi="Bookman Old Style"/>
          <w:b/>
          <w:bCs/>
          <w:sz w:val="24"/>
          <w:lang w:val="es-ES"/>
        </w:rPr>
        <w:t xml:space="preserve"> determinará el porcentaje de participación de cada </w:t>
      </w:r>
      <w:r w:rsidRPr="0005081C">
        <w:rPr>
          <w:rFonts w:ascii="Bookman Old Style" w:hAnsi="Bookman Old Style"/>
          <w:b/>
          <w:bCs/>
          <w:sz w:val="24"/>
          <w:szCs w:val="24"/>
          <w:lang w:val="es-ES"/>
        </w:rPr>
        <w:t xml:space="preserve">comprador, por </w:t>
      </w:r>
      <w:r w:rsidR="00D959AE" w:rsidRPr="0005081C">
        <w:rPr>
          <w:rFonts w:ascii="Bookman Old Style" w:hAnsi="Bookman Old Style"/>
          <w:b/>
          <w:bCs/>
          <w:sz w:val="24"/>
          <w:szCs w:val="24"/>
          <w:lang w:val="es-ES"/>
        </w:rPr>
        <w:t xml:space="preserve">Punto de Entrega </w:t>
      </w:r>
      <w:r w:rsidRPr="0005081C">
        <w:rPr>
          <w:rFonts w:ascii="Bookman Old Style" w:hAnsi="Bookman Old Style"/>
          <w:b/>
          <w:bCs/>
          <w:sz w:val="24"/>
          <w:szCs w:val="24"/>
          <w:lang w:val="es-ES"/>
        </w:rPr>
        <w:t xml:space="preserve">y por cada Fuente de Suministro en ese Punto de Referencia, con base en las cantidades totales que reportó </w:t>
      </w:r>
      <w:r w:rsidR="00AD396D">
        <w:rPr>
          <w:rFonts w:ascii="Bookman Old Style" w:hAnsi="Bookman Old Style"/>
          <w:b/>
          <w:bCs/>
          <w:sz w:val="24"/>
          <w:szCs w:val="24"/>
          <w:lang w:val="es-ES"/>
        </w:rPr>
        <w:t xml:space="preserve">cada comprador </w:t>
      </w:r>
      <w:r w:rsidRPr="0005081C">
        <w:rPr>
          <w:rFonts w:ascii="Bookman Old Style" w:hAnsi="Bookman Old Style"/>
          <w:b/>
          <w:bCs/>
          <w:sz w:val="24"/>
          <w:szCs w:val="24"/>
          <w:lang w:val="es-ES"/>
        </w:rPr>
        <w:t xml:space="preserve">para atender Demanda Esencial en ese Punto de Referencia, </w:t>
      </w:r>
      <w:r w:rsidR="00AD396D">
        <w:rPr>
          <w:rFonts w:ascii="Bookman Old Style" w:hAnsi="Bookman Old Style"/>
          <w:b/>
          <w:bCs/>
          <w:sz w:val="24"/>
          <w:szCs w:val="24"/>
          <w:lang w:val="es-ES"/>
        </w:rPr>
        <w:t>y la</w:t>
      </w:r>
      <w:r w:rsidRPr="0005081C">
        <w:rPr>
          <w:rFonts w:ascii="Bookman Old Style" w:hAnsi="Bookman Old Style"/>
          <w:b/>
          <w:bCs/>
          <w:sz w:val="24"/>
          <w:szCs w:val="24"/>
          <w:lang w:val="es-ES"/>
        </w:rPr>
        <w:t xml:space="preserve"> totalidad de las cantidades para atender Demanda Esencial reportadas en dicho punto por todos los </w:t>
      </w:r>
      <w:r w:rsidRPr="0030393A">
        <w:rPr>
          <w:rFonts w:ascii="Bookman Old Style" w:hAnsi="Bookman Old Style"/>
          <w:b/>
          <w:bCs/>
          <w:sz w:val="24"/>
          <w:szCs w:val="24"/>
          <w:lang w:val="es-ES"/>
        </w:rPr>
        <w:t>compradores</w:t>
      </w:r>
      <w:r w:rsidR="00392594" w:rsidRPr="0030393A">
        <w:rPr>
          <w:rFonts w:ascii="Bookman Old Style" w:hAnsi="Bookman Old Style"/>
          <w:b/>
          <w:bCs/>
          <w:sz w:val="24"/>
          <w:szCs w:val="24"/>
          <w:lang w:val="es-ES"/>
        </w:rPr>
        <w:t>, así:</w:t>
      </w:r>
      <w:r w:rsidRPr="0030393A">
        <w:rPr>
          <w:rFonts w:ascii="Bookman Old Style" w:hAnsi="Bookman Old Style"/>
          <w:b/>
          <w:bCs/>
          <w:sz w:val="24"/>
          <w:szCs w:val="24"/>
          <w:lang w:val="es-ES"/>
        </w:rPr>
        <w:t xml:space="preserve">  </w:t>
      </w:r>
    </w:p>
    <w:p w14:paraId="32AF8354" w14:textId="08547F9C" w:rsidR="0006302B" w:rsidRPr="0030393A" w:rsidRDefault="0006302B" w:rsidP="00202051">
      <w:pPr>
        <w:pStyle w:val="Prrafodelista"/>
        <w:ind w:left="709" w:hanging="283"/>
        <w:jc w:val="both"/>
        <w:rPr>
          <w:rFonts w:ascii="Bookman Old Style" w:hAnsi="Bookman Old Style"/>
          <w:b/>
          <w:bCs/>
          <w:sz w:val="24"/>
          <w:lang w:val="es-ES"/>
        </w:rPr>
      </w:pPr>
    </w:p>
    <w:p w14:paraId="6950D9CC" w14:textId="472E76AA" w:rsidR="00392594" w:rsidRPr="0030393A" w:rsidRDefault="00FB7B28" w:rsidP="00392594">
      <w:pPr>
        <w:pStyle w:val="Prrafodelista"/>
        <w:rPr>
          <w:rFonts w:ascii="Bookman Old Style" w:hAnsi="Bookman Old Style"/>
          <w:b/>
          <w:bCs/>
          <w:sz w:val="24"/>
          <w:szCs w:val="24"/>
          <w:lang w:val="es-ES"/>
        </w:rPr>
      </w:pPr>
      <m:oMathPara>
        <m:oMath>
          <m:sSub>
            <m:sSubPr>
              <m:ctrlPr>
                <w:rPr>
                  <w:rFonts w:ascii="Cambria Math" w:hAnsi="Cambria Math"/>
                  <w:b/>
                  <w:bCs/>
                  <w:i/>
                  <w:sz w:val="24"/>
                  <w:szCs w:val="24"/>
                  <w:lang w:val="es-ES"/>
                </w:rPr>
              </m:ctrlPr>
            </m:sSubPr>
            <m:e>
              <m:r>
                <m:rPr>
                  <m:sty m:val="bi"/>
                </m:rPr>
                <w:rPr>
                  <w:rFonts w:ascii="Cambria Math" w:hAnsi="Cambria Math"/>
                  <w:sz w:val="24"/>
                  <w:szCs w:val="24"/>
                  <w:lang w:val="es-ES"/>
                </w:rPr>
                <m:t>PpDE</m:t>
              </m:r>
            </m:e>
            <m:sub>
              <m:r>
                <m:rPr>
                  <m:sty m:val="bi"/>
                </m:rPr>
                <w:rPr>
                  <w:rFonts w:ascii="Cambria Math" w:hAnsi="Cambria Math"/>
                  <w:sz w:val="24"/>
                  <w:szCs w:val="24"/>
                  <w:lang w:val="es-ES"/>
                </w:rPr>
                <m:t xml:space="preserve">j,te,pr </m:t>
              </m:r>
            </m:sub>
          </m:sSub>
          <m:r>
            <m:rPr>
              <m:sty m:val="bi"/>
            </m:rPr>
            <w:rPr>
              <w:rFonts w:ascii="Cambria Math" w:hAnsi="Cambria Math"/>
              <w:sz w:val="24"/>
              <w:szCs w:val="24"/>
              <w:lang w:val="es-ES"/>
            </w:rPr>
            <m:t>=</m:t>
          </m:r>
          <m:d>
            <m:dPr>
              <m:ctrlPr>
                <w:rPr>
                  <w:rFonts w:ascii="Cambria Math" w:hAnsi="Cambria Math"/>
                  <w:b/>
                  <w:bCs/>
                  <w:i/>
                  <w:sz w:val="24"/>
                  <w:szCs w:val="24"/>
                  <w:lang w:val="es-ES"/>
                </w:rPr>
              </m:ctrlPr>
            </m:dPr>
            <m:e>
              <m:sSub>
                <m:sSubPr>
                  <m:ctrlPr>
                    <w:rPr>
                      <w:rFonts w:ascii="Cambria Math" w:hAnsi="Cambria Math"/>
                      <w:b/>
                      <w:bCs/>
                      <w:i/>
                      <w:sz w:val="24"/>
                      <w:szCs w:val="24"/>
                      <w:lang w:val="es-ES"/>
                    </w:rPr>
                  </m:ctrlPr>
                </m:sSubPr>
                <m:e>
                  <m:r>
                    <m:rPr>
                      <m:sty m:val="bi"/>
                    </m:rPr>
                    <w:rPr>
                      <w:rFonts w:ascii="Cambria Math" w:hAnsi="Cambria Math"/>
                      <w:sz w:val="24"/>
                      <w:szCs w:val="24"/>
                      <w:lang w:val="es-ES"/>
                    </w:rPr>
                    <m:t>CDED</m:t>
                  </m:r>
                </m:e>
                <m:sub>
                  <m:r>
                    <m:rPr>
                      <m:sty m:val="bi"/>
                    </m:rPr>
                    <w:rPr>
                      <w:rFonts w:ascii="Cambria Math" w:hAnsi="Cambria Math"/>
                      <w:sz w:val="24"/>
                      <w:szCs w:val="24"/>
                      <w:lang w:val="es-ES"/>
                    </w:rPr>
                    <m:t>j,te,pr</m:t>
                  </m:r>
                </m:sub>
              </m:sSub>
            </m:e>
          </m:d>
          <m:r>
            <m:rPr>
              <m:sty m:val="bi"/>
            </m:rPr>
            <w:rPr>
              <w:rFonts w:ascii="Cambria Math" w:hAnsi="Cambria Math"/>
              <w:sz w:val="24"/>
              <w:szCs w:val="24"/>
              <w:lang w:val="es-ES"/>
            </w:rPr>
            <m:t xml:space="preserve"> / </m:t>
          </m:r>
          <m:nary>
            <m:naryPr>
              <m:chr m:val="∑"/>
              <m:limLoc m:val="undOvr"/>
              <m:ctrlPr>
                <w:rPr>
                  <w:rFonts w:ascii="Cambria Math" w:hAnsi="Cambria Math"/>
                  <w:b/>
                  <w:bCs/>
                  <w:i/>
                  <w:sz w:val="24"/>
                  <w:szCs w:val="24"/>
                  <w:lang w:val="es-ES"/>
                </w:rPr>
              </m:ctrlPr>
            </m:naryPr>
            <m:sub>
              <m:r>
                <m:rPr>
                  <m:sty m:val="bi"/>
                </m:rPr>
                <w:rPr>
                  <w:rFonts w:ascii="Cambria Math" w:hAnsi="Cambria Math"/>
                  <w:sz w:val="24"/>
                  <w:szCs w:val="24"/>
                  <w:lang w:val="es-ES"/>
                </w:rPr>
                <m:t>j=1</m:t>
              </m:r>
            </m:sub>
            <m:sup>
              <m:r>
                <m:rPr>
                  <m:sty m:val="bi"/>
                </m:rPr>
                <w:rPr>
                  <w:rFonts w:ascii="Cambria Math" w:hAnsi="Cambria Math"/>
                  <w:sz w:val="24"/>
                  <w:szCs w:val="24"/>
                  <w:lang w:val="es-ES"/>
                </w:rPr>
                <m:t>J</m:t>
              </m:r>
            </m:sup>
            <m:e>
              <m:d>
                <m:dPr>
                  <m:ctrlPr>
                    <w:rPr>
                      <w:rFonts w:ascii="Cambria Math" w:hAnsi="Cambria Math"/>
                      <w:b/>
                      <w:bCs/>
                      <w:i/>
                      <w:sz w:val="24"/>
                      <w:szCs w:val="24"/>
                      <w:lang w:val="es-ES"/>
                    </w:rPr>
                  </m:ctrlPr>
                </m:dPr>
                <m:e>
                  <m:sSub>
                    <m:sSubPr>
                      <m:ctrlPr>
                        <w:rPr>
                          <w:rFonts w:ascii="Cambria Math" w:hAnsi="Cambria Math"/>
                          <w:b/>
                          <w:bCs/>
                          <w:i/>
                          <w:sz w:val="24"/>
                          <w:szCs w:val="24"/>
                          <w:lang w:val="es-ES"/>
                        </w:rPr>
                      </m:ctrlPr>
                    </m:sSubPr>
                    <m:e>
                      <m:r>
                        <m:rPr>
                          <m:sty m:val="bi"/>
                        </m:rPr>
                        <w:rPr>
                          <w:rFonts w:ascii="Cambria Math" w:hAnsi="Cambria Math"/>
                          <w:sz w:val="24"/>
                          <w:szCs w:val="24"/>
                          <w:lang w:val="es-ES"/>
                        </w:rPr>
                        <m:t>CDED</m:t>
                      </m:r>
                    </m:e>
                    <m:sub>
                      <m:r>
                        <m:rPr>
                          <m:sty m:val="bi"/>
                        </m:rPr>
                        <w:rPr>
                          <w:rFonts w:ascii="Cambria Math" w:hAnsi="Cambria Math"/>
                          <w:sz w:val="24"/>
                          <w:szCs w:val="24"/>
                          <w:lang w:val="es-ES"/>
                        </w:rPr>
                        <m:t>j,te,pr</m:t>
                      </m:r>
                    </m:sub>
                  </m:sSub>
                </m:e>
              </m:d>
            </m:e>
          </m:nary>
          <m:r>
            <m:rPr>
              <m:sty m:val="bi"/>
            </m:rPr>
            <w:rPr>
              <w:rFonts w:ascii="Cambria Math" w:hAnsi="Cambria Math"/>
              <w:sz w:val="24"/>
              <w:szCs w:val="24"/>
              <w:lang w:val="es-ES"/>
            </w:rPr>
            <m:t xml:space="preserve"> </m:t>
          </m:r>
        </m:oMath>
      </m:oMathPara>
    </w:p>
    <w:p w14:paraId="0AD84789" w14:textId="77777777" w:rsidR="00652CD9" w:rsidRPr="0030393A" w:rsidRDefault="00652CD9" w:rsidP="00652CD9">
      <w:pPr>
        <w:ind w:left="1418"/>
        <w:jc w:val="both"/>
        <w:rPr>
          <w:rFonts w:ascii="Bookman Old Style" w:hAnsi="Bookman Old Style"/>
          <w:b/>
          <w:bCs/>
        </w:rPr>
      </w:pPr>
    </w:p>
    <w:p w14:paraId="5EE97E70" w14:textId="77777777" w:rsidR="00392594" w:rsidRPr="0030393A" w:rsidRDefault="00392594" w:rsidP="00392594">
      <w:pPr>
        <w:pStyle w:val="Prrafodelista"/>
        <w:ind w:left="992" w:hanging="283"/>
        <w:rPr>
          <w:rFonts w:ascii="Bookman Old Style" w:hAnsi="Bookman Old Style"/>
          <w:b/>
          <w:bCs/>
          <w:sz w:val="24"/>
          <w:szCs w:val="24"/>
          <w:lang w:val="es-ES" w:eastAsia="es-ES"/>
        </w:rPr>
      </w:pPr>
      <w:r w:rsidRPr="0030393A">
        <w:rPr>
          <w:rFonts w:ascii="Bookman Old Style" w:hAnsi="Bookman Old Style"/>
          <w:b/>
          <w:bCs/>
          <w:sz w:val="24"/>
          <w:szCs w:val="24"/>
          <w:lang w:val="es-ES" w:eastAsia="es-ES"/>
        </w:rPr>
        <w:t>Donde:</w:t>
      </w:r>
    </w:p>
    <w:p w14:paraId="3EA46A07" w14:textId="77777777" w:rsidR="00392594" w:rsidRPr="0030393A" w:rsidRDefault="00392594" w:rsidP="00392594">
      <w:pPr>
        <w:pStyle w:val="Prrafodelista"/>
        <w:ind w:left="992" w:hanging="283"/>
        <w:rPr>
          <w:rFonts w:ascii="Bookman Old Style" w:hAnsi="Bookman Old Style"/>
          <w:b/>
          <w:bCs/>
          <w:sz w:val="24"/>
          <w:szCs w:val="24"/>
          <w:lang w:val="es-ES" w:eastAsia="es-ES"/>
        </w:rPr>
      </w:pPr>
    </w:p>
    <w:p w14:paraId="44845221" w14:textId="5796F34D" w:rsidR="00392594" w:rsidRPr="0030393A" w:rsidRDefault="00FB7B28" w:rsidP="00392594">
      <w:pPr>
        <w:pStyle w:val="Prrafodelista"/>
        <w:ind w:left="2552" w:hanging="1843"/>
        <w:jc w:val="both"/>
        <w:rPr>
          <w:rFonts w:ascii="Bookman Old Style" w:hAnsi="Bookman Old Style"/>
          <w:b/>
          <w:bCs/>
          <w:sz w:val="24"/>
          <w:szCs w:val="24"/>
          <w:lang w:val="es-ES" w:eastAsia="es-ES"/>
        </w:rPr>
      </w:pPr>
      <m:oMath>
        <m:sSub>
          <m:sSubPr>
            <m:ctrlPr>
              <w:rPr>
                <w:rFonts w:ascii="Cambria Math" w:hAnsi="Cambria Math"/>
                <w:b/>
                <w:bCs/>
                <w:i/>
                <w:sz w:val="24"/>
                <w:szCs w:val="24"/>
                <w:lang w:val="es-ES"/>
              </w:rPr>
            </m:ctrlPr>
          </m:sSubPr>
          <m:e>
            <m:r>
              <m:rPr>
                <m:sty m:val="bi"/>
              </m:rPr>
              <w:rPr>
                <w:rFonts w:ascii="Cambria Math" w:hAnsi="Cambria Math"/>
                <w:sz w:val="24"/>
                <w:szCs w:val="24"/>
                <w:lang w:val="es-ES"/>
              </w:rPr>
              <m:t>PpDE</m:t>
            </m:r>
          </m:e>
          <m:sub>
            <m:r>
              <m:rPr>
                <m:sty m:val="bi"/>
              </m:rPr>
              <w:rPr>
                <w:rFonts w:ascii="Cambria Math" w:hAnsi="Cambria Math"/>
                <w:sz w:val="24"/>
                <w:szCs w:val="24"/>
                <w:lang w:val="es-ES"/>
              </w:rPr>
              <m:t xml:space="preserve">j,te,pr </m:t>
            </m:r>
          </m:sub>
        </m:sSub>
      </m:oMath>
      <w:r w:rsidR="00392594" w:rsidRPr="0030393A">
        <w:rPr>
          <w:rFonts w:ascii="Bookman Old Style" w:hAnsi="Bookman Old Style"/>
          <w:b/>
          <w:bCs/>
          <w:sz w:val="24"/>
          <w:szCs w:val="24"/>
          <w:lang w:val="es-ES"/>
        </w:rPr>
        <w:t xml:space="preserve">: </w:t>
      </w:r>
      <w:r w:rsidR="00392594" w:rsidRPr="0030393A">
        <w:rPr>
          <w:rFonts w:ascii="Bookman Old Style" w:hAnsi="Bookman Old Style"/>
          <w:b/>
          <w:bCs/>
          <w:sz w:val="24"/>
          <w:szCs w:val="24"/>
          <w:lang w:val="es-ES"/>
        </w:rPr>
        <w:tab/>
        <w:t xml:space="preserve">Porcentaje de participación </w:t>
      </w:r>
      <w:r w:rsidR="008841E5" w:rsidRPr="0030393A">
        <w:rPr>
          <w:rFonts w:ascii="Bookman Old Style" w:hAnsi="Bookman Old Style"/>
          <w:b/>
          <w:bCs/>
          <w:sz w:val="24"/>
          <w:szCs w:val="24"/>
          <w:lang w:val="es-ES"/>
        </w:rPr>
        <w:t xml:space="preserve">de la demanda esencial </w:t>
      </w:r>
      <w:r w:rsidR="00392594" w:rsidRPr="0030393A">
        <w:rPr>
          <w:rFonts w:ascii="Bookman Old Style" w:hAnsi="Bookman Old Style"/>
          <w:b/>
          <w:bCs/>
          <w:sz w:val="24"/>
          <w:szCs w:val="24"/>
          <w:lang w:val="es-ES"/>
        </w:rPr>
        <w:t xml:space="preserve">del </w:t>
      </w:r>
      <w:r w:rsidR="00392594" w:rsidRPr="0030393A">
        <w:rPr>
          <w:rFonts w:ascii="Bookman Old Style" w:hAnsi="Bookman Old Style"/>
          <w:b/>
          <w:bCs/>
          <w:sz w:val="24"/>
          <w:szCs w:val="24"/>
        </w:rPr>
        <w:t xml:space="preserve">comprador </w:t>
      </w:r>
      <w:r w:rsidR="00392594" w:rsidRPr="0030393A">
        <w:rPr>
          <w:rFonts w:ascii="Bookman Old Style" w:hAnsi="Bookman Old Style"/>
          <w:b/>
          <w:bCs/>
          <w:i/>
          <w:iCs/>
          <w:sz w:val="24"/>
          <w:szCs w:val="24"/>
        </w:rPr>
        <w:t>j</w:t>
      </w:r>
      <w:r w:rsidR="00392594" w:rsidRPr="0030393A">
        <w:rPr>
          <w:rFonts w:ascii="Bookman Old Style" w:hAnsi="Bookman Old Style"/>
          <w:b/>
          <w:bCs/>
          <w:sz w:val="24"/>
          <w:szCs w:val="24"/>
        </w:rPr>
        <w:t xml:space="preserve">, </w:t>
      </w:r>
      <w:r w:rsidR="008841E5" w:rsidRPr="0030393A">
        <w:rPr>
          <w:rFonts w:ascii="Bookman Old Style" w:hAnsi="Bookman Old Style"/>
          <w:b/>
          <w:bCs/>
          <w:sz w:val="24"/>
          <w:szCs w:val="24"/>
        </w:rPr>
        <w:t xml:space="preserve">en la demanda esencial </w:t>
      </w:r>
      <w:r w:rsidR="008841E5" w:rsidRPr="0030393A">
        <w:rPr>
          <w:rFonts w:ascii="Bookman Old Style" w:hAnsi="Bookman Old Style"/>
          <w:b/>
          <w:bCs/>
          <w:i/>
          <w:iCs/>
          <w:sz w:val="24"/>
          <w:szCs w:val="24"/>
        </w:rPr>
        <w:t>DE</w:t>
      </w:r>
      <w:r w:rsidR="008841E5" w:rsidRPr="0030393A">
        <w:rPr>
          <w:rFonts w:ascii="Bookman Old Style" w:hAnsi="Bookman Old Style"/>
          <w:b/>
          <w:bCs/>
          <w:sz w:val="24"/>
          <w:szCs w:val="24"/>
        </w:rPr>
        <w:t xml:space="preserve">, </w:t>
      </w:r>
      <w:r w:rsidR="00392594" w:rsidRPr="0030393A">
        <w:rPr>
          <w:rFonts w:ascii="Bookman Old Style" w:hAnsi="Bookman Old Style"/>
          <w:b/>
          <w:bCs/>
          <w:sz w:val="24"/>
          <w:szCs w:val="24"/>
        </w:rPr>
        <w:t xml:space="preserve">para el trimestre estándar </w:t>
      </w:r>
      <w:r w:rsidR="00392594" w:rsidRPr="0030393A">
        <w:rPr>
          <w:rFonts w:ascii="Bookman Old Style" w:hAnsi="Bookman Old Style"/>
          <w:b/>
          <w:bCs/>
          <w:i/>
          <w:iCs/>
          <w:sz w:val="24"/>
          <w:szCs w:val="24"/>
        </w:rPr>
        <w:t>te,</w:t>
      </w:r>
      <w:r w:rsidR="00392594" w:rsidRPr="0030393A">
        <w:rPr>
          <w:rFonts w:ascii="Bookman Old Style" w:hAnsi="Bookman Old Style"/>
          <w:b/>
          <w:bCs/>
          <w:sz w:val="24"/>
          <w:szCs w:val="24"/>
        </w:rPr>
        <w:t xml:space="preserve"> en el punto de referencia </w:t>
      </w:r>
      <w:proofErr w:type="spellStart"/>
      <w:r w:rsidR="00392594" w:rsidRPr="0030393A">
        <w:rPr>
          <w:rFonts w:ascii="Bookman Old Style" w:hAnsi="Bookman Old Style"/>
          <w:b/>
          <w:bCs/>
          <w:i/>
          <w:iCs/>
          <w:sz w:val="24"/>
          <w:szCs w:val="24"/>
        </w:rPr>
        <w:t>pr</w:t>
      </w:r>
      <w:proofErr w:type="spellEnd"/>
      <w:r w:rsidR="00392594" w:rsidRPr="0030393A">
        <w:rPr>
          <w:rFonts w:ascii="Bookman Old Style" w:hAnsi="Bookman Old Style"/>
          <w:b/>
          <w:bCs/>
          <w:i/>
          <w:iCs/>
          <w:sz w:val="24"/>
          <w:szCs w:val="24"/>
        </w:rPr>
        <w:t>.</w:t>
      </w:r>
    </w:p>
    <w:p w14:paraId="234F8FAF" w14:textId="77777777" w:rsidR="00392594" w:rsidRPr="0030393A" w:rsidRDefault="00392594" w:rsidP="00392594">
      <w:pPr>
        <w:pStyle w:val="Prrafodelista"/>
        <w:ind w:left="709" w:hanging="283"/>
        <w:jc w:val="both"/>
        <w:rPr>
          <w:rFonts w:ascii="Bookman Old Style" w:hAnsi="Bookman Old Style"/>
          <w:b/>
          <w:bCs/>
          <w:sz w:val="24"/>
          <w:szCs w:val="24"/>
          <w:lang w:val="es-ES"/>
        </w:rPr>
      </w:pPr>
    </w:p>
    <w:p w14:paraId="3E48024B" w14:textId="7C3817E0" w:rsidR="00392594" w:rsidRPr="0030393A" w:rsidRDefault="00FB7B28" w:rsidP="00392594">
      <w:pPr>
        <w:ind w:left="2552" w:hanging="1843"/>
        <w:jc w:val="both"/>
        <w:rPr>
          <w:rFonts w:ascii="Bookman Old Style" w:hAnsi="Bookman Old Style"/>
          <w:b/>
          <w:bCs/>
          <w:i/>
          <w:iCs/>
          <w:lang w:eastAsia="x-none"/>
        </w:rPr>
      </w:pPr>
      <m:oMath>
        <m:sSub>
          <m:sSubPr>
            <m:ctrlPr>
              <w:rPr>
                <w:rFonts w:ascii="Cambria Math" w:hAnsi="Cambria Math"/>
                <w:b/>
                <w:bCs/>
                <w:i/>
                <w:lang w:eastAsia="x-none"/>
              </w:rPr>
            </m:ctrlPr>
          </m:sSubPr>
          <m:e>
            <m:r>
              <m:rPr>
                <m:sty m:val="bi"/>
              </m:rPr>
              <w:rPr>
                <w:rFonts w:ascii="Cambria Math" w:hAnsi="Cambria Math"/>
              </w:rPr>
              <m:t>CDED</m:t>
            </m:r>
          </m:e>
          <m:sub>
            <m:r>
              <m:rPr>
                <m:sty m:val="bi"/>
              </m:rPr>
              <w:rPr>
                <w:rFonts w:ascii="Cambria Math" w:hAnsi="Cambria Math"/>
              </w:rPr>
              <m:t>j,te,pr</m:t>
            </m:r>
          </m:sub>
        </m:sSub>
        <m:r>
          <m:rPr>
            <m:sty m:val="bi"/>
          </m:rPr>
          <w:rPr>
            <w:rFonts w:ascii="Cambria Math" w:hAnsi="Cambria Math"/>
            <w:lang w:eastAsia="x-none"/>
          </w:rPr>
          <m:t>:</m:t>
        </m:r>
      </m:oMath>
      <w:r w:rsidR="00392594" w:rsidRPr="0030393A">
        <w:rPr>
          <w:rFonts w:ascii="Bookman Old Style" w:hAnsi="Bookman Old Style"/>
          <w:b/>
          <w:bCs/>
          <w:lang w:eastAsia="x-none"/>
        </w:rPr>
        <w:t xml:space="preserve"> </w:t>
      </w:r>
      <w:r w:rsidR="00392594" w:rsidRPr="0030393A">
        <w:rPr>
          <w:rFonts w:ascii="Bookman Old Style" w:hAnsi="Bookman Old Style"/>
          <w:b/>
          <w:bCs/>
          <w:lang w:eastAsia="x-none"/>
        </w:rPr>
        <w:tab/>
        <w:t xml:space="preserve">Cantidad </w:t>
      </w:r>
      <w:r w:rsidR="008841E5" w:rsidRPr="0030393A">
        <w:rPr>
          <w:rFonts w:ascii="Bookman Old Style" w:hAnsi="Bookman Old Style"/>
          <w:b/>
          <w:bCs/>
          <w:lang w:eastAsia="x-none"/>
        </w:rPr>
        <w:t>de compra de la demanda esencial de</w:t>
      </w:r>
      <w:r w:rsidR="00392594" w:rsidRPr="0030393A">
        <w:rPr>
          <w:rFonts w:ascii="Bookman Old Style" w:hAnsi="Bookman Old Style"/>
          <w:b/>
          <w:bCs/>
          <w:lang w:eastAsia="x-none"/>
        </w:rPr>
        <w:t xml:space="preserve">l comprador </w:t>
      </w:r>
      <w:r w:rsidR="00392594" w:rsidRPr="0030393A">
        <w:rPr>
          <w:rFonts w:ascii="Bookman Old Style" w:hAnsi="Bookman Old Style"/>
          <w:b/>
          <w:bCs/>
          <w:i/>
          <w:iCs/>
          <w:lang w:eastAsia="x-none"/>
        </w:rPr>
        <w:t>j</w:t>
      </w:r>
      <w:r w:rsidR="00392594" w:rsidRPr="0030393A">
        <w:rPr>
          <w:rFonts w:ascii="Bookman Old Style" w:hAnsi="Bookman Old Style"/>
          <w:b/>
          <w:bCs/>
          <w:lang w:eastAsia="x-none"/>
        </w:rPr>
        <w:t xml:space="preserve">, </w:t>
      </w:r>
      <w:r w:rsidR="008841E5" w:rsidRPr="0030393A">
        <w:rPr>
          <w:rFonts w:ascii="Bookman Old Style" w:hAnsi="Bookman Old Style"/>
          <w:b/>
          <w:bCs/>
          <w:lang w:eastAsia="x-none"/>
        </w:rPr>
        <w:t xml:space="preserve">en la demanda esencial </w:t>
      </w:r>
      <w:r w:rsidR="008841E5" w:rsidRPr="0030393A">
        <w:rPr>
          <w:rFonts w:ascii="Bookman Old Style" w:hAnsi="Bookman Old Style"/>
          <w:b/>
          <w:bCs/>
          <w:i/>
          <w:iCs/>
          <w:lang w:eastAsia="x-none"/>
        </w:rPr>
        <w:t>DE</w:t>
      </w:r>
      <w:r w:rsidR="008841E5" w:rsidRPr="0030393A">
        <w:rPr>
          <w:rFonts w:ascii="Bookman Old Style" w:hAnsi="Bookman Old Style"/>
          <w:b/>
          <w:bCs/>
          <w:lang w:eastAsia="x-none"/>
        </w:rPr>
        <w:t xml:space="preserve">, </w:t>
      </w:r>
      <w:r w:rsidR="00392594" w:rsidRPr="0030393A">
        <w:rPr>
          <w:rFonts w:ascii="Bookman Old Style" w:hAnsi="Bookman Old Style"/>
          <w:b/>
          <w:bCs/>
          <w:lang w:eastAsia="x-none"/>
        </w:rPr>
        <w:t xml:space="preserve">para el trimestre estándar </w:t>
      </w:r>
      <w:r w:rsidR="00392594" w:rsidRPr="0030393A">
        <w:rPr>
          <w:rFonts w:ascii="Bookman Old Style" w:hAnsi="Bookman Old Style"/>
          <w:b/>
          <w:bCs/>
          <w:i/>
          <w:iCs/>
          <w:lang w:eastAsia="x-none"/>
        </w:rPr>
        <w:t>te,</w:t>
      </w:r>
      <w:r w:rsidR="00392594" w:rsidRPr="0030393A">
        <w:rPr>
          <w:rFonts w:ascii="Bookman Old Style" w:hAnsi="Bookman Old Style"/>
          <w:b/>
          <w:bCs/>
          <w:lang w:eastAsia="x-none"/>
        </w:rPr>
        <w:t xml:space="preserve"> en el punto de referencia </w:t>
      </w:r>
      <w:proofErr w:type="spellStart"/>
      <w:r w:rsidR="00392594" w:rsidRPr="0030393A">
        <w:rPr>
          <w:rFonts w:ascii="Bookman Old Style" w:hAnsi="Bookman Old Style"/>
          <w:b/>
          <w:bCs/>
          <w:i/>
          <w:iCs/>
          <w:lang w:eastAsia="x-none"/>
        </w:rPr>
        <w:t>pr</w:t>
      </w:r>
      <w:proofErr w:type="spellEnd"/>
      <w:r w:rsidR="00392594" w:rsidRPr="0030393A">
        <w:rPr>
          <w:rFonts w:ascii="Bookman Old Style" w:hAnsi="Bookman Old Style"/>
          <w:b/>
          <w:bCs/>
          <w:i/>
          <w:iCs/>
          <w:lang w:eastAsia="x-none"/>
        </w:rPr>
        <w:t>.</w:t>
      </w:r>
    </w:p>
    <w:p w14:paraId="6B8CC94A" w14:textId="77777777" w:rsidR="00392594" w:rsidRPr="0030393A" w:rsidRDefault="00392594" w:rsidP="00392594">
      <w:pPr>
        <w:ind w:left="2268" w:hanging="1559"/>
        <w:jc w:val="both"/>
        <w:rPr>
          <w:rFonts w:ascii="Bookman Old Style" w:hAnsi="Bookman Old Style"/>
          <w:b/>
          <w:bCs/>
          <w:lang w:eastAsia="x-none"/>
        </w:rPr>
      </w:pPr>
    </w:p>
    <w:p w14:paraId="796DABAE" w14:textId="6FCD9057" w:rsidR="00392594" w:rsidRPr="0030393A" w:rsidRDefault="00392594" w:rsidP="00392594">
      <w:pPr>
        <w:ind w:left="2552" w:hanging="1843"/>
        <w:jc w:val="both"/>
        <w:rPr>
          <w:rFonts w:ascii="Bookman Old Style" w:hAnsi="Bookman Old Style"/>
          <w:b/>
          <w:bCs/>
          <w:i/>
          <w:iCs/>
        </w:rPr>
      </w:pPr>
      <w:r w:rsidRPr="0030393A">
        <w:rPr>
          <w:rFonts w:ascii="Bookman Old Style" w:hAnsi="Bookman Old Style"/>
          <w:b/>
          <w:bCs/>
          <w:i/>
          <w:iCs/>
        </w:rPr>
        <w:t>J</w:t>
      </w:r>
      <w:r w:rsidRPr="0030393A">
        <w:rPr>
          <w:rFonts w:ascii="Bookman Old Style" w:hAnsi="Bookman Old Style"/>
          <w:b/>
          <w:bCs/>
        </w:rPr>
        <w:t>:</w:t>
      </w:r>
      <w:r w:rsidRPr="0030393A">
        <w:rPr>
          <w:rFonts w:ascii="Bookman Old Style" w:hAnsi="Bookman Old Style"/>
          <w:b/>
          <w:bCs/>
        </w:rPr>
        <w:tab/>
        <w:t xml:space="preserve">Número total de compradores </w:t>
      </w:r>
      <w:r w:rsidRPr="0030393A">
        <w:rPr>
          <w:rFonts w:ascii="Bookman Old Style" w:hAnsi="Bookman Old Style"/>
          <w:b/>
          <w:bCs/>
          <w:i/>
          <w:iCs/>
        </w:rPr>
        <w:t>j</w:t>
      </w:r>
      <w:r w:rsidRPr="0030393A">
        <w:rPr>
          <w:rFonts w:ascii="Bookman Old Style" w:hAnsi="Bookman Old Style"/>
          <w:b/>
          <w:bCs/>
        </w:rPr>
        <w:t xml:space="preserve">, para el trimestre estándar </w:t>
      </w:r>
      <w:r w:rsidRPr="0030393A">
        <w:rPr>
          <w:rFonts w:ascii="Bookman Old Style" w:hAnsi="Bookman Old Style"/>
          <w:b/>
          <w:bCs/>
          <w:i/>
          <w:iCs/>
        </w:rPr>
        <w:t>te</w:t>
      </w:r>
      <w:r w:rsidRPr="0030393A">
        <w:rPr>
          <w:rFonts w:ascii="Bookman Old Style" w:hAnsi="Bookman Old Style"/>
          <w:b/>
          <w:bCs/>
        </w:rPr>
        <w:t xml:space="preserve">, en el punto de referencia </w:t>
      </w:r>
      <w:proofErr w:type="spellStart"/>
      <w:r w:rsidRPr="0030393A">
        <w:rPr>
          <w:rFonts w:ascii="Bookman Old Style" w:hAnsi="Bookman Old Style"/>
          <w:b/>
          <w:bCs/>
          <w:i/>
          <w:iCs/>
        </w:rPr>
        <w:t>pr</w:t>
      </w:r>
      <w:proofErr w:type="spellEnd"/>
      <w:r w:rsidRPr="0030393A">
        <w:rPr>
          <w:rFonts w:ascii="Bookman Old Style" w:hAnsi="Bookman Old Style"/>
          <w:b/>
          <w:bCs/>
          <w:i/>
          <w:iCs/>
        </w:rPr>
        <w:t>.</w:t>
      </w:r>
    </w:p>
    <w:p w14:paraId="3C27595C" w14:textId="154D7D83" w:rsidR="00065A3C" w:rsidRPr="0030393A" w:rsidRDefault="00065A3C" w:rsidP="00392594">
      <w:pPr>
        <w:ind w:left="2552" w:hanging="1843"/>
        <w:jc w:val="both"/>
        <w:rPr>
          <w:rFonts w:ascii="Bookman Old Style" w:hAnsi="Bookman Old Style"/>
          <w:b/>
          <w:bCs/>
          <w:i/>
          <w:iCs/>
        </w:rPr>
      </w:pPr>
    </w:p>
    <w:p w14:paraId="124E0410" w14:textId="4B75CF49"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El </w:t>
      </w:r>
      <w:r w:rsidR="0022131A" w:rsidRPr="0030393A">
        <w:rPr>
          <w:rFonts w:ascii="Bookman Old Style" w:hAnsi="Bookman Old Style"/>
          <w:b/>
          <w:sz w:val="24"/>
          <w:szCs w:val="24"/>
          <w:lang w:val="es-ES"/>
        </w:rPr>
        <w:t>Gestor</w:t>
      </w:r>
      <w:r w:rsidRPr="0030393A">
        <w:rPr>
          <w:rFonts w:ascii="Bookman Old Style" w:hAnsi="Bookman Old Style"/>
          <w:b/>
          <w:sz w:val="24"/>
          <w:szCs w:val="24"/>
          <w:lang w:val="es-ES"/>
        </w:rPr>
        <w:t xml:space="preserve"> </w:t>
      </w:r>
      <w:r w:rsidRPr="0030393A">
        <w:rPr>
          <w:rFonts w:ascii="Bookman Old Style" w:hAnsi="Bookman Old Style"/>
          <w:b/>
          <w:bCs/>
          <w:sz w:val="24"/>
          <w:szCs w:val="24"/>
          <w:lang w:val="es-ES"/>
        </w:rPr>
        <w:t xml:space="preserve">del Mercado determinará si las cantidades totales de PTDVF y CIDVF declaradas para dicho Punto de Referencia son superiores, iguales o inferiores a las cantidades totales reportadas por los compradores para atender la Demanda Esencial en ese mismo punto.  </w:t>
      </w:r>
    </w:p>
    <w:p w14:paraId="55FE856B" w14:textId="77777777" w:rsidR="0006302B" w:rsidRPr="0030393A" w:rsidRDefault="0006302B" w:rsidP="00202051">
      <w:pPr>
        <w:pStyle w:val="Prrafodelista"/>
        <w:ind w:left="709" w:hanging="283"/>
        <w:jc w:val="both"/>
        <w:rPr>
          <w:rFonts w:ascii="Bookman Old Style" w:hAnsi="Bookman Old Style"/>
          <w:b/>
          <w:bCs/>
          <w:sz w:val="24"/>
          <w:szCs w:val="24"/>
          <w:lang w:val="es-ES"/>
        </w:rPr>
      </w:pPr>
    </w:p>
    <w:p w14:paraId="20514F23" w14:textId="717A7DEE"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Si las cantidades totales de PTDVF y CIDVF </w:t>
      </w:r>
      <w:r w:rsidR="00EA1858" w:rsidRPr="0030393A">
        <w:rPr>
          <w:rFonts w:ascii="Bookman Old Style" w:hAnsi="Bookman Old Style"/>
          <w:b/>
          <w:bCs/>
          <w:sz w:val="24"/>
          <w:szCs w:val="24"/>
          <w:lang w:val="es-ES"/>
        </w:rPr>
        <w:t xml:space="preserve">del punto de referencia </w:t>
      </w:r>
      <w:r w:rsidRPr="0030393A">
        <w:rPr>
          <w:rFonts w:ascii="Bookman Old Style" w:hAnsi="Bookman Old Style"/>
          <w:b/>
          <w:bCs/>
          <w:sz w:val="24"/>
          <w:szCs w:val="24"/>
          <w:lang w:val="es-ES"/>
        </w:rPr>
        <w:t xml:space="preserve">son superiores o iguales a las cantidades totales reportadas por los compradores para atender la Demanda Esencial, el </w:t>
      </w:r>
      <w:r w:rsidR="0022131A" w:rsidRPr="0030393A">
        <w:rPr>
          <w:rFonts w:ascii="Bookman Old Style" w:hAnsi="Bookman Old Style"/>
          <w:b/>
          <w:sz w:val="24"/>
          <w:szCs w:val="24"/>
          <w:lang w:val="es-ES"/>
        </w:rPr>
        <w:t>Gestor</w:t>
      </w:r>
      <w:r w:rsidRPr="0030393A">
        <w:rPr>
          <w:rFonts w:ascii="Bookman Old Style" w:hAnsi="Bookman Old Style"/>
          <w:b/>
          <w:bCs/>
          <w:sz w:val="24"/>
          <w:szCs w:val="24"/>
          <w:lang w:val="es-ES"/>
        </w:rPr>
        <w:t xml:space="preserve"> del Mercado distribuirá las cantidades para atender esa demanda</w:t>
      </w:r>
      <w:r w:rsidR="00BE2D00" w:rsidRPr="0030393A">
        <w:rPr>
          <w:rFonts w:ascii="Bookman Old Style" w:hAnsi="Bookman Old Style"/>
          <w:b/>
          <w:bCs/>
          <w:sz w:val="24"/>
          <w:szCs w:val="24"/>
          <w:lang w:val="es-ES"/>
        </w:rPr>
        <w:t>,</w:t>
      </w:r>
      <w:r w:rsidRPr="0030393A">
        <w:rPr>
          <w:rFonts w:ascii="Bookman Old Style" w:hAnsi="Bookman Old Style"/>
          <w:b/>
          <w:bCs/>
          <w:sz w:val="24"/>
          <w:szCs w:val="24"/>
          <w:lang w:val="es-ES"/>
        </w:rPr>
        <w:t xml:space="preserve"> entre cada Fuente de Suministro</w:t>
      </w:r>
      <w:r w:rsidR="00323EDA" w:rsidRPr="0030393A">
        <w:rPr>
          <w:rFonts w:ascii="Bookman Old Style" w:hAnsi="Bookman Old Style"/>
          <w:b/>
          <w:bCs/>
          <w:sz w:val="24"/>
          <w:szCs w:val="24"/>
          <w:lang w:val="es-ES"/>
        </w:rPr>
        <w:t>,</w:t>
      </w:r>
      <w:r w:rsidRPr="0030393A">
        <w:rPr>
          <w:rFonts w:ascii="Bookman Old Style" w:hAnsi="Bookman Old Style"/>
          <w:b/>
          <w:bCs/>
          <w:sz w:val="24"/>
          <w:szCs w:val="24"/>
          <w:lang w:val="es-ES"/>
        </w:rPr>
        <w:t xml:space="preserve"> </w:t>
      </w:r>
      <w:r w:rsidR="005E1AD4" w:rsidRPr="0030393A">
        <w:rPr>
          <w:rFonts w:ascii="Bookman Old Style" w:hAnsi="Bookman Old Style"/>
          <w:b/>
          <w:bCs/>
          <w:sz w:val="24"/>
          <w:szCs w:val="24"/>
          <w:lang w:val="es-ES"/>
        </w:rPr>
        <w:t>de</w:t>
      </w:r>
      <w:r w:rsidR="00EA1858" w:rsidRPr="0030393A">
        <w:rPr>
          <w:rFonts w:ascii="Bookman Old Style" w:hAnsi="Bookman Old Style"/>
          <w:b/>
          <w:bCs/>
          <w:sz w:val="24"/>
          <w:szCs w:val="24"/>
          <w:lang w:val="es-ES"/>
        </w:rPr>
        <w:t xml:space="preserve"> cada</w:t>
      </w:r>
      <w:r w:rsidR="005E1AD4" w:rsidRPr="0030393A">
        <w:rPr>
          <w:rFonts w:ascii="Bookman Old Style" w:hAnsi="Bookman Old Style"/>
          <w:b/>
          <w:bCs/>
          <w:sz w:val="24"/>
          <w:szCs w:val="24"/>
          <w:lang w:val="es-ES"/>
        </w:rPr>
        <w:t xml:space="preserve"> vendedor </w:t>
      </w:r>
      <w:r w:rsidRPr="0030393A">
        <w:rPr>
          <w:rFonts w:ascii="Bookman Old Style" w:hAnsi="Bookman Old Style"/>
          <w:b/>
          <w:bCs/>
          <w:sz w:val="24"/>
          <w:szCs w:val="24"/>
          <w:lang w:val="es-ES"/>
        </w:rPr>
        <w:t>y cada comprador</w:t>
      </w:r>
      <w:r w:rsidR="00CF05DF" w:rsidRPr="0030393A">
        <w:rPr>
          <w:rFonts w:ascii="Bookman Old Style" w:hAnsi="Bookman Old Style"/>
          <w:b/>
          <w:bCs/>
          <w:sz w:val="24"/>
          <w:szCs w:val="24"/>
          <w:lang w:val="es-ES"/>
        </w:rPr>
        <w:t xml:space="preserve"> sin excepción ninguna</w:t>
      </w:r>
      <w:r w:rsidR="00BE2D00" w:rsidRPr="0030393A">
        <w:rPr>
          <w:rFonts w:ascii="Bookman Old Style" w:hAnsi="Bookman Old Style"/>
          <w:b/>
          <w:bCs/>
          <w:sz w:val="24"/>
          <w:szCs w:val="24"/>
          <w:lang w:val="es-ES"/>
        </w:rPr>
        <w:t>. Para lo anterior el Gestor del Mercado</w:t>
      </w:r>
      <w:r w:rsidRPr="0030393A">
        <w:rPr>
          <w:rFonts w:ascii="Bookman Old Style" w:hAnsi="Bookman Old Style"/>
          <w:b/>
          <w:bCs/>
          <w:sz w:val="24"/>
          <w:szCs w:val="24"/>
          <w:lang w:val="es-ES"/>
        </w:rPr>
        <w:t xml:space="preserve"> </w:t>
      </w:r>
      <w:r w:rsidR="00BE2D00" w:rsidRPr="0030393A">
        <w:rPr>
          <w:rFonts w:ascii="Bookman Old Style" w:hAnsi="Bookman Old Style"/>
          <w:b/>
          <w:bCs/>
          <w:sz w:val="24"/>
          <w:szCs w:val="24"/>
          <w:lang w:val="es-ES"/>
        </w:rPr>
        <w:t xml:space="preserve">multiplicará </w:t>
      </w:r>
      <w:r w:rsidRPr="0030393A">
        <w:rPr>
          <w:rFonts w:ascii="Bookman Old Style" w:hAnsi="Bookman Old Style"/>
          <w:b/>
          <w:bCs/>
          <w:sz w:val="24"/>
          <w:szCs w:val="24"/>
          <w:lang w:val="es-ES"/>
        </w:rPr>
        <w:t>el porcentaje</w:t>
      </w:r>
      <w:r w:rsidRPr="0030393A">
        <w:rPr>
          <w:rFonts w:ascii="Bookman Old Style" w:hAnsi="Bookman Old Style"/>
          <w:b/>
          <w:bCs/>
          <w:sz w:val="24"/>
          <w:lang w:val="es-ES"/>
        </w:rPr>
        <w:t xml:space="preserve"> de participación </w:t>
      </w:r>
      <w:r w:rsidR="006A51F8" w:rsidRPr="0030393A">
        <w:rPr>
          <w:rFonts w:ascii="Bookman Old Style" w:hAnsi="Bookman Old Style"/>
          <w:b/>
          <w:bCs/>
          <w:sz w:val="24"/>
          <w:lang w:val="es-ES"/>
        </w:rPr>
        <w:t xml:space="preserve">de cada vendedor </w:t>
      </w:r>
      <w:r w:rsidR="00EA1858" w:rsidRPr="0030393A">
        <w:rPr>
          <w:rFonts w:ascii="Bookman Old Style" w:hAnsi="Bookman Old Style"/>
          <w:b/>
          <w:bCs/>
          <w:sz w:val="24"/>
          <w:szCs w:val="24"/>
          <w:lang w:val="es-ES"/>
        </w:rPr>
        <w:t xml:space="preserve">por </w:t>
      </w:r>
      <w:r w:rsidRPr="0030393A">
        <w:rPr>
          <w:rFonts w:ascii="Bookman Old Style" w:hAnsi="Bookman Old Style"/>
          <w:b/>
          <w:bCs/>
          <w:sz w:val="24"/>
          <w:szCs w:val="24"/>
          <w:lang w:val="es-ES"/>
        </w:rPr>
        <w:t xml:space="preserve">cada Fuente de Suministro obtenido en el literal </w:t>
      </w:r>
      <w:r w:rsidR="000D5D48">
        <w:rPr>
          <w:rFonts w:ascii="Bookman Old Style" w:hAnsi="Bookman Old Style"/>
          <w:b/>
          <w:bCs/>
          <w:sz w:val="24"/>
          <w:szCs w:val="24"/>
          <w:lang w:val="es-ES"/>
        </w:rPr>
        <w:t>e</w:t>
      </w:r>
      <w:r w:rsidRPr="0030393A">
        <w:rPr>
          <w:rFonts w:ascii="Bookman Old Style" w:hAnsi="Bookman Old Style"/>
          <w:b/>
          <w:bCs/>
          <w:sz w:val="24"/>
          <w:szCs w:val="24"/>
          <w:lang w:val="es-ES"/>
        </w:rPr>
        <w:t>. anterior</w:t>
      </w:r>
      <w:r w:rsidR="00535593" w:rsidRPr="0030393A">
        <w:rPr>
          <w:rFonts w:ascii="Bookman Old Style" w:hAnsi="Bookman Old Style"/>
          <w:b/>
          <w:bCs/>
          <w:sz w:val="24"/>
          <w:szCs w:val="24"/>
          <w:lang w:val="es-ES"/>
        </w:rPr>
        <w:t>,</w:t>
      </w:r>
      <w:r w:rsidRPr="0030393A">
        <w:rPr>
          <w:rFonts w:ascii="Bookman Old Style" w:hAnsi="Bookman Old Style"/>
          <w:b/>
          <w:bCs/>
          <w:sz w:val="24"/>
          <w:szCs w:val="24"/>
          <w:lang w:val="es-ES"/>
        </w:rPr>
        <w:t xml:space="preserve"> por</w:t>
      </w:r>
      <w:r w:rsidR="006A51F8" w:rsidRPr="0030393A">
        <w:rPr>
          <w:rFonts w:ascii="Bookman Old Style" w:hAnsi="Bookman Old Style"/>
          <w:b/>
          <w:bCs/>
          <w:sz w:val="24"/>
          <w:szCs w:val="24"/>
          <w:lang w:val="es-ES"/>
        </w:rPr>
        <w:t xml:space="preserve"> la cantidad reque</w:t>
      </w:r>
      <w:r w:rsidR="002646A5" w:rsidRPr="0030393A">
        <w:rPr>
          <w:rFonts w:ascii="Bookman Old Style" w:hAnsi="Bookman Old Style"/>
          <w:b/>
          <w:bCs/>
          <w:sz w:val="24"/>
          <w:szCs w:val="24"/>
          <w:lang w:val="es-ES"/>
        </w:rPr>
        <w:t>ri</w:t>
      </w:r>
      <w:r w:rsidR="006A51F8" w:rsidRPr="0030393A">
        <w:rPr>
          <w:rFonts w:ascii="Bookman Old Style" w:hAnsi="Bookman Old Style"/>
          <w:b/>
          <w:bCs/>
          <w:sz w:val="24"/>
          <w:szCs w:val="24"/>
          <w:lang w:val="es-ES"/>
        </w:rPr>
        <w:t>da para aten</w:t>
      </w:r>
      <w:r w:rsidR="00BE2D00" w:rsidRPr="0030393A">
        <w:rPr>
          <w:rFonts w:ascii="Bookman Old Style" w:hAnsi="Bookman Old Style"/>
          <w:b/>
          <w:bCs/>
          <w:sz w:val="24"/>
          <w:szCs w:val="24"/>
          <w:lang w:val="es-ES"/>
        </w:rPr>
        <w:t>d</w:t>
      </w:r>
      <w:r w:rsidR="006A51F8" w:rsidRPr="0030393A">
        <w:rPr>
          <w:rFonts w:ascii="Bookman Old Style" w:hAnsi="Bookman Old Style"/>
          <w:b/>
          <w:bCs/>
          <w:sz w:val="24"/>
          <w:szCs w:val="24"/>
          <w:lang w:val="es-ES"/>
        </w:rPr>
        <w:t xml:space="preserve">er la demanda esencial declarada por cada comprador, de acuerdo con lo informado en el literal </w:t>
      </w:r>
      <w:r w:rsidR="000D5D48">
        <w:rPr>
          <w:rFonts w:ascii="Bookman Old Style" w:hAnsi="Bookman Old Style"/>
          <w:b/>
          <w:bCs/>
          <w:sz w:val="24"/>
          <w:szCs w:val="24"/>
          <w:lang w:val="es-ES"/>
        </w:rPr>
        <w:t>f</w:t>
      </w:r>
      <w:r w:rsidR="006A51F8" w:rsidRPr="0030393A">
        <w:rPr>
          <w:rFonts w:ascii="Bookman Old Style" w:hAnsi="Bookman Old Style"/>
          <w:b/>
          <w:bCs/>
          <w:sz w:val="24"/>
          <w:szCs w:val="24"/>
          <w:lang w:val="es-ES"/>
        </w:rPr>
        <w:t xml:space="preserve">. del </w:t>
      </w:r>
      <w:r w:rsidR="009C02E5">
        <w:rPr>
          <w:rFonts w:ascii="Bookman Old Style" w:hAnsi="Bookman Old Style"/>
          <w:b/>
          <w:bCs/>
          <w:sz w:val="24"/>
          <w:szCs w:val="24"/>
          <w:lang w:val="es-ES"/>
        </w:rPr>
        <w:t>a</w:t>
      </w:r>
      <w:r w:rsidR="006A51F8" w:rsidRPr="0030393A">
        <w:rPr>
          <w:rFonts w:ascii="Bookman Old Style" w:hAnsi="Bookman Old Style"/>
          <w:b/>
          <w:bCs/>
          <w:sz w:val="24"/>
          <w:szCs w:val="24"/>
          <w:lang w:val="es-ES"/>
        </w:rPr>
        <w:t>rtículo 21 de la presente resolución</w:t>
      </w:r>
      <w:r w:rsidRPr="0030393A">
        <w:rPr>
          <w:rFonts w:ascii="Bookman Old Style" w:hAnsi="Bookman Old Style"/>
          <w:b/>
          <w:bCs/>
          <w:sz w:val="24"/>
          <w:szCs w:val="24"/>
          <w:lang w:val="es-ES"/>
        </w:rPr>
        <w:t xml:space="preserve">. </w:t>
      </w:r>
      <w:r w:rsidR="004B3F94" w:rsidRPr="0030393A">
        <w:rPr>
          <w:rFonts w:ascii="Bookman Old Style" w:hAnsi="Bookman Old Style"/>
          <w:b/>
          <w:bCs/>
          <w:sz w:val="24"/>
          <w:szCs w:val="24"/>
          <w:lang w:val="es-ES"/>
        </w:rPr>
        <w:t>Así:</w:t>
      </w:r>
    </w:p>
    <w:p w14:paraId="36F4328C" w14:textId="77777777" w:rsidR="004B3F94" w:rsidRPr="0030393A" w:rsidRDefault="004B3F94" w:rsidP="006461EF">
      <w:pPr>
        <w:pStyle w:val="Prrafodelista"/>
        <w:rPr>
          <w:rFonts w:ascii="Bookman Old Style" w:hAnsi="Bookman Old Style"/>
          <w:b/>
          <w:bCs/>
          <w:sz w:val="24"/>
          <w:szCs w:val="24"/>
          <w:lang w:val="es-ES"/>
        </w:rPr>
      </w:pPr>
    </w:p>
    <w:p w14:paraId="21A2D304" w14:textId="7B35CC8C" w:rsidR="002C2677" w:rsidRPr="00D4238E" w:rsidRDefault="00FB7B28" w:rsidP="002D5416">
      <w:pPr>
        <w:ind w:left="709"/>
        <w:jc w:val="both"/>
        <w:rPr>
          <w:rFonts w:ascii="Bookman Old Style" w:hAnsi="Bookman Old Style"/>
          <w:b/>
          <w:bCs/>
          <w:lang w:eastAsia="x-none"/>
        </w:rPr>
      </w:pPr>
      <m:oMathPara>
        <m:oMath>
          <m:sSub>
            <m:sSubPr>
              <m:ctrlPr>
                <w:rPr>
                  <w:rFonts w:ascii="Cambria Math" w:hAnsi="Cambria Math"/>
                  <w:b/>
                  <w:bCs/>
                  <w:i/>
                  <w:lang w:eastAsia="x-none"/>
                </w:rPr>
              </m:ctrlPr>
            </m:sSubPr>
            <m:e>
              <m:r>
                <m:rPr>
                  <m:sty m:val="bi"/>
                </m:rPr>
                <w:rPr>
                  <w:rFonts w:ascii="Cambria Math" w:hAnsi="Cambria Math"/>
                </w:rPr>
                <m:t>CAEDS</m:t>
              </m:r>
            </m:e>
            <m:sub>
              <m:r>
                <m:rPr>
                  <m:sty m:val="bi"/>
                </m:rPr>
                <w:rPr>
                  <w:rFonts w:ascii="Cambria Math" w:hAnsi="Cambria Math"/>
                </w:rPr>
                <m:t>j,f,te,pr,i</m:t>
              </m:r>
            </m:sub>
          </m:sSub>
          <m:r>
            <m:rPr>
              <m:sty m:val="bi"/>
            </m:rPr>
            <w:rPr>
              <w:rFonts w:ascii="Cambria Math" w:hAnsi="Cambria Math"/>
              <w:lang w:eastAsia="x-none"/>
            </w:rPr>
            <m:t xml:space="preserve">= </m:t>
          </m:r>
          <m:sSub>
            <m:sSubPr>
              <m:ctrlPr>
                <w:rPr>
                  <w:rFonts w:ascii="Cambria Math" w:hAnsi="Cambria Math"/>
                  <w:b/>
                  <w:bCs/>
                  <w:i/>
                  <w:lang w:eastAsia="x-none"/>
                </w:rPr>
              </m:ctrlPr>
            </m:sSubPr>
            <m:e>
              <m:r>
                <m:rPr>
                  <m:sty m:val="bi"/>
                </m:rPr>
                <w:rPr>
                  <w:rFonts w:ascii="Cambria Math" w:hAnsi="Cambria Math"/>
                </w:rPr>
                <m:t>Ppventa</m:t>
              </m:r>
            </m:e>
            <m:sub>
              <m:r>
                <m:rPr>
                  <m:sty m:val="bi"/>
                </m:rPr>
                <w:rPr>
                  <w:rFonts w:ascii="Cambria Math" w:hAnsi="Cambria Math"/>
                </w:rPr>
                <m:t xml:space="preserve">i,f,te,pr </m:t>
              </m:r>
            </m:sub>
          </m:sSub>
          <m:r>
            <m:rPr>
              <m:sty m:val="bi"/>
            </m:rPr>
            <w:rPr>
              <w:rFonts w:ascii="Cambria Math" w:hAnsi="Cambria Math"/>
              <w:lang w:eastAsia="x-none"/>
            </w:rPr>
            <m:t>×</m:t>
          </m:r>
          <m:sSub>
            <m:sSubPr>
              <m:ctrlPr>
                <w:rPr>
                  <w:rFonts w:ascii="Cambria Math" w:hAnsi="Cambria Math"/>
                  <w:b/>
                  <w:bCs/>
                  <w:i/>
                  <w:lang w:eastAsia="x-none"/>
                </w:rPr>
              </m:ctrlPr>
            </m:sSubPr>
            <m:e>
              <m:r>
                <m:rPr>
                  <m:sty m:val="bi"/>
                </m:rPr>
                <w:rPr>
                  <w:rFonts w:ascii="Cambria Math" w:hAnsi="Cambria Math"/>
                </w:rPr>
                <m:t>CDED</m:t>
              </m:r>
            </m:e>
            <m:sub>
              <m:r>
                <m:rPr>
                  <m:sty m:val="bi"/>
                </m:rPr>
                <w:rPr>
                  <w:rFonts w:ascii="Cambria Math" w:hAnsi="Cambria Math"/>
                </w:rPr>
                <m:t>j,te,pr</m:t>
              </m:r>
            </m:sub>
          </m:sSub>
        </m:oMath>
      </m:oMathPara>
    </w:p>
    <w:p w14:paraId="59F50275" w14:textId="276C160D" w:rsidR="00D4238E" w:rsidRDefault="00D4238E" w:rsidP="002D5416">
      <w:pPr>
        <w:ind w:left="709"/>
        <w:jc w:val="both"/>
        <w:rPr>
          <w:rFonts w:ascii="Bookman Old Style" w:hAnsi="Bookman Old Style"/>
          <w:b/>
          <w:bCs/>
          <w:lang w:eastAsia="x-none"/>
        </w:rPr>
      </w:pPr>
    </w:p>
    <w:p w14:paraId="7896B880" w14:textId="1C09C275" w:rsidR="00D4238E" w:rsidRPr="0030393A" w:rsidRDefault="00D4238E" w:rsidP="002D5416">
      <w:pPr>
        <w:ind w:left="709"/>
        <w:jc w:val="both"/>
        <w:rPr>
          <w:rFonts w:ascii="Bookman Old Style" w:hAnsi="Bookman Old Style"/>
          <w:b/>
          <w:bCs/>
          <w:lang w:eastAsia="x-none"/>
        </w:rPr>
      </w:pPr>
      <w:r>
        <w:rPr>
          <w:rFonts w:ascii="Bookman Old Style" w:hAnsi="Bookman Old Style"/>
          <w:b/>
          <w:bCs/>
          <w:lang w:eastAsia="x-none"/>
        </w:rPr>
        <w:t>Donde:</w:t>
      </w:r>
    </w:p>
    <w:p w14:paraId="31520B67" w14:textId="77777777" w:rsidR="00F90F09" w:rsidRPr="0030393A" w:rsidRDefault="00F90F09" w:rsidP="004B3F94">
      <w:pPr>
        <w:jc w:val="both"/>
        <w:rPr>
          <w:rFonts w:ascii="Bookman Old Style" w:hAnsi="Bookman Old Style"/>
          <w:b/>
          <w:bCs/>
        </w:rPr>
      </w:pPr>
    </w:p>
    <w:p w14:paraId="4C771A03" w14:textId="5FDE7E28" w:rsidR="00F90F09" w:rsidRPr="0030393A" w:rsidRDefault="00FB7B28" w:rsidP="00F90F09">
      <w:pPr>
        <w:ind w:left="2552" w:hanging="1843"/>
        <w:jc w:val="both"/>
        <w:rPr>
          <w:rFonts w:ascii="Bookman Old Style" w:hAnsi="Bookman Old Style"/>
          <w:b/>
          <w:bCs/>
          <w:i/>
          <w:iCs/>
          <w:lang w:eastAsia="x-none"/>
        </w:rPr>
      </w:pPr>
      <m:oMath>
        <m:sSub>
          <m:sSubPr>
            <m:ctrlPr>
              <w:rPr>
                <w:rFonts w:ascii="Cambria Math" w:hAnsi="Cambria Math"/>
                <w:b/>
                <w:bCs/>
                <w:i/>
                <w:lang w:eastAsia="x-none"/>
              </w:rPr>
            </m:ctrlPr>
          </m:sSubPr>
          <m:e>
            <m:r>
              <m:rPr>
                <m:sty m:val="bi"/>
              </m:rPr>
              <w:rPr>
                <w:rFonts w:ascii="Cambria Math" w:hAnsi="Cambria Math"/>
              </w:rPr>
              <m:t>CAEDS</m:t>
            </m:r>
          </m:e>
          <m:sub>
            <m:r>
              <m:rPr>
                <m:sty m:val="bi"/>
              </m:rPr>
              <w:rPr>
                <w:rFonts w:ascii="Cambria Math" w:hAnsi="Cambria Math"/>
              </w:rPr>
              <m:t>j,f,te,pr,i</m:t>
            </m:r>
          </m:sub>
        </m:sSub>
        <m:r>
          <m:rPr>
            <m:sty m:val="bi"/>
          </m:rPr>
          <w:rPr>
            <w:rFonts w:ascii="Cambria Math" w:hAnsi="Cambria Math"/>
            <w:lang w:eastAsia="x-none"/>
          </w:rPr>
          <m:t>:</m:t>
        </m:r>
      </m:oMath>
      <w:r w:rsidR="00F90F09" w:rsidRPr="0030393A">
        <w:rPr>
          <w:rFonts w:ascii="Bookman Old Style" w:hAnsi="Bookman Old Style"/>
          <w:b/>
          <w:bCs/>
          <w:lang w:eastAsia="x-none"/>
        </w:rPr>
        <w:t xml:space="preserve"> </w:t>
      </w:r>
      <w:r w:rsidR="00F90F09" w:rsidRPr="0030393A">
        <w:rPr>
          <w:rFonts w:ascii="Bookman Old Style" w:hAnsi="Bookman Old Style"/>
          <w:b/>
          <w:bCs/>
          <w:lang w:eastAsia="x-none"/>
        </w:rPr>
        <w:tab/>
        <w:t xml:space="preserve">Cantidad de compra asignada para la demanda esencial del comprador </w:t>
      </w:r>
      <w:r w:rsidR="00F90F09" w:rsidRPr="0030393A">
        <w:rPr>
          <w:rFonts w:ascii="Bookman Old Style" w:hAnsi="Bookman Old Style"/>
          <w:b/>
          <w:bCs/>
          <w:i/>
          <w:iCs/>
          <w:lang w:eastAsia="x-none"/>
        </w:rPr>
        <w:t>j</w:t>
      </w:r>
      <w:r w:rsidR="00F90F09" w:rsidRPr="0030393A">
        <w:rPr>
          <w:rFonts w:ascii="Bookman Old Style" w:hAnsi="Bookman Old Style"/>
          <w:b/>
          <w:bCs/>
          <w:lang w:eastAsia="x-none"/>
        </w:rPr>
        <w:t xml:space="preserve">, </w:t>
      </w:r>
      <w:r w:rsidR="00202E3B" w:rsidRPr="0030393A">
        <w:rPr>
          <w:rFonts w:ascii="Bookman Old Style" w:hAnsi="Bookman Old Style"/>
          <w:b/>
          <w:bCs/>
          <w:lang w:eastAsia="x-none"/>
        </w:rPr>
        <w:t xml:space="preserve">para la fuente de suministro </w:t>
      </w:r>
      <w:r w:rsidR="00202E3B" w:rsidRPr="0030393A">
        <w:rPr>
          <w:rFonts w:ascii="Bookman Old Style" w:hAnsi="Bookman Old Style"/>
          <w:b/>
          <w:bCs/>
          <w:i/>
          <w:iCs/>
          <w:lang w:eastAsia="x-none"/>
        </w:rPr>
        <w:t xml:space="preserve">f, </w:t>
      </w:r>
      <w:r w:rsidR="00F90F09" w:rsidRPr="0030393A">
        <w:rPr>
          <w:rFonts w:ascii="Bookman Old Style" w:hAnsi="Bookman Old Style"/>
          <w:b/>
          <w:bCs/>
          <w:lang w:eastAsia="x-none"/>
        </w:rPr>
        <w:t xml:space="preserve">para el </w:t>
      </w:r>
      <w:r w:rsidR="00F90F09" w:rsidRPr="0030393A">
        <w:rPr>
          <w:rFonts w:ascii="Bookman Old Style" w:hAnsi="Bookman Old Style"/>
          <w:b/>
          <w:bCs/>
          <w:lang w:eastAsia="x-none"/>
        </w:rPr>
        <w:lastRenderedPageBreak/>
        <w:t xml:space="preserve">trimestre estándar </w:t>
      </w:r>
      <w:r w:rsidR="00F90F09" w:rsidRPr="0030393A">
        <w:rPr>
          <w:rFonts w:ascii="Bookman Old Style" w:hAnsi="Bookman Old Style"/>
          <w:b/>
          <w:bCs/>
          <w:i/>
          <w:iCs/>
          <w:lang w:eastAsia="x-none"/>
        </w:rPr>
        <w:t>te,</w:t>
      </w:r>
      <w:r w:rsidR="00F90F09" w:rsidRPr="0030393A">
        <w:rPr>
          <w:rFonts w:ascii="Bookman Old Style" w:hAnsi="Bookman Old Style"/>
          <w:b/>
          <w:bCs/>
          <w:lang w:eastAsia="x-none"/>
        </w:rPr>
        <w:t xml:space="preserve"> en el punto de referencia </w:t>
      </w:r>
      <w:proofErr w:type="spellStart"/>
      <w:r w:rsidR="00F90F09" w:rsidRPr="0030393A">
        <w:rPr>
          <w:rFonts w:ascii="Bookman Old Style" w:hAnsi="Bookman Old Style"/>
          <w:b/>
          <w:bCs/>
          <w:i/>
          <w:iCs/>
          <w:lang w:eastAsia="x-none"/>
        </w:rPr>
        <w:t>pr</w:t>
      </w:r>
      <w:proofErr w:type="spellEnd"/>
      <w:r w:rsidR="00F90F09" w:rsidRPr="0030393A">
        <w:rPr>
          <w:rFonts w:ascii="Bookman Old Style" w:hAnsi="Bookman Old Style"/>
          <w:b/>
          <w:bCs/>
          <w:i/>
          <w:iCs/>
          <w:lang w:eastAsia="x-none"/>
        </w:rPr>
        <w:t xml:space="preserve">, </w:t>
      </w:r>
      <w:r w:rsidR="00F90F09" w:rsidRPr="0030393A">
        <w:rPr>
          <w:rFonts w:ascii="Bookman Old Style" w:hAnsi="Bookman Old Style"/>
          <w:b/>
          <w:bCs/>
          <w:lang w:eastAsia="x-none"/>
        </w:rPr>
        <w:t xml:space="preserve">con el vendedor </w:t>
      </w:r>
      <w:r w:rsidR="00F90F09" w:rsidRPr="0030393A">
        <w:rPr>
          <w:rFonts w:ascii="Bookman Old Style" w:hAnsi="Bookman Old Style"/>
          <w:b/>
          <w:bCs/>
          <w:i/>
          <w:iCs/>
          <w:lang w:eastAsia="x-none"/>
        </w:rPr>
        <w:t>i</w:t>
      </w:r>
      <w:r w:rsidR="00202E3B" w:rsidRPr="0030393A">
        <w:rPr>
          <w:rFonts w:ascii="Bookman Old Style" w:hAnsi="Bookman Old Style"/>
          <w:b/>
          <w:bCs/>
          <w:lang w:eastAsia="x-none"/>
        </w:rPr>
        <w:t>.</w:t>
      </w:r>
      <w:r w:rsidR="00F90F09" w:rsidRPr="0030393A">
        <w:rPr>
          <w:rFonts w:ascii="Bookman Old Style" w:hAnsi="Bookman Old Style"/>
          <w:b/>
          <w:bCs/>
          <w:lang w:eastAsia="x-none"/>
        </w:rPr>
        <w:t xml:space="preserve"> </w:t>
      </w:r>
    </w:p>
    <w:p w14:paraId="48740F2E" w14:textId="77777777" w:rsidR="004B3F94" w:rsidRPr="0030393A" w:rsidRDefault="004B3F94" w:rsidP="006461EF">
      <w:pPr>
        <w:jc w:val="both"/>
        <w:rPr>
          <w:rFonts w:ascii="Bookman Old Style" w:hAnsi="Bookman Old Style"/>
          <w:b/>
          <w:bCs/>
        </w:rPr>
      </w:pPr>
    </w:p>
    <w:p w14:paraId="7438E8C1" w14:textId="11D97080"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Si las cantidades totales de PTDVF y CIDVF son inferiores a las cantidades totales reportadas por los compradores para atender la Demanda Esencial, el</w:t>
      </w:r>
      <w:r w:rsidRPr="0030393A">
        <w:rPr>
          <w:rFonts w:ascii="Bookman Old Style" w:hAnsi="Bookman Old Style"/>
          <w:b/>
          <w:sz w:val="24"/>
          <w:szCs w:val="24"/>
          <w:lang w:val="es-ES"/>
        </w:rPr>
        <w:t xml:space="preserve"> </w:t>
      </w:r>
      <w:r w:rsidR="0022131A" w:rsidRPr="0030393A">
        <w:rPr>
          <w:rFonts w:ascii="Bookman Old Style" w:hAnsi="Bookman Old Style"/>
          <w:b/>
          <w:sz w:val="24"/>
          <w:szCs w:val="24"/>
          <w:lang w:val="es-ES"/>
        </w:rPr>
        <w:t>Gestor</w:t>
      </w:r>
      <w:r w:rsidRPr="0030393A">
        <w:rPr>
          <w:rFonts w:ascii="Bookman Old Style" w:hAnsi="Bookman Old Style"/>
          <w:b/>
          <w:bCs/>
          <w:sz w:val="24"/>
          <w:szCs w:val="24"/>
          <w:lang w:val="es-ES"/>
        </w:rPr>
        <w:t xml:space="preserve"> del Mercado distribuirá las cantidades para atender la Demanda Esencial por </w:t>
      </w:r>
      <w:r w:rsidR="00F74838" w:rsidRPr="0030393A">
        <w:rPr>
          <w:rFonts w:ascii="Bookman Old Style" w:hAnsi="Bookman Old Style"/>
          <w:b/>
          <w:bCs/>
          <w:sz w:val="24"/>
          <w:szCs w:val="24"/>
          <w:lang w:val="es-ES"/>
        </w:rPr>
        <w:t xml:space="preserve">Punto de Entrega de </w:t>
      </w:r>
      <w:r w:rsidRPr="0030393A">
        <w:rPr>
          <w:rFonts w:ascii="Bookman Old Style" w:hAnsi="Bookman Old Style"/>
          <w:b/>
          <w:bCs/>
          <w:sz w:val="24"/>
          <w:szCs w:val="24"/>
          <w:lang w:val="es-ES"/>
        </w:rPr>
        <w:t>cada Fuente de Suministro y cada comprador</w:t>
      </w:r>
      <w:r w:rsidR="006A5A29" w:rsidRPr="0030393A">
        <w:rPr>
          <w:rFonts w:ascii="Bookman Old Style" w:hAnsi="Bookman Old Style"/>
          <w:b/>
          <w:bCs/>
          <w:sz w:val="24"/>
          <w:szCs w:val="24"/>
          <w:lang w:val="es-ES"/>
        </w:rPr>
        <w:t>. Para lo anterior el Gestor del Mercado multiplicará</w:t>
      </w:r>
      <w:r w:rsidRPr="0030393A">
        <w:rPr>
          <w:rFonts w:ascii="Bookman Old Style" w:hAnsi="Bookman Old Style"/>
          <w:b/>
          <w:bCs/>
          <w:sz w:val="24"/>
          <w:szCs w:val="24"/>
          <w:lang w:val="es-ES"/>
        </w:rPr>
        <w:t xml:space="preserve"> </w:t>
      </w:r>
      <w:r w:rsidR="006A5A29" w:rsidRPr="0030393A">
        <w:rPr>
          <w:rFonts w:ascii="Bookman Old Style" w:hAnsi="Bookman Old Style"/>
          <w:b/>
          <w:bCs/>
          <w:sz w:val="24"/>
          <w:szCs w:val="24"/>
          <w:lang w:val="es-ES"/>
        </w:rPr>
        <w:t xml:space="preserve">la suma de las cantidades de PTDVF y CIDVF de una misma fuente de suministro, </w:t>
      </w:r>
      <w:r w:rsidRPr="0030393A">
        <w:rPr>
          <w:rFonts w:ascii="Bookman Old Style" w:hAnsi="Bookman Old Style"/>
          <w:b/>
          <w:bCs/>
          <w:sz w:val="24"/>
          <w:szCs w:val="24"/>
          <w:lang w:val="es-ES"/>
        </w:rPr>
        <w:t>por el porcentaje de participación de cada comprador obtenido en el literal d. anterior</w:t>
      </w:r>
      <w:r w:rsidR="003A4E85" w:rsidRPr="0030393A">
        <w:rPr>
          <w:rFonts w:ascii="Bookman Old Style" w:hAnsi="Bookman Old Style"/>
          <w:b/>
          <w:bCs/>
          <w:sz w:val="24"/>
          <w:szCs w:val="24"/>
          <w:lang w:val="es-ES"/>
        </w:rPr>
        <w:t>, así:</w:t>
      </w:r>
      <w:r w:rsidRPr="0030393A">
        <w:rPr>
          <w:rFonts w:ascii="Bookman Old Style" w:hAnsi="Bookman Old Style"/>
          <w:b/>
          <w:bCs/>
          <w:sz w:val="24"/>
          <w:szCs w:val="24"/>
          <w:lang w:val="es-ES"/>
        </w:rPr>
        <w:t xml:space="preserve"> </w:t>
      </w:r>
    </w:p>
    <w:p w14:paraId="4646185E" w14:textId="469C8896" w:rsidR="0006302B" w:rsidRPr="0030393A" w:rsidRDefault="0006302B" w:rsidP="00202051">
      <w:pPr>
        <w:pStyle w:val="Prrafodelista"/>
        <w:ind w:left="709" w:hanging="283"/>
        <w:jc w:val="both"/>
        <w:rPr>
          <w:rFonts w:ascii="Bookman Old Style" w:hAnsi="Bookman Old Style"/>
          <w:b/>
          <w:bCs/>
          <w:sz w:val="24"/>
          <w:szCs w:val="24"/>
          <w:lang w:val="es-ES"/>
        </w:rPr>
      </w:pPr>
    </w:p>
    <w:p w14:paraId="174F4E83" w14:textId="09A8F0CA" w:rsidR="003A4E85" w:rsidRPr="0030393A" w:rsidRDefault="00FB7B28" w:rsidP="003A4E85">
      <w:pPr>
        <w:jc w:val="both"/>
        <w:rPr>
          <w:rFonts w:ascii="Bookman Old Style" w:hAnsi="Bookman Old Style"/>
          <w:b/>
          <w:bCs/>
          <w:lang w:eastAsia="x-none"/>
        </w:rPr>
      </w:pPr>
      <m:oMathPara>
        <m:oMath>
          <m:sSub>
            <m:sSubPr>
              <m:ctrlPr>
                <w:rPr>
                  <w:rFonts w:ascii="Cambria Math" w:hAnsi="Cambria Math"/>
                  <w:b/>
                  <w:bCs/>
                  <w:i/>
                  <w:lang w:eastAsia="x-none"/>
                </w:rPr>
              </m:ctrlPr>
            </m:sSubPr>
            <m:e>
              <m:r>
                <m:rPr>
                  <m:sty m:val="bi"/>
                </m:rPr>
                <w:rPr>
                  <w:rFonts w:ascii="Cambria Math" w:hAnsi="Cambria Math"/>
                </w:rPr>
                <m:t>CAEDI</m:t>
              </m:r>
            </m:e>
            <m:sub>
              <m:r>
                <m:rPr>
                  <m:sty m:val="bi"/>
                </m:rPr>
                <w:rPr>
                  <w:rFonts w:ascii="Cambria Math" w:hAnsi="Cambria Math"/>
                </w:rPr>
                <m:t>j,f,te,pr,i</m:t>
              </m:r>
            </m:sub>
          </m:sSub>
          <m:r>
            <m:rPr>
              <m:sty m:val="bi"/>
            </m:rPr>
            <w:rPr>
              <w:rFonts w:ascii="Cambria Math" w:hAnsi="Cambria Math"/>
              <w:lang w:eastAsia="x-none"/>
            </w:rPr>
            <m:t xml:space="preserve">= </m:t>
          </m:r>
          <m:d>
            <m:dPr>
              <m:ctrlPr>
                <w:rPr>
                  <w:rFonts w:ascii="Cambria Math" w:hAnsi="Cambria Math"/>
                  <w:b/>
                  <w:bCs/>
                  <w:i/>
                  <w:lang w:eastAsia="x-none"/>
                </w:rPr>
              </m:ctrlPr>
            </m:dPr>
            <m:e>
              <m:sSub>
                <m:sSubPr>
                  <m:ctrlPr>
                    <w:rPr>
                      <w:rFonts w:ascii="Cambria Math" w:hAnsi="Cambria Math"/>
                      <w:b/>
                      <w:bCs/>
                      <w:i/>
                      <w:lang w:eastAsia="x-none"/>
                    </w:rPr>
                  </m:ctrlPr>
                </m:sSubPr>
                <m:e>
                  <m:r>
                    <m:rPr>
                      <m:sty m:val="bi"/>
                    </m:rPr>
                    <w:rPr>
                      <w:rFonts w:ascii="Cambria Math" w:hAnsi="Cambria Math"/>
                    </w:rPr>
                    <m:t>PTDVF</m:t>
                  </m:r>
                </m:e>
                <m:sub>
                  <m:r>
                    <m:rPr>
                      <m:sty m:val="bi"/>
                    </m:rPr>
                    <w:rPr>
                      <w:rFonts w:ascii="Cambria Math" w:hAnsi="Cambria Math"/>
                    </w:rPr>
                    <m:t>i,f,te,pr</m:t>
                  </m:r>
                </m:sub>
              </m:sSub>
              <m:r>
                <m:rPr>
                  <m:sty m:val="bi"/>
                </m:rPr>
                <w:rPr>
                  <w:rFonts w:ascii="Cambria Math" w:hAnsi="Cambria Math"/>
                </w:rPr>
                <m:t xml:space="preserve">+ </m:t>
              </m:r>
              <m:sSub>
                <m:sSubPr>
                  <m:ctrlPr>
                    <w:rPr>
                      <w:rFonts w:ascii="Cambria Math" w:hAnsi="Cambria Math"/>
                      <w:b/>
                      <w:bCs/>
                      <w:i/>
                      <w:lang w:eastAsia="x-none"/>
                    </w:rPr>
                  </m:ctrlPr>
                </m:sSubPr>
                <m:e>
                  <m:r>
                    <m:rPr>
                      <m:sty m:val="bi"/>
                    </m:rPr>
                    <w:rPr>
                      <w:rFonts w:ascii="Cambria Math" w:hAnsi="Cambria Math"/>
                    </w:rPr>
                    <m:t>CIDVF</m:t>
                  </m:r>
                </m:e>
                <m:sub>
                  <m:r>
                    <m:rPr>
                      <m:sty m:val="bi"/>
                    </m:rPr>
                    <w:rPr>
                      <w:rFonts w:ascii="Cambria Math" w:hAnsi="Cambria Math"/>
                    </w:rPr>
                    <m:t>i,f,te,pr</m:t>
                  </m:r>
                </m:sub>
              </m:sSub>
            </m:e>
          </m:d>
          <m:r>
            <m:rPr>
              <m:sty m:val="bi"/>
            </m:rPr>
            <w:rPr>
              <w:rFonts w:ascii="Cambria Math" w:hAnsi="Cambria Math"/>
            </w:rPr>
            <m:t xml:space="preserve"> </m:t>
          </m:r>
          <m:r>
            <m:rPr>
              <m:sty m:val="bi"/>
            </m:rPr>
            <w:rPr>
              <w:rFonts w:ascii="Cambria Math" w:hAnsi="Cambria Math"/>
              <w:lang w:eastAsia="x-none"/>
            </w:rPr>
            <m:t>×</m:t>
          </m:r>
          <m:sSub>
            <m:sSubPr>
              <m:ctrlPr>
                <w:rPr>
                  <w:rFonts w:ascii="Cambria Math" w:hAnsi="Cambria Math"/>
                  <w:b/>
                  <w:bCs/>
                  <w:i/>
                  <w:lang w:eastAsia="x-none"/>
                </w:rPr>
              </m:ctrlPr>
            </m:sSubPr>
            <m:e>
              <m:r>
                <m:rPr>
                  <m:sty m:val="bi"/>
                </m:rPr>
                <w:rPr>
                  <w:rFonts w:ascii="Cambria Math" w:hAnsi="Cambria Math"/>
                </w:rPr>
                <m:t>PpDE</m:t>
              </m:r>
            </m:e>
            <m:sub>
              <m:r>
                <m:rPr>
                  <m:sty m:val="bi"/>
                </m:rPr>
                <w:rPr>
                  <w:rFonts w:ascii="Cambria Math" w:hAnsi="Cambria Math"/>
                </w:rPr>
                <m:t xml:space="preserve">j,te,pr </m:t>
              </m:r>
            </m:sub>
          </m:sSub>
        </m:oMath>
      </m:oMathPara>
    </w:p>
    <w:p w14:paraId="5883A931" w14:textId="77777777" w:rsidR="003A4E85" w:rsidRPr="0030393A" w:rsidRDefault="003A4E85" w:rsidP="003A4E85">
      <w:pPr>
        <w:jc w:val="both"/>
        <w:rPr>
          <w:rFonts w:ascii="Bookman Old Style" w:hAnsi="Bookman Old Style"/>
          <w:b/>
          <w:bCs/>
        </w:rPr>
      </w:pPr>
    </w:p>
    <w:p w14:paraId="515A9F61" w14:textId="247645E0" w:rsidR="000B5C30" w:rsidRDefault="000B5C30" w:rsidP="003A4E85">
      <w:pPr>
        <w:ind w:left="2552" w:hanging="1843"/>
        <w:jc w:val="both"/>
        <w:rPr>
          <w:rFonts w:ascii="Bookman Old Style" w:hAnsi="Bookman Old Style"/>
          <w:b/>
          <w:bCs/>
          <w:lang w:eastAsia="x-none"/>
        </w:rPr>
      </w:pPr>
      <w:r>
        <w:rPr>
          <w:rFonts w:ascii="Bookman Old Style" w:hAnsi="Bookman Old Style"/>
          <w:b/>
          <w:bCs/>
          <w:lang w:eastAsia="x-none"/>
        </w:rPr>
        <w:t>Donde:</w:t>
      </w:r>
    </w:p>
    <w:p w14:paraId="68635CAB" w14:textId="77777777" w:rsidR="000B5C30" w:rsidRDefault="000B5C30" w:rsidP="003A4E85">
      <w:pPr>
        <w:ind w:left="2552" w:hanging="1843"/>
        <w:jc w:val="both"/>
        <w:rPr>
          <w:rFonts w:ascii="Bookman Old Style" w:hAnsi="Bookman Old Style"/>
          <w:b/>
          <w:bCs/>
          <w:lang w:eastAsia="x-none"/>
        </w:rPr>
      </w:pPr>
    </w:p>
    <w:p w14:paraId="4DFEA015" w14:textId="7BCADD70" w:rsidR="003A4E85" w:rsidRPr="0030393A" w:rsidRDefault="00FB7B28" w:rsidP="003A4E85">
      <w:pPr>
        <w:ind w:left="2552" w:hanging="1843"/>
        <w:jc w:val="both"/>
        <w:rPr>
          <w:rFonts w:ascii="Bookman Old Style" w:hAnsi="Bookman Old Style"/>
          <w:b/>
          <w:bCs/>
          <w:i/>
          <w:iCs/>
          <w:lang w:eastAsia="x-none"/>
        </w:rPr>
      </w:pPr>
      <m:oMath>
        <m:sSub>
          <m:sSubPr>
            <m:ctrlPr>
              <w:rPr>
                <w:rFonts w:ascii="Cambria Math" w:hAnsi="Cambria Math"/>
                <w:b/>
                <w:bCs/>
                <w:i/>
                <w:lang w:eastAsia="x-none"/>
              </w:rPr>
            </m:ctrlPr>
          </m:sSubPr>
          <m:e>
            <m:r>
              <m:rPr>
                <m:sty m:val="bi"/>
              </m:rPr>
              <w:rPr>
                <w:rFonts w:ascii="Cambria Math" w:hAnsi="Cambria Math"/>
              </w:rPr>
              <m:t>CAEDI</m:t>
            </m:r>
          </m:e>
          <m:sub>
            <m:r>
              <m:rPr>
                <m:sty m:val="bi"/>
              </m:rPr>
              <w:rPr>
                <w:rFonts w:ascii="Cambria Math" w:hAnsi="Cambria Math"/>
              </w:rPr>
              <m:t>j,f,te,pr,i</m:t>
            </m:r>
          </m:sub>
        </m:sSub>
        <m:r>
          <m:rPr>
            <m:sty m:val="bi"/>
          </m:rPr>
          <w:rPr>
            <w:rFonts w:ascii="Cambria Math" w:hAnsi="Cambria Math"/>
            <w:lang w:eastAsia="x-none"/>
          </w:rPr>
          <m:t>:</m:t>
        </m:r>
      </m:oMath>
      <w:r w:rsidR="003A4E85" w:rsidRPr="0030393A">
        <w:rPr>
          <w:rFonts w:ascii="Bookman Old Style" w:hAnsi="Bookman Old Style"/>
          <w:b/>
          <w:bCs/>
          <w:lang w:eastAsia="x-none"/>
        </w:rPr>
        <w:t xml:space="preserve"> </w:t>
      </w:r>
      <w:r w:rsidR="003A4E85" w:rsidRPr="0030393A">
        <w:rPr>
          <w:rFonts w:ascii="Bookman Old Style" w:hAnsi="Bookman Old Style"/>
          <w:b/>
          <w:bCs/>
          <w:lang w:eastAsia="x-none"/>
        </w:rPr>
        <w:tab/>
        <w:t xml:space="preserve">Cantidad de compra asignada para la demanda esencial del comprador </w:t>
      </w:r>
      <w:r w:rsidR="003A4E85" w:rsidRPr="0030393A">
        <w:rPr>
          <w:rFonts w:ascii="Bookman Old Style" w:hAnsi="Bookman Old Style"/>
          <w:b/>
          <w:bCs/>
          <w:i/>
          <w:iCs/>
          <w:lang w:eastAsia="x-none"/>
        </w:rPr>
        <w:t>j</w:t>
      </w:r>
      <w:r w:rsidR="003A4E85" w:rsidRPr="0030393A">
        <w:rPr>
          <w:rFonts w:ascii="Bookman Old Style" w:hAnsi="Bookman Old Style"/>
          <w:b/>
          <w:bCs/>
          <w:lang w:eastAsia="x-none"/>
        </w:rPr>
        <w:t xml:space="preserve">, </w:t>
      </w:r>
      <w:r w:rsidR="00840845" w:rsidRPr="0030393A">
        <w:rPr>
          <w:rFonts w:ascii="Bookman Old Style" w:hAnsi="Bookman Old Style"/>
          <w:b/>
          <w:bCs/>
          <w:lang w:eastAsia="x-none"/>
        </w:rPr>
        <w:t xml:space="preserve">para la fuente de suministro </w:t>
      </w:r>
      <w:r w:rsidR="00840845" w:rsidRPr="0030393A">
        <w:rPr>
          <w:rFonts w:ascii="Bookman Old Style" w:hAnsi="Bookman Old Style"/>
          <w:b/>
          <w:bCs/>
          <w:i/>
          <w:iCs/>
          <w:lang w:eastAsia="x-none"/>
        </w:rPr>
        <w:t xml:space="preserve">f, </w:t>
      </w:r>
      <w:r w:rsidR="003A4E85" w:rsidRPr="0030393A">
        <w:rPr>
          <w:rFonts w:ascii="Bookman Old Style" w:hAnsi="Bookman Old Style"/>
          <w:b/>
          <w:bCs/>
          <w:lang w:eastAsia="x-none"/>
        </w:rPr>
        <w:t xml:space="preserve">para el trimestre estándar </w:t>
      </w:r>
      <w:r w:rsidR="003A4E85" w:rsidRPr="0030393A">
        <w:rPr>
          <w:rFonts w:ascii="Bookman Old Style" w:hAnsi="Bookman Old Style"/>
          <w:b/>
          <w:bCs/>
          <w:i/>
          <w:iCs/>
          <w:lang w:eastAsia="x-none"/>
        </w:rPr>
        <w:t>te,</w:t>
      </w:r>
      <w:r w:rsidR="003A4E85" w:rsidRPr="0030393A">
        <w:rPr>
          <w:rFonts w:ascii="Bookman Old Style" w:hAnsi="Bookman Old Style"/>
          <w:b/>
          <w:bCs/>
          <w:lang w:eastAsia="x-none"/>
        </w:rPr>
        <w:t xml:space="preserve"> en el punto de referencia </w:t>
      </w:r>
      <w:proofErr w:type="spellStart"/>
      <w:r w:rsidR="003A4E85" w:rsidRPr="0030393A">
        <w:rPr>
          <w:rFonts w:ascii="Bookman Old Style" w:hAnsi="Bookman Old Style"/>
          <w:b/>
          <w:bCs/>
          <w:i/>
          <w:iCs/>
          <w:lang w:eastAsia="x-none"/>
        </w:rPr>
        <w:t>pr</w:t>
      </w:r>
      <w:proofErr w:type="spellEnd"/>
      <w:r w:rsidR="003A4E85" w:rsidRPr="0030393A">
        <w:rPr>
          <w:rFonts w:ascii="Bookman Old Style" w:hAnsi="Bookman Old Style"/>
          <w:b/>
          <w:bCs/>
          <w:i/>
          <w:iCs/>
          <w:lang w:eastAsia="x-none"/>
        </w:rPr>
        <w:t xml:space="preserve">, </w:t>
      </w:r>
      <w:r w:rsidR="003A4E85" w:rsidRPr="0030393A">
        <w:rPr>
          <w:rFonts w:ascii="Bookman Old Style" w:hAnsi="Bookman Old Style"/>
          <w:b/>
          <w:bCs/>
          <w:lang w:eastAsia="x-none"/>
        </w:rPr>
        <w:t xml:space="preserve">con el vendedor </w:t>
      </w:r>
      <w:r w:rsidR="003A4E85" w:rsidRPr="0030393A">
        <w:rPr>
          <w:rFonts w:ascii="Bookman Old Style" w:hAnsi="Bookman Old Style"/>
          <w:b/>
          <w:bCs/>
          <w:i/>
          <w:iCs/>
          <w:lang w:eastAsia="x-none"/>
        </w:rPr>
        <w:t>i</w:t>
      </w:r>
      <w:r w:rsidR="003A4E85" w:rsidRPr="0030393A">
        <w:rPr>
          <w:rFonts w:ascii="Bookman Old Style" w:hAnsi="Bookman Old Style"/>
          <w:b/>
          <w:bCs/>
          <w:lang w:eastAsia="x-none"/>
        </w:rPr>
        <w:t>.</w:t>
      </w:r>
    </w:p>
    <w:p w14:paraId="7E30B31D" w14:textId="7BAE4094" w:rsidR="003A4E85" w:rsidRPr="0030393A" w:rsidRDefault="003A4E85" w:rsidP="00202051">
      <w:pPr>
        <w:pStyle w:val="Prrafodelista"/>
        <w:ind w:left="709" w:hanging="283"/>
        <w:jc w:val="both"/>
        <w:rPr>
          <w:rFonts w:ascii="Bookman Old Style" w:hAnsi="Bookman Old Style"/>
          <w:b/>
          <w:bCs/>
          <w:sz w:val="24"/>
          <w:szCs w:val="24"/>
          <w:lang w:val="es-ES"/>
        </w:rPr>
      </w:pPr>
    </w:p>
    <w:p w14:paraId="0A21A97D" w14:textId="71CDE1DB" w:rsidR="0006302B" w:rsidRPr="0005081C"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El </w:t>
      </w:r>
      <w:r w:rsidR="0022131A" w:rsidRPr="0030393A">
        <w:rPr>
          <w:rFonts w:ascii="Bookman Old Style" w:hAnsi="Bookman Old Style"/>
          <w:b/>
          <w:sz w:val="24"/>
          <w:szCs w:val="24"/>
          <w:lang w:val="es-ES"/>
        </w:rPr>
        <w:t>Gestor</w:t>
      </w:r>
      <w:r w:rsidRPr="0030393A">
        <w:rPr>
          <w:rFonts w:ascii="Bookman Old Style" w:hAnsi="Bookman Old Style"/>
          <w:b/>
          <w:bCs/>
          <w:sz w:val="24"/>
          <w:szCs w:val="24"/>
          <w:lang w:val="es-ES"/>
        </w:rPr>
        <w:t xml:space="preserve"> del Mercado informará a cada vendedor y cada comprador que atiende Demanda Esencial la distribución de cantid</w:t>
      </w:r>
      <w:r w:rsidRPr="0005081C">
        <w:rPr>
          <w:rFonts w:ascii="Bookman Old Style" w:hAnsi="Bookman Old Style"/>
          <w:b/>
          <w:bCs/>
          <w:sz w:val="24"/>
          <w:szCs w:val="24"/>
          <w:lang w:val="es-ES"/>
        </w:rPr>
        <w:t xml:space="preserve">ades por </w:t>
      </w:r>
      <w:r w:rsidR="00CF1B9A" w:rsidRPr="0005081C">
        <w:rPr>
          <w:rFonts w:ascii="Bookman Old Style" w:hAnsi="Bookman Old Style"/>
          <w:b/>
          <w:bCs/>
          <w:sz w:val="24"/>
          <w:szCs w:val="24"/>
          <w:lang w:val="es-ES"/>
        </w:rPr>
        <w:t xml:space="preserve">Punto de Entrega </w:t>
      </w:r>
      <w:r w:rsidRPr="0005081C">
        <w:rPr>
          <w:rFonts w:ascii="Bookman Old Style" w:hAnsi="Bookman Old Style"/>
          <w:b/>
          <w:bCs/>
          <w:sz w:val="24"/>
          <w:szCs w:val="24"/>
          <w:lang w:val="es-ES"/>
        </w:rPr>
        <w:t>y Fuente de Suministro, obtenida en el Punto de Referencia,</w:t>
      </w:r>
      <w:r w:rsidRPr="0005081C">
        <w:rPr>
          <w:rFonts w:ascii="Bookman Old Style" w:hAnsi="Bookman Old Style"/>
          <w:b/>
          <w:bCs/>
          <w:sz w:val="24"/>
          <w:lang w:val="es-ES"/>
        </w:rPr>
        <w:t xml:space="preserve"> a más tardar el vigésimo día hábil del Trimestre Estándar</w:t>
      </w:r>
      <w:r w:rsidRPr="0005081C">
        <w:rPr>
          <w:rFonts w:ascii="Bookman Old Style" w:hAnsi="Bookman Old Style"/>
          <w:b/>
          <w:bCs/>
          <w:sz w:val="24"/>
          <w:szCs w:val="24"/>
          <w:lang w:val="es-ES"/>
        </w:rPr>
        <w:t xml:space="preserve"> </w:t>
      </w:r>
      <w:r w:rsidRPr="0005081C">
        <w:rPr>
          <w:rFonts w:ascii="Bookman Old Style" w:hAnsi="Bookman Old Style"/>
          <w:b/>
          <w:bCs/>
          <w:sz w:val="24"/>
          <w:lang w:val="es-ES"/>
        </w:rPr>
        <w:t>de negociación.</w:t>
      </w:r>
      <w:r w:rsidR="006A6739">
        <w:rPr>
          <w:rFonts w:ascii="Bookman Old Style" w:hAnsi="Bookman Old Style"/>
          <w:b/>
          <w:bCs/>
          <w:sz w:val="24"/>
          <w:lang w:val="es-ES"/>
        </w:rPr>
        <w:t xml:space="preserve"> </w:t>
      </w:r>
    </w:p>
    <w:p w14:paraId="486FE3FF" w14:textId="77777777" w:rsidR="0006302B" w:rsidRPr="0005081C" w:rsidRDefault="0006302B" w:rsidP="00202051">
      <w:pPr>
        <w:pStyle w:val="Prrafodelista"/>
        <w:ind w:left="709" w:hanging="283"/>
        <w:jc w:val="both"/>
        <w:rPr>
          <w:rFonts w:ascii="Bookman Old Style" w:hAnsi="Bookman Old Style"/>
          <w:b/>
          <w:bCs/>
          <w:sz w:val="24"/>
          <w:szCs w:val="24"/>
          <w:lang w:val="es-ES"/>
        </w:rPr>
      </w:pPr>
    </w:p>
    <w:p w14:paraId="078A8156" w14:textId="00C9BFC4" w:rsidR="0006302B" w:rsidRPr="0030393A" w:rsidRDefault="0006302B" w:rsidP="00A4790E">
      <w:pPr>
        <w:pStyle w:val="Prrafodelista"/>
        <w:numPr>
          <w:ilvl w:val="1"/>
          <w:numId w:val="98"/>
        </w:numPr>
        <w:ind w:left="709" w:hanging="283"/>
        <w:jc w:val="both"/>
        <w:rPr>
          <w:rFonts w:ascii="Bookman Old Style" w:hAnsi="Bookman Old Style"/>
          <w:b/>
          <w:bCs/>
          <w:sz w:val="24"/>
          <w:lang w:val="es-ES"/>
        </w:rPr>
      </w:pPr>
      <w:r w:rsidRPr="0005081C">
        <w:rPr>
          <w:rFonts w:ascii="Bookman Old Style" w:hAnsi="Bookman Old Style"/>
          <w:b/>
          <w:bCs/>
          <w:sz w:val="24"/>
          <w:szCs w:val="24"/>
          <w:lang w:val="es-ES"/>
        </w:rPr>
        <w:t xml:space="preserve">En el </w:t>
      </w:r>
      <w:r w:rsidRPr="0030393A">
        <w:rPr>
          <w:rFonts w:ascii="Bookman Old Style" w:hAnsi="Bookman Old Style"/>
          <w:b/>
          <w:bCs/>
          <w:sz w:val="24"/>
          <w:szCs w:val="24"/>
          <w:lang w:val="es-ES"/>
        </w:rPr>
        <w:t xml:space="preserve">caso de las Fuentes de Suministro que no son parte de las establecidas en el </w:t>
      </w:r>
      <w:r w:rsidR="006A1B9F">
        <w:rPr>
          <w:rFonts w:ascii="Bookman Old Style" w:hAnsi="Bookman Old Style"/>
          <w:b/>
          <w:bCs/>
          <w:sz w:val="24"/>
          <w:szCs w:val="24"/>
          <w:lang w:val="es-ES"/>
        </w:rPr>
        <w:t>a</w:t>
      </w:r>
      <w:r w:rsidRPr="0030393A">
        <w:rPr>
          <w:rFonts w:ascii="Bookman Old Style" w:hAnsi="Bookman Old Style"/>
          <w:b/>
          <w:bCs/>
          <w:sz w:val="24"/>
          <w:szCs w:val="24"/>
          <w:lang w:val="es-ES"/>
        </w:rPr>
        <w:t>rtículo 19 de la presente resolución, el</w:t>
      </w:r>
      <w:r w:rsidRPr="0030393A">
        <w:rPr>
          <w:rFonts w:ascii="Bookman Old Style" w:hAnsi="Bookman Old Style"/>
          <w:b/>
          <w:bCs/>
          <w:sz w:val="24"/>
          <w:lang w:val="es-ES"/>
        </w:rPr>
        <w:t xml:space="preserve"> precio del suministro del Trimestre Estándar</w:t>
      </w:r>
      <w:r w:rsidRPr="0030393A">
        <w:rPr>
          <w:rFonts w:ascii="Bookman Old Style" w:hAnsi="Bookman Old Style"/>
          <w:b/>
          <w:bCs/>
          <w:sz w:val="24"/>
          <w:szCs w:val="24"/>
          <w:lang w:val="es-ES"/>
        </w:rPr>
        <w:t xml:space="preserve"> para atender la Demanda Esencial</w:t>
      </w:r>
      <w:r w:rsidRPr="0030393A">
        <w:rPr>
          <w:rFonts w:ascii="Bookman Old Style" w:hAnsi="Bookman Old Style"/>
          <w:b/>
          <w:bCs/>
          <w:sz w:val="24"/>
          <w:lang w:val="es-ES"/>
        </w:rPr>
        <w:t xml:space="preserve"> corresponderá al precio de cierre de la subasta </w:t>
      </w:r>
      <w:r w:rsidR="00B04003" w:rsidRPr="0030393A">
        <w:rPr>
          <w:rFonts w:ascii="Bookman Old Style" w:hAnsi="Bookman Old Style"/>
          <w:b/>
          <w:bCs/>
          <w:sz w:val="24"/>
          <w:lang w:val="es-ES"/>
        </w:rPr>
        <w:t xml:space="preserve">reglamentada </w:t>
      </w:r>
      <w:r w:rsidR="00AF060E" w:rsidRPr="0030393A">
        <w:rPr>
          <w:rFonts w:ascii="Bookman Old Style" w:hAnsi="Bookman Old Style"/>
          <w:b/>
          <w:bCs/>
          <w:sz w:val="24"/>
          <w:lang w:val="es-ES"/>
        </w:rPr>
        <w:t xml:space="preserve">en el Anexo </w:t>
      </w:r>
      <w:r w:rsidR="004A1BB1" w:rsidRPr="0030393A">
        <w:rPr>
          <w:rFonts w:ascii="Bookman Old Style" w:hAnsi="Bookman Old Style"/>
          <w:b/>
          <w:bCs/>
          <w:sz w:val="24"/>
          <w:lang w:val="es-ES"/>
        </w:rPr>
        <w:t>7</w:t>
      </w:r>
      <w:r w:rsidR="00AF060E" w:rsidRPr="0030393A">
        <w:rPr>
          <w:rFonts w:ascii="Bookman Old Style" w:hAnsi="Bookman Old Style"/>
          <w:b/>
          <w:bCs/>
          <w:sz w:val="24"/>
          <w:lang w:val="es-ES"/>
        </w:rPr>
        <w:t xml:space="preserve"> de la presente resolución, </w:t>
      </w:r>
      <w:r w:rsidRPr="0030393A">
        <w:rPr>
          <w:rFonts w:ascii="Bookman Old Style" w:hAnsi="Bookman Old Style"/>
          <w:b/>
          <w:bCs/>
          <w:sz w:val="24"/>
          <w:szCs w:val="24"/>
          <w:lang w:val="es-ES"/>
        </w:rPr>
        <w:t>que se realice</w:t>
      </w:r>
      <w:r w:rsidRPr="0030393A">
        <w:rPr>
          <w:rFonts w:ascii="Bookman Old Style" w:hAnsi="Bookman Old Style"/>
          <w:b/>
          <w:bCs/>
          <w:sz w:val="24"/>
          <w:lang w:val="es-ES"/>
        </w:rPr>
        <w:t xml:space="preserve"> para ese mismo Trimestre Estándar, de acuerdo con lo establecido en el literal </w:t>
      </w:r>
      <w:r w:rsidR="002A5802" w:rsidRPr="0030393A">
        <w:rPr>
          <w:rFonts w:ascii="Bookman Old Style" w:hAnsi="Bookman Old Style"/>
          <w:b/>
          <w:bCs/>
          <w:sz w:val="24"/>
          <w:lang w:val="es-ES"/>
        </w:rPr>
        <w:t>n</w:t>
      </w:r>
      <w:r w:rsidRPr="0030393A">
        <w:rPr>
          <w:rFonts w:ascii="Bookman Old Style" w:hAnsi="Bookman Old Style"/>
          <w:b/>
          <w:bCs/>
          <w:sz w:val="24"/>
          <w:szCs w:val="24"/>
          <w:lang w:val="es-ES"/>
        </w:rPr>
        <w:t xml:space="preserve">. siguiente. En caso de no existir cantidades disponibles para realizar la subasta, el precio de los contratos de suministro para atender la Demanda Esencial </w:t>
      </w:r>
      <w:r w:rsidR="00A76077">
        <w:rPr>
          <w:rFonts w:ascii="Bookman Old Style" w:hAnsi="Bookman Old Style"/>
          <w:b/>
          <w:bCs/>
          <w:sz w:val="24"/>
          <w:szCs w:val="24"/>
          <w:lang w:val="es-ES"/>
        </w:rPr>
        <w:t>el</w:t>
      </w:r>
      <w:r w:rsidRPr="0030393A">
        <w:rPr>
          <w:rFonts w:ascii="Bookman Old Style" w:hAnsi="Bookman Old Style"/>
          <w:b/>
          <w:bCs/>
          <w:sz w:val="24"/>
          <w:szCs w:val="24"/>
          <w:lang w:val="es-ES"/>
        </w:rPr>
        <w:t xml:space="preserve"> precio de reserva que cada vendedor haya presentado al </w:t>
      </w:r>
      <w:r w:rsidR="0022131A" w:rsidRPr="0030393A">
        <w:rPr>
          <w:rFonts w:ascii="Bookman Old Style" w:hAnsi="Bookman Old Style"/>
          <w:b/>
          <w:sz w:val="24"/>
          <w:szCs w:val="24"/>
          <w:lang w:val="es-ES"/>
        </w:rPr>
        <w:t>Gestor</w:t>
      </w:r>
      <w:r w:rsidRPr="0030393A">
        <w:rPr>
          <w:rFonts w:ascii="Bookman Old Style" w:hAnsi="Bookman Old Style"/>
          <w:b/>
          <w:sz w:val="24"/>
          <w:szCs w:val="24"/>
          <w:lang w:val="es-ES"/>
        </w:rPr>
        <w:t xml:space="preserve"> </w:t>
      </w:r>
      <w:r w:rsidRPr="0030393A">
        <w:rPr>
          <w:rFonts w:ascii="Bookman Old Style" w:hAnsi="Bookman Old Style"/>
          <w:b/>
          <w:bCs/>
          <w:sz w:val="24"/>
          <w:szCs w:val="24"/>
          <w:lang w:val="es-ES"/>
        </w:rPr>
        <w:t>del Mercado</w:t>
      </w:r>
      <w:r w:rsidR="00A76077">
        <w:rPr>
          <w:rFonts w:ascii="Bookman Old Style" w:hAnsi="Bookman Old Style"/>
          <w:b/>
          <w:bCs/>
          <w:sz w:val="24"/>
          <w:szCs w:val="24"/>
          <w:lang w:val="es-ES"/>
        </w:rPr>
        <w:t xml:space="preserve"> será considerado como el precio de cierre de la subasta</w:t>
      </w:r>
      <w:r w:rsidRPr="0030393A">
        <w:rPr>
          <w:rFonts w:ascii="Bookman Old Style" w:hAnsi="Bookman Old Style"/>
          <w:b/>
          <w:bCs/>
          <w:sz w:val="24"/>
          <w:szCs w:val="24"/>
          <w:lang w:val="es-ES"/>
        </w:rPr>
        <w:t>, de acuerdo con lo establecido en el literal a. del presente numeral.</w:t>
      </w:r>
    </w:p>
    <w:p w14:paraId="67906F98" w14:textId="77777777" w:rsidR="0006302B" w:rsidRPr="0030393A" w:rsidRDefault="0006302B" w:rsidP="00202051">
      <w:pPr>
        <w:pStyle w:val="Prrafodelista"/>
        <w:ind w:left="709" w:hanging="283"/>
        <w:jc w:val="both"/>
        <w:rPr>
          <w:rFonts w:ascii="Bookman Old Style" w:hAnsi="Bookman Old Style"/>
          <w:b/>
          <w:bCs/>
          <w:sz w:val="24"/>
          <w:lang w:val="es-ES"/>
        </w:rPr>
      </w:pPr>
    </w:p>
    <w:p w14:paraId="2B1612A1" w14:textId="56CE6AAA"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En el caso de las Fuentes de Suministro establecidas en el </w:t>
      </w:r>
      <w:r w:rsidR="00536D53">
        <w:rPr>
          <w:rFonts w:ascii="Bookman Old Style" w:hAnsi="Bookman Old Style"/>
          <w:b/>
          <w:bCs/>
          <w:sz w:val="24"/>
          <w:szCs w:val="24"/>
          <w:lang w:val="es-ES"/>
        </w:rPr>
        <w:t>a</w:t>
      </w:r>
      <w:r w:rsidRPr="0030393A">
        <w:rPr>
          <w:rFonts w:ascii="Bookman Old Style" w:hAnsi="Bookman Old Style"/>
          <w:b/>
          <w:bCs/>
          <w:sz w:val="24"/>
          <w:szCs w:val="24"/>
          <w:lang w:val="es-ES"/>
        </w:rPr>
        <w:t xml:space="preserve">rtículo 19 de la presente resolución, el precio del suministro del Trimestre Estándar para atender la Demanda Esencial corresponderá al precio </w:t>
      </w:r>
      <w:r w:rsidR="008663E6" w:rsidRPr="0030393A">
        <w:rPr>
          <w:rFonts w:ascii="Bookman Old Style" w:hAnsi="Bookman Old Style"/>
          <w:b/>
          <w:bCs/>
          <w:sz w:val="24"/>
          <w:szCs w:val="24"/>
          <w:lang w:val="es-ES"/>
        </w:rPr>
        <w:t>promedio ponderado por volumen</w:t>
      </w:r>
      <w:r w:rsidR="00820673" w:rsidRPr="0030393A">
        <w:rPr>
          <w:rFonts w:ascii="Bookman Old Style" w:hAnsi="Bookman Old Style"/>
          <w:b/>
          <w:bCs/>
          <w:sz w:val="24"/>
          <w:szCs w:val="24"/>
          <w:lang w:val="es-ES"/>
        </w:rPr>
        <w:t xml:space="preserve"> </w:t>
      </w:r>
      <w:r w:rsidR="00CF05DF" w:rsidRPr="0030393A">
        <w:rPr>
          <w:rFonts w:ascii="Bookman Old Style" w:hAnsi="Bookman Old Style"/>
          <w:b/>
          <w:bCs/>
          <w:sz w:val="24"/>
          <w:szCs w:val="24"/>
          <w:lang w:val="es-ES"/>
        </w:rPr>
        <w:t xml:space="preserve">en las cantidades y precios que resulten por Punto de Entrega y Fuente de Suministro, </w:t>
      </w:r>
      <w:r w:rsidRPr="0030393A">
        <w:rPr>
          <w:rFonts w:ascii="Bookman Old Style" w:hAnsi="Bookman Old Style"/>
          <w:b/>
          <w:bCs/>
          <w:sz w:val="24"/>
          <w:szCs w:val="24"/>
          <w:lang w:val="es-ES"/>
        </w:rPr>
        <w:t>que se obtenga</w:t>
      </w:r>
      <w:r w:rsidR="00CF05DF" w:rsidRPr="0030393A">
        <w:rPr>
          <w:rFonts w:ascii="Bookman Old Style" w:hAnsi="Bookman Old Style"/>
          <w:b/>
          <w:bCs/>
          <w:sz w:val="24"/>
          <w:szCs w:val="24"/>
          <w:lang w:val="es-ES"/>
        </w:rPr>
        <w:t>n</w:t>
      </w:r>
      <w:r w:rsidRPr="0030393A">
        <w:rPr>
          <w:rFonts w:ascii="Bookman Old Style" w:hAnsi="Bookman Old Style"/>
          <w:b/>
          <w:bCs/>
          <w:sz w:val="24"/>
          <w:szCs w:val="24"/>
          <w:lang w:val="es-ES"/>
        </w:rPr>
        <w:t xml:space="preserve"> a través del mecanismo de mercado </w:t>
      </w:r>
      <w:r w:rsidR="00CF05DF" w:rsidRPr="0030393A">
        <w:rPr>
          <w:rFonts w:ascii="Bookman Old Style" w:hAnsi="Bookman Old Style"/>
          <w:b/>
          <w:bCs/>
          <w:sz w:val="24"/>
          <w:szCs w:val="24"/>
          <w:lang w:val="es-ES"/>
        </w:rPr>
        <w:t xml:space="preserve">establecido por el vendedor, </w:t>
      </w:r>
      <w:r w:rsidRPr="0030393A">
        <w:rPr>
          <w:rFonts w:ascii="Bookman Old Style" w:hAnsi="Bookman Old Style"/>
          <w:b/>
          <w:bCs/>
          <w:sz w:val="24"/>
          <w:szCs w:val="24"/>
          <w:lang w:val="es-ES"/>
        </w:rPr>
        <w:t xml:space="preserve">que </w:t>
      </w:r>
      <w:r w:rsidR="00CF05DF" w:rsidRPr="0030393A">
        <w:rPr>
          <w:rFonts w:ascii="Bookman Old Style" w:hAnsi="Bookman Old Style"/>
          <w:b/>
          <w:bCs/>
          <w:sz w:val="24"/>
          <w:szCs w:val="24"/>
          <w:lang w:val="es-ES"/>
        </w:rPr>
        <w:t>éste</w:t>
      </w:r>
      <w:r w:rsidR="00D92148" w:rsidRPr="0030393A">
        <w:rPr>
          <w:rFonts w:ascii="Bookman Old Style" w:hAnsi="Bookman Old Style"/>
          <w:b/>
          <w:bCs/>
          <w:sz w:val="24"/>
          <w:szCs w:val="24"/>
          <w:lang w:val="es-ES"/>
        </w:rPr>
        <w:t xml:space="preserve"> </w:t>
      </w:r>
      <w:r w:rsidRPr="0030393A">
        <w:rPr>
          <w:rFonts w:ascii="Bookman Old Style" w:hAnsi="Bookman Old Style"/>
          <w:b/>
          <w:bCs/>
          <w:sz w:val="24"/>
          <w:szCs w:val="24"/>
          <w:lang w:val="es-ES"/>
        </w:rPr>
        <w:t xml:space="preserve">deberá hacer público, de acuerdo con lo establecido en el literal </w:t>
      </w:r>
      <w:r w:rsidR="004C3902" w:rsidRPr="0030393A">
        <w:rPr>
          <w:rFonts w:ascii="Bookman Old Style" w:hAnsi="Bookman Old Style"/>
          <w:b/>
          <w:bCs/>
          <w:sz w:val="24"/>
          <w:szCs w:val="24"/>
          <w:lang w:val="es-ES"/>
        </w:rPr>
        <w:t>q</w:t>
      </w:r>
      <w:r w:rsidRPr="0030393A">
        <w:rPr>
          <w:rFonts w:ascii="Bookman Old Style" w:hAnsi="Bookman Old Style"/>
          <w:b/>
          <w:bCs/>
          <w:sz w:val="24"/>
          <w:szCs w:val="24"/>
          <w:lang w:val="es-ES"/>
        </w:rPr>
        <w:t>. siguiente.</w:t>
      </w:r>
      <w:r w:rsidR="008663E6" w:rsidRPr="0030393A">
        <w:rPr>
          <w:rFonts w:ascii="Bookman Old Style" w:hAnsi="Bookman Old Style"/>
          <w:b/>
          <w:bCs/>
          <w:sz w:val="24"/>
          <w:szCs w:val="24"/>
          <w:lang w:val="es-ES"/>
        </w:rPr>
        <w:t xml:space="preserve"> </w:t>
      </w:r>
    </w:p>
    <w:p w14:paraId="151C8822" w14:textId="77777777" w:rsidR="001B4BB7" w:rsidRPr="0030393A" w:rsidRDefault="001B4BB7" w:rsidP="002D5416">
      <w:pPr>
        <w:pStyle w:val="Prrafodelista"/>
        <w:rPr>
          <w:rFonts w:ascii="Bookman Old Style" w:hAnsi="Bookman Old Style"/>
          <w:b/>
          <w:bCs/>
          <w:sz w:val="24"/>
          <w:szCs w:val="24"/>
          <w:lang w:val="es-ES"/>
        </w:rPr>
      </w:pPr>
    </w:p>
    <w:p w14:paraId="36B027DF" w14:textId="47DED8E5" w:rsidR="0015080C" w:rsidRPr="0030393A" w:rsidRDefault="00274B42" w:rsidP="00A4790E">
      <w:pPr>
        <w:pStyle w:val="Prrafodelista"/>
        <w:numPr>
          <w:ilvl w:val="1"/>
          <w:numId w:val="98"/>
        </w:numPr>
        <w:ind w:left="709" w:hanging="283"/>
        <w:jc w:val="both"/>
        <w:rPr>
          <w:rFonts w:ascii="Bookman Old Style" w:hAnsi="Bookman Old Style"/>
          <w:b/>
          <w:bCs/>
          <w:sz w:val="24"/>
          <w:lang w:val="es-ES"/>
        </w:rPr>
      </w:pPr>
      <w:r w:rsidRPr="0030393A">
        <w:rPr>
          <w:rFonts w:ascii="Bookman Old Style" w:hAnsi="Bookman Old Style"/>
          <w:b/>
          <w:bCs/>
          <w:sz w:val="24"/>
          <w:szCs w:val="24"/>
          <w:lang w:val="es-ES"/>
        </w:rPr>
        <w:t>C</w:t>
      </w:r>
      <w:r w:rsidR="0015080C" w:rsidRPr="0030393A">
        <w:rPr>
          <w:rFonts w:ascii="Bookman Old Style" w:hAnsi="Bookman Old Style"/>
          <w:b/>
          <w:bCs/>
          <w:sz w:val="24"/>
          <w:lang w:val="es-ES"/>
        </w:rPr>
        <w:t>on base en las cantidades informadas</w:t>
      </w:r>
      <w:r w:rsidR="003005AF" w:rsidRPr="0030393A">
        <w:rPr>
          <w:rFonts w:ascii="Bookman Old Style" w:hAnsi="Bookman Old Style"/>
          <w:b/>
          <w:bCs/>
          <w:sz w:val="24"/>
          <w:lang w:val="es-ES"/>
        </w:rPr>
        <w:t xml:space="preserve"> por el Gestor del Mercado requeridas por cada comprador </w:t>
      </w:r>
      <w:r w:rsidR="0015080C" w:rsidRPr="0030393A">
        <w:rPr>
          <w:rFonts w:ascii="Bookman Old Style" w:hAnsi="Bookman Old Style"/>
          <w:b/>
          <w:bCs/>
          <w:sz w:val="24"/>
          <w:lang w:val="es-ES"/>
        </w:rPr>
        <w:t xml:space="preserve">para atender la </w:t>
      </w:r>
      <w:r w:rsidR="006A6739" w:rsidRPr="0030393A">
        <w:rPr>
          <w:rFonts w:ascii="Bookman Old Style" w:hAnsi="Bookman Old Style"/>
          <w:b/>
          <w:bCs/>
          <w:sz w:val="24"/>
          <w:lang w:val="es-ES"/>
        </w:rPr>
        <w:t>D</w:t>
      </w:r>
      <w:r w:rsidR="0015080C" w:rsidRPr="0030393A">
        <w:rPr>
          <w:rFonts w:ascii="Bookman Old Style" w:hAnsi="Bookman Old Style"/>
          <w:b/>
          <w:bCs/>
          <w:sz w:val="24"/>
          <w:lang w:val="es-ES"/>
        </w:rPr>
        <w:t xml:space="preserve">emanda </w:t>
      </w:r>
      <w:r w:rsidR="006A6739" w:rsidRPr="0030393A">
        <w:rPr>
          <w:rFonts w:ascii="Bookman Old Style" w:hAnsi="Bookman Old Style"/>
          <w:b/>
          <w:bCs/>
          <w:sz w:val="24"/>
          <w:lang w:val="es-ES"/>
        </w:rPr>
        <w:t>E</w:t>
      </w:r>
      <w:r w:rsidR="0015080C" w:rsidRPr="0030393A">
        <w:rPr>
          <w:rFonts w:ascii="Bookman Old Style" w:hAnsi="Bookman Old Style"/>
          <w:b/>
          <w:bCs/>
          <w:sz w:val="24"/>
          <w:lang w:val="es-ES"/>
        </w:rPr>
        <w:t>sencial,</w:t>
      </w:r>
      <w:r w:rsidR="003005AF" w:rsidRPr="0030393A">
        <w:rPr>
          <w:rFonts w:ascii="Bookman Old Style" w:hAnsi="Bookman Old Style"/>
          <w:b/>
          <w:bCs/>
          <w:sz w:val="24"/>
          <w:lang w:val="es-ES"/>
        </w:rPr>
        <w:t xml:space="preserve"> </w:t>
      </w:r>
      <w:r w:rsidR="0015080C" w:rsidRPr="0030393A">
        <w:rPr>
          <w:rFonts w:ascii="Bookman Old Style" w:hAnsi="Bookman Old Style"/>
          <w:b/>
          <w:bCs/>
          <w:sz w:val="24"/>
          <w:lang w:val="es-ES"/>
        </w:rPr>
        <w:lastRenderedPageBreak/>
        <w:t>distribuidas entre cada vendedor, ambas partes deb</w:t>
      </w:r>
      <w:r w:rsidR="003005AF" w:rsidRPr="0030393A">
        <w:rPr>
          <w:rFonts w:ascii="Bookman Old Style" w:hAnsi="Bookman Old Style"/>
          <w:b/>
          <w:bCs/>
          <w:sz w:val="24"/>
          <w:lang w:val="es-ES"/>
        </w:rPr>
        <w:t>e</w:t>
      </w:r>
      <w:r w:rsidR="0015080C" w:rsidRPr="0030393A">
        <w:rPr>
          <w:rFonts w:ascii="Bookman Old Style" w:hAnsi="Bookman Old Style"/>
          <w:b/>
          <w:bCs/>
          <w:sz w:val="24"/>
          <w:lang w:val="es-ES"/>
        </w:rPr>
        <w:t>rán suscribir y registrar los correspondientes contratos de suministro</w:t>
      </w:r>
      <w:r w:rsidR="003005AF" w:rsidRPr="0030393A">
        <w:rPr>
          <w:rFonts w:ascii="Bookman Old Style" w:hAnsi="Bookman Old Style"/>
          <w:b/>
          <w:bCs/>
          <w:sz w:val="24"/>
          <w:lang w:val="es-ES"/>
        </w:rPr>
        <w:t xml:space="preserve">. Para lo anterior se deberán utilizar </w:t>
      </w:r>
      <w:r w:rsidR="0015080C" w:rsidRPr="0030393A">
        <w:rPr>
          <w:rFonts w:ascii="Bookman Old Style" w:hAnsi="Bookman Old Style"/>
          <w:b/>
          <w:bCs/>
          <w:sz w:val="24"/>
          <w:lang w:val="es-ES"/>
        </w:rPr>
        <w:t xml:space="preserve">los términos contractuales </w:t>
      </w:r>
      <w:r w:rsidR="003005AF" w:rsidRPr="0030393A">
        <w:rPr>
          <w:rFonts w:ascii="Bookman Old Style" w:hAnsi="Bookman Old Style"/>
          <w:b/>
          <w:bCs/>
          <w:sz w:val="24"/>
          <w:lang w:val="es-ES"/>
        </w:rPr>
        <w:t>presentad</w:t>
      </w:r>
      <w:r w:rsidR="0015080C" w:rsidRPr="0030393A">
        <w:rPr>
          <w:rFonts w:ascii="Bookman Old Style" w:hAnsi="Bookman Old Style"/>
          <w:b/>
          <w:bCs/>
          <w:sz w:val="24"/>
          <w:lang w:val="es-ES"/>
        </w:rPr>
        <w:t xml:space="preserve">os </w:t>
      </w:r>
      <w:r w:rsidR="003005AF" w:rsidRPr="0030393A">
        <w:rPr>
          <w:rFonts w:ascii="Bookman Old Style" w:hAnsi="Bookman Old Style"/>
          <w:b/>
          <w:bCs/>
          <w:sz w:val="24"/>
          <w:lang w:val="es-ES"/>
        </w:rPr>
        <w:t>previamente por los vendedores</w:t>
      </w:r>
      <w:r w:rsidR="000B5301" w:rsidRPr="0030393A">
        <w:rPr>
          <w:rFonts w:ascii="Bookman Old Style" w:hAnsi="Bookman Old Style"/>
          <w:b/>
          <w:bCs/>
          <w:sz w:val="24"/>
          <w:lang w:val="es-ES"/>
        </w:rPr>
        <w:t xml:space="preserve">, de acuerdo con lo establecido en </w:t>
      </w:r>
      <w:r w:rsidR="00D7665D" w:rsidRPr="0030393A">
        <w:rPr>
          <w:rFonts w:ascii="Bookman Old Style" w:hAnsi="Bookman Old Style"/>
          <w:b/>
          <w:bCs/>
          <w:sz w:val="24"/>
          <w:lang w:val="es-ES"/>
        </w:rPr>
        <w:t xml:space="preserve">el numeral vi. del literal a. </w:t>
      </w:r>
      <w:r w:rsidR="001B4BB7" w:rsidRPr="0030393A">
        <w:rPr>
          <w:rFonts w:ascii="Bookman Old Style" w:hAnsi="Bookman Old Style"/>
          <w:b/>
          <w:bCs/>
          <w:sz w:val="24"/>
          <w:lang w:val="es-ES"/>
        </w:rPr>
        <w:t xml:space="preserve">y literal b, ambos </w:t>
      </w:r>
      <w:r w:rsidR="00D7665D" w:rsidRPr="0030393A">
        <w:rPr>
          <w:rFonts w:ascii="Bookman Old Style" w:hAnsi="Bookman Old Style"/>
          <w:b/>
          <w:bCs/>
          <w:sz w:val="24"/>
          <w:lang w:val="es-ES"/>
        </w:rPr>
        <w:t xml:space="preserve">del </w:t>
      </w:r>
      <w:r w:rsidR="00180468">
        <w:rPr>
          <w:rFonts w:ascii="Bookman Old Style" w:hAnsi="Bookman Old Style"/>
          <w:b/>
          <w:bCs/>
          <w:sz w:val="24"/>
          <w:lang w:val="es-ES"/>
        </w:rPr>
        <w:t>a</w:t>
      </w:r>
      <w:r w:rsidR="00D7665D" w:rsidRPr="0030393A">
        <w:rPr>
          <w:rFonts w:ascii="Bookman Old Style" w:hAnsi="Bookman Old Style"/>
          <w:b/>
          <w:bCs/>
          <w:sz w:val="24"/>
          <w:lang w:val="es-ES"/>
        </w:rPr>
        <w:t>rtículo 21 de la presente resolución</w:t>
      </w:r>
      <w:r w:rsidR="00F84DE4" w:rsidRPr="0030393A">
        <w:rPr>
          <w:rFonts w:ascii="Bookman Old Style" w:hAnsi="Bookman Old Style"/>
          <w:b/>
          <w:bCs/>
          <w:sz w:val="24"/>
          <w:lang w:val="es-ES"/>
        </w:rPr>
        <w:t>, que se aplicar</w:t>
      </w:r>
      <w:r w:rsidR="000D5037" w:rsidRPr="0030393A">
        <w:rPr>
          <w:rFonts w:ascii="Bookman Old Style" w:hAnsi="Bookman Old Style"/>
          <w:b/>
          <w:bCs/>
          <w:sz w:val="24"/>
          <w:lang w:val="es-ES"/>
        </w:rPr>
        <w:t>á</w:t>
      </w:r>
      <w:r w:rsidR="00F84DE4" w:rsidRPr="0030393A">
        <w:rPr>
          <w:rFonts w:ascii="Bookman Old Style" w:hAnsi="Bookman Old Style"/>
          <w:b/>
          <w:bCs/>
          <w:sz w:val="24"/>
          <w:lang w:val="es-ES"/>
        </w:rPr>
        <w:t>n aún en el caso de que finalmente no haya subastas por no existir cantidades excedentarias después de asignar a la demanda esencial</w:t>
      </w:r>
      <w:r w:rsidR="003005AF" w:rsidRPr="0030393A">
        <w:rPr>
          <w:rFonts w:ascii="Bookman Old Style" w:hAnsi="Bookman Old Style"/>
          <w:b/>
          <w:bCs/>
          <w:sz w:val="24"/>
          <w:lang w:val="es-ES"/>
        </w:rPr>
        <w:t xml:space="preserve">. </w:t>
      </w:r>
      <w:r w:rsidR="0015080C" w:rsidRPr="0030393A">
        <w:rPr>
          <w:rFonts w:ascii="Bookman Old Style" w:hAnsi="Bookman Old Style"/>
          <w:b/>
          <w:bCs/>
          <w:sz w:val="24"/>
          <w:lang w:val="es-ES"/>
        </w:rPr>
        <w:t xml:space="preserve"> </w:t>
      </w:r>
    </w:p>
    <w:p w14:paraId="1EF67A0B" w14:textId="77777777" w:rsidR="0015080C" w:rsidRPr="0030393A" w:rsidRDefault="0015080C" w:rsidP="006461EF">
      <w:pPr>
        <w:pStyle w:val="Prrafodelista"/>
        <w:rPr>
          <w:rFonts w:ascii="Bookman Old Style" w:hAnsi="Bookman Old Style"/>
          <w:b/>
          <w:bCs/>
          <w:sz w:val="24"/>
          <w:szCs w:val="24"/>
          <w:lang w:val="es-ES"/>
        </w:rPr>
      </w:pPr>
    </w:p>
    <w:p w14:paraId="01AA030C" w14:textId="11653BC7" w:rsidR="0006302B" w:rsidRPr="001B0D7E" w:rsidRDefault="0006302B" w:rsidP="001B0D7E">
      <w:pPr>
        <w:pStyle w:val="Prrafodelista"/>
        <w:numPr>
          <w:ilvl w:val="1"/>
          <w:numId w:val="98"/>
        </w:numPr>
        <w:ind w:left="709" w:hanging="283"/>
        <w:jc w:val="both"/>
        <w:rPr>
          <w:rFonts w:ascii="Bookman Old Style" w:hAnsi="Bookman Old Style"/>
          <w:b/>
          <w:bCs/>
          <w:sz w:val="24"/>
          <w:lang w:val="es-ES"/>
        </w:rPr>
      </w:pPr>
      <w:r w:rsidRPr="001B0D7E">
        <w:rPr>
          <w:rFonts w:ascii="Bookman Old Style" w:hAnsi="Bookman Old Style"/>
          <w:b/>
          <w:bCs/>
          <w:sz w:val="24"/>
          <w:szCs w:val="24"/>
          <w:lang w:val="es-ES"/>
        </w:rPr>
        <w:t>En</w:t>
      </w:r>
      <w:r w:rsidRPr="001B0D7E">
        <w:rPr>
          <w:rFonts w:ascii="Bookman Old Style" w:hAnsi="Bookman Old Style"/>
          <w:b/>
          <w:bCs/>
          <w:sz w:val="24"/>
          <w:lang w:val="es-ES"/>
        </w:rPr>
        <w:t xml:space="preserve"> caso de no </w:t>
      </w:r>
      <w:r w:rsidR="000B535C" w:rsidRPr="001B0D7E">
        <w:rPr>
          <w:rFonts w:ascii="Bookman Old Style" w:hAnsi="Bookman Old Style"/>
          <w:b/>
          <w:bCs/>
          <w:sz w:val="24"/>
          <w:lang w:val="es-ES"/>
        </w:rPr>
        <w:t xml:space="preserve">registrarse un contrato para atender la </w:t>
      </w:r>
      <w:r w:rsidR="006A6739" w:rsidRPr="001B0D7E">
        <w:rPr>
          <w:rFonts w:ascii="Bookman Old Style" w:hAnsi="Bookman Old Style"/>
          <w:b/>
          <w:bCs/>
          <w:sz w:val="24"/>
          <w:lang w:val="es-ES"/>
        </w:rPr>
        <w:t>D</w:t>
      </w:r>
      <w:r w:rsidR="000B535C" w:rsidRPr="001B0D7E">
        <w:rPr>
          <w:rFonts w:ascii="Bookman Old Style" w:hAnsi="Bookman Old Style"/>
          <w:b/>
          <w:bCs/>
          <w:sz w:val="24"/>
          <w:lang w:val="es-ES"/>
        </w:rPr>
        <w:t xml:space="preserve">emanda </w:t>
      </w:r>
      <w:r w:rsidR="006A6739" w:rsidRPr="001B0D7E">
        <w:rPr>
          <w:rFonts w:ascii="Bookman Old Style" w:hAnsi="Bookman Old Style"/>
          <w:b/>
          <w:bCs/>
          <w:sz w:val="24"/>
          <w:lang w:val="es-ES"/>
        </w:rPr>
        <w:t>E</w:t>
      </w:r>
      <w:r w:rsidR="000B535C" w:rsidRPr="001B0D7E">
        <w:rPr>
          <w:rFonts w:ascii="Bookman Old Style" w:hAnsi="Bookman Old Style"/>
          <w:b/>
          <w:bCs/>
          <w:sz w:val="24"/>
          <w:lang w:val="es-ES"/>
        </w:rPr>
        <w:t xml:space="preserve">sencial resultante del mecanismo establecido en el presente </w:t>
      </w:r>
      <w:r w:rsidR="00AC5979" w:rsidRPr="001B0D7E">
        <w:rPr>
          <w:rFonts w:ascii="Bookman Old Style" w:hAnsi="Bookman Old Style"/>
          <w:b/>
          <w:bCs/>
          <w:sz w:val="24"/>
          <w:lang w:val="es-ES"/>
        </w:rPr>
        <w:t>numeral</w:t>
      </w:r>
      <w:r w:rsidR="000B535C" w:rsidRPr="001B0D7E">
        <w:rPr>
          <w:rFonts w:ascii="Bookman Old Style" w:hAnsi="Bookman Old Style"/>
          <w:b/>
          <w:bCs/>
          <w:sz w:val="24"/>
          <w:lang w:val="es-ES"/>
        </w:rPr>
        <w:t>,</w:t>
      </w:r>
      <w:r w:rsidRPr="001B0D7E">
        <w:rPr>
          <w:rFonts w:ascii="Bookman Old Style" w:hAnsi="Bookman Old Style"/>
          <w:b/>
          <w:bCs/>
          <w:sz w:val="24"/>
          <w:lang w:val="es-ES"/>
        </w:rPr>
        <w:t xml:space="preserve"> las </w:t>
      </w:r>
      <w:r w:rsidRPr="001B0D7E">
        <w:rPr>
          <w:rFonts w:ascii="Bookman Old Style" w:hAnsi="Bookman Old Style"/>
          <w:b/>
          <w:bCs/>
          <w:sz w:val="24"/>
          <w:szCs w:val="24"/>
          <w:lang w:val="es-ES"/>
        </w:rPr>
        <w:t xml:space="preserve">cantidades </w:t>
      </w:r>
      <w:r w:rsidR="006923A8" w:rsidRPr="001B0D7E">
        <w:rPr>
          <w:rFonts w:ascii="Bookman Old Style" w:hAnsi="Bookman Old Style"/>
          <w:b/>
          <w:bCs/>
          <w:sz w:val="24"/>
          <w:szCs w:val="24"/>
          <w:lang w:val="es-ES"/>
        </w:rPr>
        <w:t xml:space="preserve">inicialmente </w:t>
      </w:r>
      <w:r w:rsidRPr="001B0D7E">
        <w:rPr>
          <w:rFonts w:ascii="Bookman Old Style" w:hAnsi="Bookman Old Style"/>
          <w:b/>
          <w:bCs/>
          <w:sz w:val="24"/>
          <w:szCs w:val="24"/>
          <w:lang w:val="es-ES"/>
        </w:rPr>
        <w:t>distribuidas para atender la Demanda Esencial entre e</w:t>
      </w:r>
      <w:r w:rsidR="00BD072A" w:rsidRPr="001B0D7E">
        <w:rPr>
          <w:rFonts w:ascii="Bookman Old Style" w:hAnsi="Bookman Old Style"/>
          <w:b/>
          <w:bCs/>
          <w:sz w:val="24"/>
          <w:szCs w:val="24"/>
          <w:lang w:val="es-ES"/>
        </w:rPr>
        <w:t>l</w:t>
      </w:r>
      <w:r w:rsidRPr="001B0D7E">
        <w:rPr>
          <w:rFonts w:ascii="Bookman Old Style" w:hAnsi="Bookman Old Style"/>
          <w:b/>
          <w:bCs/>
          <w:sz w:val="24"/>
          <w:szCs w:val="24"/>
          <w:lang w:val="es-ES"/>
        </w:rPr>
        <w:t xml:space="preserve"> vendedor y e</w:t>
      </w:r>
      <w:r w:rsidR="00BD072A" w:rsidRPr="001B0D7E">
        <w:rPr>
          <w:rFonts w:ascii="Bookman Old Style" w:hAnsi="Bookman Old Style"/>
          <w:b/>
          <w:bCs/>
          <w:sz w:val="24"/>
          <w:szCs w:val="24"/>
          <w:lang w:val="es-ES"/>
        </w:rPr>
        <w:t>l</w:t>
      </w:r>
      <w:r w:rsidRPr="001B0D7E">
        <w:rPr>
          <w:rFonts w:ascii="Bookman Old Style" w:hAnsi="Bookman Old Style"/>
          <w:b/>
          <w:bCs/>
          <w:sz w:val="24"/>
          <w:szCs w:val="24"/>
          <w:lang w:val="es-ES"/>
        </w:rPr>
        <w:t xml:space="preserve"> comprador</w:t>
      </w:r>
      <w:r w:rsidR="00BD072A" w:rsidRPr="001B0D7E">
        <w:rPr>
          <w:rFonts w:ascii="Bookman Old Style" w:hAnsi="Bookman Old Style"/>
          <w:b/>
          <w:bCs/>
          <w:sz w:val="24"/>
          <w:szCs w:val="24"/>
          <w:lang w:val="es-ES"/>
        </w:rPr>
        <w:t xml:space="preserve"> de ese contrato</w:t>
      </w:r>
      <w:r w:rsidR="001B0D7E" w:rsidRPr="001B0D7E">
        <w:rPr>
          <w:rFonts w:ascii="Bookman Old Style" w:hAnsi="Bookman Old Style"/>
          <w:b/>
          <w:bCs/>
          <w:sz w:val="24"/>
          <w:szCs w:val="24"/>
          <w:lang w:val="es-ES"/>
        </w:rPr>
        <w:t xml:space="preserve"> deberán ser reasignadas a la demás Demanda Esencial </w:t>
      </w:r>
      <w:r w:rsidR="00D75047" w:rsidRPr="001B0D7E">
        <w:rPr>
          <w:rFonts w:ascii="Bookman Old Style" w:hAnsi="Bookman Old Style"/>
          <w:b/>
          <w:bCs/>
          <w:sz w:val="24"/>
          <w:szCs w:val="24"/>
          <w:lang w:val="es-ES"/>
        </w:rPr>
        <w:t>requerida</w:t>
      </w:r>
      <w:r w:rsidR="001B0D7E" w:rsidRPr="001B0D7E">
        <w:rPr>
          <w:rFonts w:ascii="Bookman Old Style" w:hAnsi="Bookman Old Style"/>
          <w:b/>
          <w:bCs/>
          <w:sz w:val="24"/>
          <w:szCs w:val="24"/>
          <w:lang w:val="es-ES"/>
        </w:rPr>
        <w:t xml:space="preserve"> en el caso de que las cantidades ofertadas por los vendedores no hayan sido suficientes para atender la totalidad de la Demanda Esencial requerida. En caso contrario, las cantidades liberadas </w:t>
      </w:r>
      <w:r w:rsidRPr="001B0D7E">
        <w:rPr>
          <w:rFonts w:ascii="Bookman Old Style" w:hAnsi="Bookman Old Style"/>
          <w:b/>
          <w:bCs/>
          <w:sz w:val="24"/>
          <w:lang w:val="es-ES"/>
        </w:rPr>
        <w:t xml:space="preserve">podrán ser </w:t>
      </w:r>
      <w:r w:rsidR="006923A8" w:rsidRPr="001B0D7E">
        <w:rPr>
          <w:rFonts w:ascii="Bookman Old Style" w:hAnsi="Bookman Old Style"/>
          <w:b/>
          <w:bCs/>
          <w:sz w:val="24"/>
          <w:lang w:val="es-ES"/>
        </w:rPr>
        <w:t xml:space="preserve">utilizadas </w:t>
      </w:r>
      <w:r w:rsidRPr="001B0D7E">
        <w:rPr>
          <w:rFonts w:ascii="Bookman Old Style" w:hAnsi="Bookman Old Style"/>
          <w:b/>
          <w:bCs/>
          <w:sz w:val="24"/>
          <w:lang w:val="es-ES"/>
        </w:rPr>
        <w:t xml:space="preserve">por el </w:t>
      </w:r>
      <w:r w:rsidRPr="001B0D7E">
        <w:rPr>
          <w:rFonts w:ascii="Bookman Old Style" w:hAnsi="Bookman Old Style"/>
          <w:b/>
          <w:bCs/>
          <w:sz w:val="24"/>
          <w:szCs w:val="24"/>
          <w:lang w:val="es-ES"/>
        </w:rPr>
        <w:t>vendedor para atender la demanda diferente a la Demanda Esencial</w:t>
      </w:r>
      <w:r w:rsidR="00FF56AC" w:rsidRPr="001B0D7E">
        <w:rPr>
          <w:rFonts w:ascii="Bookman Old Style" w:hAnsi="Bookman Old Style"/>
          <w:b/>
          <w:bCs/>
          <w:sz w:val="24"/>
          <w:szCs w:val="24"/>
          <w:lang w:val="es-ES"/>
        </w:rPr>
        <w:t>, por lo que dichas cantidades pasarán a ser parte de las cantidades a subastar</w:t>
      </w:r>
      <w:r w:rsidR="00D37AC5" w:rsidRPr="001B0D7E">
        <w:rPr>
          <w:rFonts w:ascii="Bookman Old Style" w:hAnsi="Bookman Old Style"/>
          <w:b/>
          <w:bCs/>
          <w:sz w:val="24"/>
          <w:szCs w:val="24"/>
          <w:lang w:val="es-ES"/>
        </w:rPr>
        <w:t>, de acuerdo con el procedimiento de subasta</w:t>
      </w:r>
      <w:r w:rsidR="000B535C" w:rsidRPr="001B0D7E">
        <w:rPr>
          <w:rFonts w:ascii="Bookman Old Style" w:hAnsi="Bookman Old Style"/>
          <w:b/>
          <w:bCs/>
          <w:sz w:val="24"/>
          <w:szCs w:val="24"/>
          <w:lang w:val="es-ES"/>
        </w:rPr>
        <w:t xml:space="preserve"> </w:t>
      </w:r>
      <w:r w:rsidR="00B04003" w:rsidRPr="001B0D7E">
        <w:rPr>
          <w:rFonts w:ascii="Bookman Old Style" w:hAnsi="Bookman Old Style"/>
          <w:b/>
          <w:bCs/>
          <w:sz w:val="24"/>
          <w:szCs w:val="24"/>
          <w:lang w:val="es-ES"/>
        </w:rPr>
        <w:t>reglamentado</w:t>
      </w:r>
      <w:r w:rsidR="004A1BB1" w:rsidRPr="001B0D7E">
        <w:rPr>
          <w:rFonts w:ascii="Bookman Old Style" w:hAnsi="Bookman Old Style"/>
          <w:b/>
          <w:bCs/>
          <w:sz w:val="24"/>
          <w:szCs w:val="24"/>
          <w:lang w:val="es-ES"/>
        </w:rPr>
        <w:t xml:space="preserve"> en el Anexo 7 de la presente resolución</w:t>
      </w:r>
      <w:r w:rsidRPr="001B0D7E">
        <w:rPr>
          <w:rFonts w:ascii="Bookman Old Style" w:hAnsi="Bookman Old Style"/>
          <w:b/>
          <w:bCs/>
          <w:sz w:val="24"/>
          <w:lang w:val="es-ES"/>
        </w:rPr>
        <w:t xml:space="preserve">.   </w:t>
      </w:r>
    </w:p>
    <w:p w14:paraId="72438A9E" w14:textId="77777777" w:rsidR="0006302B" w:rsidRPr="0030393A" w:rsidRDefault="0006302B" w:rsidP="00202051">
      <w:pPr>
        <w:pStyle w:val="Prrafodelista"/>
        <w:ind w:left="709" w:hanging="283"/>
        <w:jc w:val="both"/>
        <w:rPr>
          <w:rFonts w:ascii="Bookman Old Style" w:hAnsi="Bookman Old Style"/>
          <w:b/>
          <w:bCs/>
          <w:sz w:val="24"/>
          <w:lang w:val="es-ES"/>
        </w:rPr>
      </w:pPr>
    </w:p>
    <w:p w14:paraId="2429D67F" w14:textId="309E0B86" w:rsidR="0006302B" w:rsidRPr="0030393A" w:rsidRDefault="0006302B" w:rsidP="00A4790E">
      <w:pPr>
        <w:pStyle w:val="Prrafodelista"/>
        <w:numPr>
          <w:ilvl w:val="1"/>
          <w:numId w:val="98"/>
        </w:numPr>
        <w:ind w:left="709" w:hanging="283"/>
        <w:jc w:val="both"/>
        <w:rPr>
          <w:rFonts w:ascii="Bookman Old Style" w:hAnsi="Bookman Old Style"/>
          <w:b/>
          <w:bCs/>
          <w:sz w:val="24"/>
          <w:lang w:val="es-ES"/>
        </w:rPr>
      </w:pPr>
      <w:r w:rsidRPr="0030393A">
        <w:rPr>
          <w:rFonts w:ascii="Bookman Old Style" w:hAnsi="Bookman Old Style"/>
          <w:b/>
          <w:bCs/>
          <w:sz w:val="24"/>
          <w:lang w:val="es-ES"/>
        </w:rPr>
        <w:t xml:space="preserve">Los contratos </w:t>
      </w:r>
      <w:r w:rsidRPr="0030393A">
        <w:rPr>
          <w:rFonts w:ascii="Bookman Old Style" w:hAnsi="Bookman Old Style"/>
          <w:b/>
          <w:bCs/>
          <w:sz w:val="24"/>
          <w:szCs w:val="24"/>
          <w:lang w:val="es-ES"/>
        </w:rPr>
        <w:t>pactados</w:t>
      </w:r>
      <w:r w:rsidRPr="0030393A">
        <w:rPr>
          <w:rFonts w:ascii="Bookman Old Style" w:hAnsi="Bookman Old Style"/>
          <w:b/>
          <w:bCs/>
          <w:sz w:val="24"/>
          <w:lang w:val="es-ES"/>
        </w:rPr>
        <w:t xml:space="preserve"> para atender la Demanda Esencial </w:t>
      </w:r>
      <w:r w:rsidR="00DD4CBB" w:rsidRPr="0030393A">
        <w:rPr>
          <w:rFonts w:ascii="Bookman Old Style" w:hAnsi="Bookman Old Style"/>
          <w:b/>
          <w:bCs/>
          <w:sz w:val="24"/>
          <w:lang w:val="es-ES"/>
        </w:rPr>
        <w:t xml:space="preserve">de la totalidad de las fuentes de </w:t>
      </w:r>
      <w:proofErr w:type="gramStart"/>
      <w:r w:rsidR="00DD4CBB" w:rsidRPr="0030393A">
        <w:rPr>
          <w:rFonts w:ascii="Bookman Old Style" w:hAnsi="Bookman Old Style"/>
          <w:b/>
          <w:bCs/>
          <w:sz w:val="24"/>
          <w:lang w:val="es-ES"/>
        </w:rPr>
        <w:t>suministro,</w:t>
      </w:r>
      <w:proofErr w:type="gramEnd"/>
      <w:r w:rsidR="00DD4CBB" w:rsidRPr="0030393A">
        <w:rPr>
          <w:rFonts w:ascii="Bookman Old Style" w:hAnsi="Bookman Old Style"/>
          <w:b/>
          <w:bCs/>
          <w:sz w:val="24"/>
          <w:lang w:val="es-ES"/>
        </w:rPr>
        <w:t xml:space="preserve"> </w:t>
      </w:r>
      <w:r w:rsidRPr="0030393A">
        <w:rPr>
          <w:rFonts w:ascii="Bookman Old Style" w:hAnsi="Bookman Old Style"/>
          <w:b/>
          <w:bCs/>
          <w:sz w:val="24"/>
          <w:lang w:val="es-ES"/>
        </w:rPr>
        <w:t xml:space="preserve">deberán ser registrados ante el </w:t>
      </w:r>
      <w:r w:rsidR="0022131A" w:rsidRPr="0030393A">
        <w:rPr>
          <w:rFonts w:ascii="Bookman Old Style" w:hAnsi="Bookman Old Style"/>
          <w:b/>
          <w:sz w:val="24"/>
          <w:szCs w:val="24"/>
          <w:lang w:val="es-ES"/>
        </w:rPr>
        <w:t>Gestor</w:t>
      </w:r>
      <w:r w:rsidRPr="0030393A">
        <w:rPr>
          <w:rFonts w:ascii="Bookman Old Style" w:hAnsi="Bookman Old Style"/>
          <w:b/>
          <w:bCs/>
          <w:sz w:val="24"/>
          <w:szCs w:val="24"/>
          <w:lang w:val="es-ES"/>
        </w:rPr>
        <w:t xml:space="preserve"> </w:t>
      </w:r>
      <w:r w:rsidRPr="0030393A">
        <w:rPr>
          <w:rFonts w:ascii="Bookman Old Style" w:hAnsi="Bookman Old Style"/>
          <w:b/>
          <w:bCs/>
          <w:sz w:val="24"/>
          <w:lang w:val="es-ES"/>
        </w:rPr>
        <w:t xml:space="preserve">del Mercado a más tardar el </w:t>
      </w:r>
      <w:r w:rsidR="00571A5A">
        <w:rPr>
          <w:rFonts w:ascii="Bookman Old Style" w:hAnsi="Bookman Old Style"/>
          <w:b/>
          <w:bCs/>
          <w:sz w:val="24"/>
          <w:lang w:val="es-ES"/>
        </w:rPr>
        <w:t>trigésimo séptimo</w:t>
      </w:r>
      <w:r w:rsidRPr="0030393A">
        <w:rPr>
          <w:rFonts w:ascii="Bookman Old Style" w:hAnsi="Bookman Old Style"/>
          <w:b/>
          <w:bCs/>
          <w:sz w:val="24"/>
          <w:lang w:val="es-ES"/>
        </w:rPr>
        <w:t xml:space="preserve"> día hábil del Trimestre Estándar</w:t>
      </w:r>
      <w:r w:rsidRPr="0030393A">
        <w:rPr>
          <w:rFonts w:ascii="Bookman Old Style" w:hAnsi="Bookman Old Style"/>
          <w:b/>
          <w:bCs/>
          <w:sz w:val="24"/>
          <w:szCs w:val="24"/>
          <w:lang w:val="es-ES"/>
        </w:rPr>
        <w:t xml:space="preserve"> </w:t>
      </w:r>
      <w:r w:rsidRPr="0030393A">
        <w:rPr>
          <w:rFonts w:ascii="Bookman Old Style" w:hAnsi="Bookman Old Style"/>
          <w:b/>
          <w:bCs/>
          <w:sz w:val="24"/>
          <w:lang w:val="es-ES"/>
        </w:rPr>
        <w:t>de negociación.</w:t>
      </w:r>
    </w:p>
    <w:p w14:paraId="74169855" w14:textId="77777777" w:rsidR="0006302B" w:rsidRPr="0030393A" w:rsidRDefault="0006302B" w:rsidP="00202051">
      <w:pPr>
        <w:pStyle w:val="Prrafodelista"/>
        <w:ind w:left="709" w:hanging="283"/>
        <w:jc w:val="both"/>
        <w:rPr>
          <w:rFonts w:ascii="Bookman Old Style" w:hAnsi="Bookman Old Style"/>
          <w:b/>
          <w:bCs/>
        </w:rPr>
      </w:pPr>
    </w:p>
    <w:p w14:paraId="21DED8B0" w14:textId="3A2CEB92"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En el caso de las Fuentes de Suministro </w:t>
      </w:r>
      <w:r w:rsidR="007D5594" w:rsidRPr="0030393A">
        <w:rPr>
          <w:rFonts w:ascii="Bookman Old Style" w:hAnsi="Bookman Old Style"/>
          <w:b/>
          <w:bCs/>
          <w:sz w:val="24"/>
          <w:szCs w:val="24"/>
          <w:lang w:val="es-ES"/>
        </w:rPr>
        <w:t>diferentes a</w:t>
      </w:r>
      <w:r w:rsidRPr="0030393A">
        <w:rPr>
          <w:rFonts w:ascii="Bookman Old Style" w:hAnsi="Bookman Old Style"/>
          <w:b/>
          <w:bCs/>
          <w:sz w:val="24"/>
          <w:szCs w:val="24"/>
          <w:lang w:val="es-ES"/>
        </w:rPr>
        <w:t xml:space="preserve"> las establecidas en el </w:t>
      </w:r>
      <w:r w:rsidR="00D75047">
        <w:rPr>
          <w:rFonts w:ascii="Bookman Old Style" w:hAnsi="Bookman Old Style"/>
          <w:b/>
          <w:bCs/>
          <w:sz w:val="24"/>
          <w:szCs w:val="24"/>
          <w:lang w:val="es-ES"/>
        </w:rPr>
        <w:t>a</w:t>
      </w:r>
      <w:r w:rsidRPr="0030393A">
        <w:rPr>
          <w:rFonts w:ascii="Bookman Old Style" w:hAnsi="Bookman Old Style"/>
          <w:b/>
          <w:bCs/>
          <w:sz w:val="24"/>
          <w:szCs w:val="24"/>
          <w:lang w:val="es-ES"/>
        </w:rPr>
        <w:t xml:space="preserve">rtículo 19 de la presente resolución, si después de realizar el descuento mencionado en el Punto de Referencia calculado a partir de las cantidades de suministro de los contratos finalmente registrados ante el </w:t>
      </w:r>
      <w:r w:rsidR="0022131A" w:rsidRPr="0030393A">
        <w:rPr>
          <w:rFonts w:ascii="Bookman Old Style" w:hAnsi="Bookman Old Style"/>
          <w:b/>
          <w:sz w:val="24"/>
          <w:szCs w:val="24"/>
          <w:lang w:val="es-ES"/>
        </w:rPr>
        <w:t>Gestor</w:t>
      </w:r>
      <w:r w:rsidRPr="0030393A">
        <w:rPr>
          <w:rFonts w:ascii="Bookman Old Style" w:hAnsi="Bookman Old Style"/>
          <w:b/>
          <w:sz w:val="24"/>
          <w:szCs w:val="24"/>
          <w:lang w:val="es-ES"/>
        </w:rPr>
        <w:t xml:space="preserve"> del Mercado para atender la Demanda Esencial, el </w:t>
      </w:r>
      <w:r w:rsidR="0022131A" w:rsidRPr="0030393A">
        <w:rPr>
          <w:rFonts w:ascii="Bookman Old Style" w:hAnsi="Bookman Old Style"/>
          <w:b/>
          <w:sz w:val="24"/>
          <w:szCs w:val="24"/>
          <w:lang w:val="es-ES"/>
        </w:rPr>
        <w:t>Gestor</w:t>
      </w:r>
      <w:r w:rsidRPr="0030393A">
        <w:rPr>
          <w:rFonts w:ascii="Bookman Old Style" w:hAnsi="Bookman Old Style"/>
          <w:b/>
          <w:bCs/>
          <w:sz w:val="24"/>
          <w:szCs w:val="24"/>
          <w:lang w:val="es-ES"/>
        </w:rPr>
        <w:t xml:space="preserve"> del Mercado encuentra que en el Trimestre Estándar correspondiente existen cantidades de PTDVF y/o CIDVF disponibles para ese Punto de Referencia, se desarrollará la subasta </w:t>
      </w:r>
      <w:r w:rsidR="00B04003" w:rsidRPr="0030393A">
        <w:rPr>
          <w:rFonts w:ascii="Bookman Old Style" w:hAnsi="Bookman Old Style"/>
          <w:b/>
          <w:bCs/>
          <w:sz w:val="24"/>
          <w:szCs w:val="24"/>
          <w:lang w:val="es-ES"/>
        </w:rPr>
        <w:t xml:space="preserve">reglamentada </w:t>
      </w:r>
      <w:r w:rsidR="00AF060E" w:rsidRPr="0030393A">
        <w:rPr>
          <w:rFonts w:ascii="Bookman Old Style" w:hAnsi="Bookman Old Style"/>
          <w:b/>
          <w:bCs/>
          <w:sz w:val="24"/>
          <w:szCs w:val="24"/>
          <w:lang w:val="es-ES"/>
        </w:rPr>
        <w:t xml:space="preserve">en el Anexo </w:t>
      </w:r>
      <w:r w:rsidR="004A1BB1" w:rsidRPr="0030393A">
        <w:rPr>
          <w:rFonts w:ascii="Bookman Old Style" w:hAnsi="Bookman Old Style"/>
          <w:b/>
          <w:bCs/>
          <w:sz w:val="24"/>
          <w:szCs w:val="24"/>
          <w:lang w:val="es-ES"/>
        </w:rPr>
        <w:t>7</w:t>
      </w:r>
      <w:r w:rsidR="00AF060E" w:rsidRPr="0030393A">
        <w:rPr>
          <w:rFonts w:ascii="Bookman Old Style" w:hAnsi="Bookman Old Style"/>
          <w:b/>
          <w:bCs/>
          <w:sz w:val="24"/>
          <w:szCs w:val="24"/>
          <w:lang w:val="es-ES"/>
        </w:rPr>
        <w:t xml:space="preserve"> de la presente resolución, </w:t>
      </w:r>
      <w:r w:rsidR="00BD072A" w:rsidRPr="0030393A">
        <w:rPr>
          <w:rFonts w:ascii="Bookman Old Style" w:hAnsi="Bookman Old Style"/>
          <w:b/>
          <w:bCs/>
          <w:sz w:val="24"/>
          <w:szCs w:val="24"/>
          <w:lang w:val="es-ES"/>
        </w:rPr>
        <w:t xml:space="preserve">en el </w:t>
      </w:r>
      <w:r w:rsidR="00571A5A">
        <w:rPr>
          <w:rFonts w:ascii="Bookman Old Style" w:hAnsi="Bookman Old Style"/>
          <w:b/>
          <w:bCs/>
          <w:sz w:val="24"/>
          <w:szCs w:val="24"/>
          <w:lang w:val="es-ES"/>
        </w:rPr>
        <w:t>cuadragésimo sexto</w:t>
      </w:r>
      <w:r w:rsidR="00571A5A" w:rsidRPr="0030393A">
        <w:rPr>
          <w:rFonts w:ascii="Bookman Old Style" w:hAnsi="Bookman Old Style"/>
          <w:b/>
          <w:bCs/>
          <w:sz w:val="24"/>
          <w:szCs w:val="24"/>
          <w:lang w:val="es-ES"/>
        </w:rPr>
        <w:t xml:space="preserve"> </w:t>
      </w:r>
      <w:r w:rsidR="00BD072A" w:rsidRPr="0030393A">
        <w:rPr>
          <w:rFonts w:ascii="Bookman Old Style" w:hAnsi="Bookman Old Style"/>
          <w:b/>
          <w:bCs/>
          <w:sz w:val="24"/>
          <w:szCs w:val="24"/>
          <w:lang w:val="es-ES"/>
        </w:rPr>
        <w:t xml:space="preserve">día hábil del trimestre estándar de negociación, </w:t>
      </w:r>
      <w:r w:rsidRPr="0030393A">
        <w:rPr>
          <w:rFonts w:ascii="Bookman Old Style" w:hAnsi="Bookman Old Style"/>
          <w:b/>
          <w:bCs/>
          <w:sz w:val="24"/>
          <w:szCs w:val="24"/>
          <w:lang w:val="es-ES"/>
        </w:rPr>
        <w:t xml:space="preserve">con el fin de asignar dichas cantidades disponibles en las modalidades contractuales contempladas. Los comercializadores que representan usuarios regulados que son parte de la Demanda Esencial no podrán participar en la subasta </w:t>
      </w:r>
      <w:r w:rsidR="007E50D2">
        <w:rPr>
          <w:rFonts w:ascii="Bookman Old Style" w:hAnsi="Bookman Old Style"/>
          <w:b/>
          <w:bCs/>
          <w:sz w:val="24"/>
          <w:szCs w:val="24"/>
          <w:lang w:val="es-ES"/>
        </w:rPr>
        <w:t>con el fin de</w:t>
      </w:r>
      <w:r w:rsidR="007E50D2" w:rsidRPr="0030393A">
        <w:rPr>
          <w:rFonts w:ascii="Bookman Old Style" w:hAnsi="Bookman Old Style"/>
          <w:b/>
          <w:bCs/>
          <w:sz w:val="24"/>
          <w:szCs w:val="24"/>
          <w:lang w:val="es-ES"/>
        </w:rPr>
        <w:t xml:space="preserve"> </w:t>
      </w:r>
      <w:r w:rsidRPr="0030393A">
        <w:rPr>
          <w:rFonts w:ascii="Bookman Old Style" w:hAnsi="Bookman Old Style"/>
          <w:b/>
          <w:bCs/>
          <w:sz w:val="24"/>
          <w:szCs w:val="24"/>
          <w:lang w:val="es-ES"/>
        </w:rPr>
        <w:t xml:space="preserve">adquirir las cantidades para atender estos usuarios de la Demanda Esencial. </w:t>
      </w:r>
    </w:p>
    <w:p w14:paraId="7D2B8950" w14:textId="77777777" w:rsidR="0006302B" w:rsidRPr="0030393A" w:rsidRDefault="0006302B" w:rsidP="00202051">
      <w:pPr>
        <w:pStyle w:val="Prrafodelista"/>
        <w:ind w:left="709" w:hanging="283"/>
        <w:jc w:val="both"/>
        <w:rPr>
          <w:rFonts w:ascii="Bookman Old Style" w:hAnsi="Bookman Old Style"/>
          <w:b/>
          <w:bCs/>
          <w:sz w:val="24"/>
          <w:szCs w:val="24"/>
          <w:lang w:val="es-ES"/>
        </w:rPr>
      </w:pPr>
    </w:p>
    <w:p w14:paraId="0A3FB6CE" w14:textId="711BEA44" w:rsidR="0006302B" w:rsidRPr="0030393A"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szCs w:val="24"/>
          <w:lang w:val="es-ES"/>
        </w:rPr>
        <w:t xml:space="preserve">En el caso de las Fuentes de Suministro establecidas en el </w:t>
      </w:r>
      <w:r w:rsidR="00656E82">
        <w:rPr>
          <w:rFonts w:ascii="Bookman Old Style" w:hAnsi="Bookman Old Style"/>
          <w:b/>
          <w:bCs/>
          <w:sz w:val="24"/>
          <w:szCs w:val="24"/>
          <w:lang w:val="es-ES"/>
        </w:rPr>
        <w:t>a</w:t>
      </w:r>
      <w:r w:rsidRPr="0030393A">
        <w:rPr>
          <w:rFonts w:ascii="Bookman Old Style" w:hAnsi="Bookman Old Style"/>
          <w:b/>
          <w:bCs/>
          <w:sz w:val="24"/>
          <w:szCs w:val="24"/>
          <w:lang w:val="es-ES"/>
        </w:rPr>
        <w:t xml:space="preserve">rtículo 19 de la presente resolución, si después de realizar el descuento mencionado en el Punto de Referencia a partir de las cantidades de suministro de los contratos finalmente registrados ante el </w:t>
      </w:r>
      <w:r w:rsidR="0022131A" w:rsidRPr="0030393A">
        <w:rPr>
          <w:rFonts w:ascii="Bookman Old Style" w:hAnsi="Bookman Old Style"/>
          <w:b/>
          <w:bCs/>
          <w:sz w:val="24"/>
          <w:szCs w:val="24"/>
          <w:lang w:val="es-ES"/>
        </w:rPr>
        <w:t>Gestor</w:t>
      </w:r>
      <w:r w:rsidRPr="0030393A">
        <w:rPr>
          <w:rFonts w:ascii="Bookman Old Style" w:hAnsi="Bookman Old Style"/>
          <w:b/>
          <w:bCs/>
          <w:sz w:val="24"/>
          <w:szCs w:val="24"/>
          <w:lang w:val="es-ES"/>
        </w:rPr>
        <w:t xml:space="preserve"> del Mercado para atender la Demanda Esencial en el ítem anterior, el </w:t>
      </w:r>
      <w:r w:rsidR="0022131A" w:rsidRPr="0030393A">
        <w:rPr>
          <w:rFonts w:ascii="Bookman Old Style" w:hAnsi="Bookman Old Style"/>
          <w:b/>
          <w:bCs/>
          <w:sz w:val="24"/>
          <w:szCs w:val="24"/>
          <w:lang w:val="es-ES"/>
        </w:rPr>
        <w:t>Gestor</w:t>
      </w:r>
      <w:r w:rsidRPr="0030393A">
        <w:rPr>
          <w:rFonts w:ascii="Bookman Old Style" w:hAnsi="Bookman Old Style"/>
          <w:b/>
          <w:bCs/>
          <w:sz w:val="24"/>
          <w:szCs w:val="24"/>
          <w:lang w:val="es-ES"/>
        </w:rPr>
        <w:t xml:space="preserve"> del Mercado encuentra que existen cantidades de PTDVF y/o CIDVF disponibles por </w:t>
      </w:r>
      <w:r w:rsidR="00CF1B9A" w:rsidRPr="0030393A">
        <w:rPr>
          <w:rFonts w:ascii="Bookman Old Style" w:hAnsi="Bookman Old Style"/>
          <w:b/>
          <w:bCs/>
          <w:sz w:val="24"/>
          <w:szCs w:val="24"/>
          <w:lang w:val="es-ES"/>
        </w:rPr>
        <w:t xml:space="preserve">Punto de Entrega </w:t>
      </w:r>
      <w:r w:rsidRPr="0030393A">
        <w:rPr>
          <w:rFonts w:ascii="Bookman Old Style" w:hAnsi="Bookman Old Style"/>
          <w:b/>
          <w:bCs/>
          <w:sz w:val="24"/>
          <w:szCs w:val="24"/>
          <w:lang w:val="es-ES"/>
        </w:rPr>
        <w:t xml:space="preserve">para las Fuentes de Suministro del Punto de Referencia, éstas deberán ser asignadas por el vendedor entre los compradores solicitantes, a través de un </w:t>
      </w:r>
      <w:r w:rsidRPr="0030393A">
        <w:rPr>
          <w:rFonts w:ascii="Bookman Old Style" w:hAnsi="Bookman Old Style"/>
          <w:b/>
          <w:bCs/>
          <w:sz w:val="24"/>
          <w:szCs w:val="24"/>
          <w:lang w:val="es-ES"/>
        </w:rPr>
        <w:lastRenderedPageBreak/>
        <w:t xml:space="preserve">mecanismo de </w:t>
      </w:r>
      <w:r w:rsidR="00D64E48" w:rsidRPr="0030393A">
        <w:rPr>
          <w:rFonts w:ascii="Bookman Old Style" w:hAnsi="Bookman Old Style"/>
          <w:b/>
          <w:sz w:val="24"/>
          <w:szCs w:val="24"/>
        </w:rPr>
        <w:t>concurrencia</w:t>
      </w:r>
      <w:r w:rsidR="00631DB9" w:rsidRPr="0030393A">
        <w:rPr>
          <w:rFonts w:ascii="Bookman Old Style" w:hAnsi="Bookman Old Style"/>
          <w:b/>
          <w:sz w:val="24"/>
          <w:szCs w:val="24"/>
        </w:rPr>
        <w:t xml:space="preserve"> de interesados,</w:t>
      </w:r>
      <w:r w:rsidR="00631DB9" w:rsidRPr="0030393A">
        <w:rPr>
          <w:rFonts w:ascii="Bookman Old Style" w:hAnsi="Bookman Old Style"/>
          <w:b/>
          <w:bCs/>
          <w:sz w:val="24"/>
          <w:szCs w:val="24"/>
          <w:lang w:val="es-ES"/>
        </w:rPr>
        <w:t xml:space="preserve"> </w:t>
      </w:r>
      <w:r w:rsidRPr="0030393A">
        <w:rPr>
          <w:rFonts w:ascii="Bookman Old Style" w:hAnsi="Bookman Old Style"/>
          <w:b/>
          <w:bCs/>
          <w:sz w:val="24"/>
          <w:szCs w:val="24"/>
          <w:lang w:val="es-ES"/>
        </w:rPr>
        <w:t>que el vendedor deberá hacer público previamente, cumpliendo con</w:t>
      </w:r>
      <w:r>
        <w:rPr>
          <w:rFonts w:ascii="Bookman Old Style" w:hAnsi="Bookman Old Style"/>
          <w:b/>
          <w:bCs/>
          <w:sz w:val="24"/>
          <w:szCs w:val="24"/>
          <w:lang w:val="es-ES"/>
        </w:rPr>
        <w:t xml:space="preserve"> lo establecido en la Resolución CREG 080 de 2019 o aquellas que la modifiquen o sustituyan, así </w:t>
      </w:r>
      <w:r w:rsidRPr="0030393A">
        <w:rPr>
          <w:rFonts w:ascii="Bookman Old Style" w:hAnsi="Bookman Old Style"/>
          <w:b/>
          <w:bCs/>
          <w:sz w:val="24"/>
          <w:szCs w:val="24"/>
          <w:lang w:val="es-ES"/>
        </w:rPr>
        <w:t xml:space="preserve">como los criterios establecidos en el </w:t>
      </w:r>
      <w:r w:rsidR="00A43FA7">
        <w:rPr>
          <w:rFonts w:ascii="Bookman Old Style" w:hAnsi="Bookman Old Style"/>
          <w:b/>
          <w:bCs/>
          <w:sz w:val="24"/>
          <w:szCs w:val="24"/>
          <w:lang w:val="es-ES"/>
        </w:rPr>
        <w:t>a</w:t>
      </w:r>
      <w:r w:rsidR="00CD18A4" w:rsidRPr="0030393A">
        <w:rPr>
          <w:rFonts w:ascii="Bookman Old Style" w:hAnsi="Bookman Old Style"/>
          <w:b/>
          <w:bCs/>
          <w:sz w:val="24"/>
          <w:szCs w:val="24"/>
          <w:lang w:val="es-ES"/>
        </w:rPr>
        <w:t>rtículo</w:t>
      </w:r>
      <w:r w:rsidR="008129CC" w:rsidRPr="0030393A">
        <w:rPr>
          <w:rFonts w:ascii="Bookman Old Style" w:hAnsi="Bookman Old Style"/>
          <w:b/>
          <w:bCs/>
          <w:sz w:val="24"/>
          <w:szCs w:val="24"/>
          <w:lang w:val="es-ES"/>
        </w:rPr>
        <w:t xml:space="preserve"> 42 </w:t>
      </w:r>
      <w:r w:rsidRPr="0030393A">
        <w:rPr>
          <w:rFonts w:ascii="Bookman Old Style" w:hAnsi="Bookman Old Style"/>
          <w:b/>
          <w:bCs/>
          <w:sz w:val="24"/>
          <w:szCs w:val="24"/>
          <w:lang w:val="es-ES"/>
        </w:rPr>
        <w:t>de</w:t>
      </w:r>
      <w:r w:rsidR="00CD18A4" w:rsidRPr="0030393A">
        <w:rPr>
          <w:rFonts w:ascii="Bookman Old Style" w:hAnsi="Bookman Old Style"/>
          <w:b/>
          <w:bCs/>
          <w:sz w:val="24"/>
          <w:szCs w:val="24"/>
          <w:lang w:val="es-ES"/>
        </w:rPr>
        <w:t xml:space="preserve"> la presente resolución</w:t>
      </w:r>
      <w:r w:rsidRPr="0030393A">
        <w:rPr>
          <w:rFonts w:ascii="Bookman Old Style" w:hAnsi="Bookman Old Style"/>
          <w:b/>
          <w:bCs/>
          <w:sz w:val="24"/>
          <w:szCs w:val="24"/>
          <w:lang w:val="es-ES"/>
        </w:rPr>
        <w:t>.</w:t>
      </w:r>
    </w:p>
    <w:p w14:paraId="082D1E58" w14:textId="77777777" w:rsidR="007411A0" w:rsidRPr="0030393A" w:rsidRDefault="007411A0" w:rsidP="007411A0">
      <w:pPr>
        <w:pStyle w:val="Prrafodelista"/>
        <w:rPr>
          <w:rFonts w:ascii="Bookman Old Style" w:hAnsi="Bookman Old Style"/>
          <w:b/>
          <w:bCs/>
          <w:sz w:val="24"/>
          <w:szCs w:val="24"/>
          <w:lang w:val="es-ES"/>
        </w:rPr>
      </w:pPr>
    </w:p>
    <w:p w14:paraId="4954B050" w14:textId="5F339409" w:rsidR="0006302B" w:rsidRPr="0030393A" w:rsidRDefault="007411A0">
      <w:pPr>
        <w:pStyle w:val="Prrafodelista"/>
        <w:numPr>
          <w:ilvl w:val="1"/>
          <w:numId w:val="98"/>
        </w:numPr>
        <w:ind w:left="709" w:hanging="283"/>
        <w:jc w:val="both"/>
        <w:rPr>
          <w:rFonts w:ascii="Bookman Old Style" w:hAnsi="Bookman Old Style"/>
          <w:b/>
          <w:bCs/>
        </w:rPr>
      </w:pPr>
      <w:r w:rsidRPr="0030393A">
        <w:rPr>
          <w:rFonts w:ascii="Bookman Old Style" w:hAnsi="Bookman Old Style"/>
          <w:b/>
          <w:bCs/>
          <w:sz w:val="24"/>
          <w:szCs w:val="24"/>
          <w:lang w:val="es-ES"/>
        </w:rPr>
        <w:t xml:space="preserve">En el caso </w:t>
      </w:r>
      <w:r w:rsidR="00EC264A" w:rsidRPr="0030393A">
        <w:rPr>
          <w:rFonts w:ascii="Bookman Old Style" w:hAnsi="Bookman Old Style"/>
          <w:b/>
          <w:bCs/>
          <w:sz w:val="24"/>
          <w:szCs w:val="24"/>
          <w:lang w:val="es-ES"/>
        </w:rPr>
        <w:t xml:space="preserve">mencionado en el literal </w:t>
      </w:r>
      <w:r w:rsidR="004C3902" w:rsidRPr="0030393A">
        <w:rPr>
          <w:rFonts w:ascii="Bookman Old Style" w:hAnsi="Bookman Old Style"/>
          <w:b/>
          <w:bCs/>
          <w:sz w:val="24"/>
          <w:szCs w:val="24"/>
          <w:lang w:val="es-ES"/>
        </w:rPr>
        <w:t>p</w:t>
      </w:r>
      <w:r w:rsidR="00EC264A" w:rsidRPr="0030393A">
        <w:rPr>
          <w:rFonts w:ascii="Bookman Old Style" w:hAnsi="Bookman Old Style"/>
          <w:b/>
          <w:bCs/>
          <w:sz w:val="24"/>
          <w:szCs w:val="24"/>
          <w:lang w:val="es-ES"/>
        </w:rPr>
        <w:t xml:space="preserve">. anterior, si </w:t>
      </w:r>
      <w:r w:rsidRPr="0030393A">
        <w:rPr>
          <w:rFonts w:ascii="Bookman Old Style" w:hAnsi="Bookman Old Style"/>
          <w:b/>
          <w:bCs/>
          <w:sz w:val="24"/>
          <w:szCs w:val="24"/>
          <w:lang w:val="es-ES"/>
        </w:rPr>
        <w:t>para un punto de referencia no hay cantidades que excedan las necesidades de la demanda esencial para un trimestre y, por tanto</w:t>
      </w:r>
      <w:r w:rsidR="00631DB9" w:rsidRPr="0030393A">
        <w:rPr>
          <w:rFonts w:ascii="Bookman Old Style" w:hAnsi="Bookman Old Style"/>
          <w:b/>
          <w:bCs/>
          <w:sz w:val="24"/>
          <w:szCs w:val="24"/>
          <w:lang w:val="es-ES"/>
        </w:rPr>
        <w:t>,</w:t>
      </w:r>
      <w:r w:rsidRPr="0030393A">
        <w:rPr>
          <w:rFonts w:ascii="Bookman Old Style" w:hAnsi="Bookman Old Style"/>
          <w:b/>
          <w:bCs/>
          <w:sz w:val="24"/>
          <w:szCs w:val="24"/>
          <w:lang w:val="es-ES"/>
        </w:rPr>
        <w:t xml:space="preserve"> no haya desarrollo de comercialización de gas para la demanda diferente a la demanda esencial declarada</w:t>
      </w:r>
      <w:r w:rsidR="00206ED2" w:rsidRPr="0030393A">
        <w:rPr>
          <w:rFonts w:ascii="Bookman Old Style" w:hAnsi="Bookman Old Style"/>
          <w:b/>
          <w:bCs/>
          <w:sz w:val="24"/>
          <w:szCs w:val="24"/>
          <w:lang w:val="es-ES"/>
        </w:rPr>
        <w:t xml:space="preserve"> requerida</w:t>
      </w:r>
      <w:r w:rsidRPr="0030393A">
        <w:rPr>
          <w:rFonts w:ascii="Bookman Old Style" w:hAnsi="Bookman Old Style"/>
          <w:b/>
          <w:bCs/>
          <w:sz w:val="24"/>
          <w:szCs w:val="24"/>
          <w:lang w:val="es-ES"/>
        </w:rPr>
        <w:t xml:space="preserve">, el precio a aplicar en los contratos de suministro para la demanda esencial corresponderá al </w:t>
      </w:r>
      <w:r w:rsidR="00EC264A" w:rsidRPr="0030393A">
        <w:rPr>
          <w:rFonts w:ascii="Bookman Old Style" w:hAnsi="Bookman Old Style"/>
          <w:b/>
          <w:bCs/>
          <w:sz w:val="24"/>
          <w:szCs w:val="24"/>
          <w:lang w:val="es-ES"/>
        </w:rPr>
        <w:t>precio de reserva declarado al Gestor del Mercado, de acuerdo con el literal a. del presente numeral.</w:t>
      </w:r>
    </w:p>
    <w:p w14:paraId="34B3FF8D" w14:textId="77777777" w:rsidR="007F6AF7" w:rsidRPr="0030393A" w:rsidRDefault="007F6AF7" w:rsidP="007F6AF7">
      <w:pPr>
        <w:pStyle w:val="Prrafodelista"/>
        <w:rPr>
          <w:rFonts w:ascii="Bookman Old Style" w:hAnsi="Bookman Old Style"/>
          <w:b/>
          <w:bCs/>
        </w:rPr>
      </w:pPr>
    </w:p>
    <w:p w14:paraId="50FCBEBC" w14:textId="68561C59" w:rsidR="0006302B" w:rsidRPr="000A4B7F" w:rsidRDefault="0006302B" w:rsidP="00A4790E">
      <w:pPr>
        <w:pStyle w:val="Prrafodelista"/>
        <w:numPr>
          <w:ilvl w:val="1"/>
          <w:numId w:val="98"/>
        </w:numPr>
        <w:ind w:left="709" w:hanging="283"/>
        <w:jc w:val="both"/>
        <w:rPr>
          <w:rFonts w:ascii="Bookman Old Style" w:hAnsi="Bookman Old Style"/>
          <w:b/>
          <w:bCs/>
          <w:sz w:val="24"/>
          <w:szCs w:val="24"/>
          <w:lang w:val="es-ES"/>
        </w:rPr>
      </w:pPr>
      <w:r w:rsidRPr="0030393A">
        <w:rPr>
          <w:rFonts w:ascii="Bookman Old Style" w:hAnsi="Bookman Old Style"/>
          <w:b/>
          <w:bCs/>
          <w:sz w:val="24"/>
          <w:lang w:val="es-ES"/>
        </w:rPr>
        <w:t xml:space="preserve">Los </w:t>
      </w:r>
      <w:r w:rsidRPr="0030393A">
        <w:rPr>
          <w:rFonts w:ascii="Bookman Old Style" w:hAnsi="Bookman Old Style"/>
          <w:b/>
          <w:bCs/>
          <w:sz w:val="24"/>
          <w:szCs w:val="24"/>
          <w:lang w:val="es-ES"/>
        </w:rPr>
        <w:t>vendedores suscribirán los contratos de suministro con los compradores, de acuerdo con las cantidades requeridas por los compradores para atender</w:t>
      </w:r>
      <w:r w:rsidR="00DD4CBB" w:rsidRPr="0030393A">
        <w:rPr>
          <w:rFonts w:ascii="Bookman Old Style" w:hAnsi="Bookman Old Style"/>
          <w:b/>
          <w:bCs/>
          <w:sz w:val="24"/>
          <w:szCs w:val="24"/>
          <w:lang w:val="es-ES"/>
        </w:rPr>
        <w:t xml:space="preserve"> tanto </w:t>
      </w:r>
      <w:r w:rsidRPr="0030393A">
        <w:rPr>
          <w:rFonts w:ascii="Bookman Old Style" w:hAnsi="Bookman Old Style"/>
          <w:b/>
          <w:bCs/>
          <w:sz w:val="24"/>
          <w:szCs w:val="24"/>
          <w:lang w:val="es-ES"/>
        </w:rPr>
        <w:t xml:space="preserve">a la </w:t>
      </w:r>
      <w:r w:rsidR="00DD4CBB" w:rsidRPr="0030393A">
        <w:rPr>
          <w:rFonts w:ascii="Bookman Old Style" w:hAnsi="Bookman Old Style"/>
          <w:b/>
          <w:bCs/>
          <w:sz w:val="24"/>
          <w:szCs w:val="24"/>
          <w:lang w:val="es-ES"/>
        </w:rPr>
        <w:t xml:space="preserve">Demanda Esencial como a la </w:t>
      </w:r>
      <w:r w:rsidRPr="0030393A">
        <w:rPr>
          <w:rFonts w:ascii="Bookman Old Style" w:hAnsi="Bookman Old Style"/>
          <w:b/>
          <w:bCs/>
          <w:sz w:val="24"/>
          <w:szCs w:val="24"/>
          <w:lang w:val="es-ES"/>
        </w:rPr>
        <w:t>demanda restante por</w:t>
      </w:r>
      <w:r w:rsidR="002F3EC1" w:rsidRPr="0030393A">
        <w:rPr>
          <w:rFonts w:ascii="Bookman Old Style" w:hAnsi="Bookman Old Style"/>
          <w:b/>
          <w:bCs/>
          <w:sz w:val="24"/>
          <w:szCs w:val="24"/>
          <w:lang w:val="es-ES"/>
        </w:rPr>
        <w:t xml:space="preserve"> Punto de Entrega</w:t>
      </w:r>
      <w:r w:rsidRPr="0030393A">
        <w:rPr>
          <w:rFonts w:ascii="Bookman Old Style" w:hAnsi="Bookman Old Style"/>
          <w:b/>
          <w:bCs/>
          <w:sz w:val="24"/>
          <w:szCs w:val="24"/>
          <w:lang w:val="es-ES"/>
        </w:rPr>
        <w:t xml:space="preserve"> y Fuente de Suministro. El registro ante el </w:t>
      </w:r>
      <w:r w:rsidR="0022131A" w:rsidRPr="0030393A">
        <w:rPr>
          <w:rFonts w:ascii="Bookman Old Style" w:hAnsi="Bookman Old Style"/>
          <w:b/>
          <w:sz w:val="24"/>
          <w:szCs w:val="24"/>
          <w:lang w:val="es-ES"/>
        </w:rPr>
        <w:t>Gestor</w:t>
      </w:r>
      <w:r w:rsidRPr="0030393A">
        <w:rPr>
          <w:rFonts w:ascii="Bookman Old Style" w:hAnsi="Bookman Old Style"/>
          <w:b/>
          <w:sz w:val="24"/>
          <w:szCs w:val="24"/>
          <w:lang w:val="es-ES"/>
        </w:rPr>
        <w:t xml:space="preserve"> </w:t>
      </w:r>
      <w:r w:rsidRPr="0030393A">
        <w:rPr>
          <w:rFonts w:ascii="Bookman Old Style" w:hAnsi="Bookman Old Style"/>
          <w:b/>
          <w:bCs/>
          <w:sz w:val="24"/>
          <w:szCs w:val="24"/>
          <w:lang w:val="es-ES"/>
        </w:rPr>
        <w:t xml:space="preserve">del Mercado de los contratos resultantes </w:t>
      </w:r>
      <w:r w:rsidR="00DD4CBB" w:rsidRPr="0030393A">
        <w:rPr>
          <w:rFonts w:ascii="Bookman Old Style" w:hAnsi="Bookman Old Style"/>
          <w:b/>
          <w:bCs/>
          <w:sz w:val="24"/>
          <w:szCs w:val="24"/>
          <w:lang w:val="es-ES"/>
        </w:rPr>
        <w:t xml:space="preserve">de las subastas </w:t>
      </w:r>
      <w:r w:rsidRPr="0030393A">
        <w:rPr>
          <w:rFonts w:ascii="Bookman Old Style" w:hAnsi="Bookman Old Style"/>
          <w:b/>
          <w:bCs/>
          <w:sz w:val="24"/>
          <w:szCs w:val="24"/>
          <w:lang w:val="es-ES"/>
        </w:rPr>
        <w:t xml:space="preserve">deberá realizarse, como máximo, al </w:t>
      </w:r>
      <w:r w:rsidR="00571A5A">
        <w:rPr>
          <w:rFonts w:ascii="Bookman Old Style" w:hAnsi="Bookman Old Style"/>
          <w:b/>
          <w:bCs/>
          <w:sz w:val="24"/>
          <w:szCs w:val="24"/>
          <w:lang w:val="es-ES"/>
        </w:rPr>
        <w:t>quincuagésimo sexto</w:t>
      </w:r>
      <w:r w:rsidR="00571A5A" w:rsidRPr="0030393A">
        <w:rPr>
          <w:rFonts w:ascii="Bookman Old Style" w:hAnsi="Bookman Old Style"/>
          <w:b/>
          <w:bCs/>
          <w:sz w:val="24"/>
          <w:szCs w:val="24"/>
          <w:lang w:val="es-ES"/>
        </w:rPr>
        <w:t xml:space="preserve"> </w:t>
      </w:r>
      <w:r w:rsidRPr="0030393A">
        <w:rPr>
          <w:rFonts w:ascii="Bookman Old Style" w:hAnsi="Bookman Old Style"/>
          <w:b/>
          <w:bCs/>
          <w:sz w:val="24"/>
          <w:szCs w:val="24"/>
          <w:lang w:val="es-ES"/>
        </w:rPr>
        <w:t>quinto día hábil del Trimestre Estándar de negociación</w:t>
      </w:r>
      <w:r w:rsidR="006A129C">
        <w:rPr>
          <w:rFonts w:ascii="Bookman Old Style" w:hAnsi="Bookman Old Style"/>
          <w:b/>
          <w:bCs/>
          <w:sz w:val="24"/>
          <w:szCs w:val="24"/>
          <w:lang w:val="es-ES"/>
        </w:rPr>
        <w:t>.</w:t>
      </w:r>
    </w:p>
    <w:p w14:paraId="0B2E0BB1" w14:textId="77777777" w:rsidR="0006302B" w:rsidRPr="000A4B7F" w:rsidRDefault="0006302B" w:rsidP="00202051">
      <w:pPr>
        <w:pStyle w:val="Prrafodelista"/>
        <w:ind w:left="709" w:hanging="283"/>
        <w:rPr>
          <w:rFonts w:ascii="Bookman Old Style" w:hAnsi="Bookman Old Style"/>
          <w:b/>
          <w:bCs/>
          <w:sz w:val="24"/>
          <w:szCs w:val="24"/>
          <w:lang w:val="es-ES"/>
        </w:rPr>
      </w:pPr>
    </w:p>
    <w:p w14:paraId="7A03202E" w14:textId="59CCD67C" w:rsidR="0006302B" w:rsidRPr="000A4B7F" w:rsidRDefault="0006302B" w:rsidP="0006302B">
      <w:pPr>
        <w:ind w:left="0"/>
        <w:jc w:val="both"/>
        <w:rPr>
          <w:rFonts w:ascii="Bookman Old Style" w:hAnsi="Bookman Old Style"/>
          <w:b/>
          <w:bCs/>
        </w:rPr>
      </w:pPr>
      <w:r w:rsidRPr="000A4B7F">
        <w:rPr>
          <w:rFonts w:ascii="Bookman Old Style" w:hAnsi="Bookman Old Style"/>
          <w:b/>
          <w:bCs/>
        </w:rPr>
        <w:t xml:space="preserve">Parágrafo </w:t>
      </w:r>
      <w:r w:rsidR="004E231C">
        <w:rPr>
          <w:rFonts w:ascii="Bookman Old Style" w:hAnsi="Bookman Old Style"/>
          <w:b/>
          <w:bCs/>
        </w:rPr>
        <w:t>1</w:t>
      </w:r>
      <w:r>
        <w:rPr>
          <w:rFonts w:ascii="Bookman Old Style" w:hAnsi="Bookman Old Style"/>
          <w:b/>
          <w:bCs/>
        </w:rPr>
        <w:t>.</w:t>
      </w:r>
      <w:r w:rsidRPr="000A4B7F">
        <w:rPr>
          <w:rFonts w:ascii="Bookman Old Style" w:hAnsi="Bookman Old Style"/>
          <w:b/>
          <w:bCs/>
        </w:rPr>
        <w:t xml:space="preserve"> Los </w:t>
      </w:r>
      <w:r w:rsidRPr="00E66B21">
        <w:rPr>
          <w:rFonts w:ascii="Bookman Old Style" w:hAnsi="Bookman Old Style"/>
          <w:b/>
          <w:bCs/>
        </w:rPr>
        <w:t xml:space="preserve">vendedores del Mercado Primario y </w:t>
      </w:r>
      <w:r w:rsidRPr="00730A18">
        <w:rPr>
          <w:rFonts w:ascii="Bookman Old Style" w:hAnsi="Bookman Old Style"/>
          <w:b/>
          <w:bCs/>
        </w:rPr>
        <w:t xml:space="preserve">el </w:t>
      </w:r>
      <w:r w:rsidR="0022131A" w:rsidRPr="002D5416">
        <w:rPr>
          <w:rFonts w:ascii="Bookman Old Style" w:hAnsi="Bookman Old Style"/>
          <w:b/>
          <w:bCs/>
          <w:u w:color="FF0000"/>
        </w:rPr>
        <w:t>Gestor</w:t>
      </w:r>
      <w:r w:rsidRPr="00730A18">
        <w:rPr>
          <w:rFonts w:ascii="Bookman Old Style" w:hAnsi="Bookman Old Style"/>
          <w:b/>
          <w:bCs/>
        </w:rPr>
        <w:t xml:space="preserve"> del </w:t>
      </w:r>
      <w:r w:rsidRPr="00E66B21">
        <w:rPr>
          <w:rFonts w:ascii="Bookman Old Style" w:hAnsi="Bookman Old Style"/>
          <w:b/>
          <w:bCs/>
        </w:rPr>
        <w:t xml:space="preserve">Mercado, deberán asegurarse </w:t>
      </w:r>
      <w:r w:rsidR="0042080E" w:rsidRPr="00E66B21">
        <w:rPr>
          <w:rFonts w:ascii="Bookman Old Style" w:hAnsi="Bookman Old Style"/>
          <w:b/>
          <w:bCs/>
        </w:rPr>
        <w:t>de que</w:t>
      </w:r>
      <w:r w:rsidRPr="00E66B21">
        <w:rPr>
          <w:rFonts w:ascii="Bookman Old Style" w:hAnsi="Bookman Old Style"/>
          <w:b/>
          <w:bCs/>
        </w:rPr>
        <w:t xml:space="preserve"> la PTDVF con la que cuenta cada una de las Fuentes de Suministro utilizadas en el contrato que se negocia, tiene un valor igual o superior a la cantidad asignada a dicha Fuente de Suministro en dicho contrato. Para la comparación anterior se deberá utilizar el resultado que obtengan para la PTDVF disponible de cada Fuente de Suministro que aparece en el contrato</w:t>
      </w:r>
      <w:r w:rsidRPr="000A4B7F">
        <w:rPr>
          <w:rFonts w:ascii="Bookman Old Style" w:hAnsi="Bookman Old Style"/>
          <w:b/>
          <w:bCs/>
        </w:rPr>
        <w:t xml:space="preserve">, el cual se calcula restando al valor total de la PTDVF declarada más reciente, las cantidades de suministro </w:t>
      </w:r>
      <w:r w:rsidR="006B1DB6">
        <w:rPr>
          <w:rFonts w:ascii="Bookman Old Style" w:hAnsi="Bookman Old Style"/>
          <w:b/>
          <w:bCs/>
        </w:rPr>
        <w:t>firme o que garantiza firmeza</w:t>
      </w:r>
      <w:r w:rsidRPr="000A4B7F">
        <w:rPr>
          <w:rFonts w:ascii="Bookman Old Style" w:hAnsi="Bookman Old Style"/>
          <w:b/>
          <w:bCs/>
        </w:rPr>
        <w:t xml:space="preserve"> asignadas a esa </w:t>
      </w:r>
      <w:r>
        <w:rPr>
          <w:rFonts w:ascii="Bookman Old Style" w:hAnsi="Bookman Old Style"/>
          <w:b/>
          <w:bCs/>
        </w:rPr>
        <w:t>Fuente de Suministro</w:t>
      </w:r>
      <w:r w:rsidRPr="000A4B7F">
        <w:rPr>
          <w:rFonts w:ascii="Bookman Old Style" w:hAnsi="Bookman Old Style"/>
          <w:b/>
          <w:bCs/>
        </w:rPr>
        <w:t xml:space="preserve"> en los contratos registrados con posterioridad a la declaración de dicha PTDVF. </w:t>
      </w:r>
    </w:p>
    <w:p w14:paraId="64F67015" w14:textId="77777777" w:rsidR="0006302B" w:rsidRPr="000A4B7F" w:rsidRDefault="0006302B" w:rsidP="0006302B">
      <w:pPr>
        <w:ind w:left="0"/>
        <w:jc w:val="both"/>
        <w:rPr>
          <w:rFonts w:ascii="Bookman Old Style" w:hAnsi="Bookman Old Style"/>
          <w:b/>
          <w:bCs/>
        </w:rPr>
      </w:pPr>
    </w:p>
    <w:p w14:paraId="5D36BAB5" w14:textId="4A8A7A24" w:rsidR="0006302B" w:rsidRPr="000A4B7F" w:rsidRDefault="0006302B" w:rsidP="0006302B">
      <w:pPr>
        <w:ind w:left="0"/>
        <w:jc w:val="both"/>
        <w:rPr>
          <w:rFonts w:ascii="Bookman Old Style" w:hAnsi="Bookman Old Style"/>
          <w:b/>
          <w:bCs/>
        </w:rPr>
      </w:pPr>
      <w:r>
        <w:rPr>
          <w:rFonts w:ascii="Bookman Old Style" w:hAnsi="Bookman Old Style"/>
          <w:b/>
          <w:bCs/>
        </w:rPr>
        <w:t xml:space="preserve">Parágrafo </w:t>
      </w:r>
      <w:r w:rsidR="004E231C">
        <w:rPr>
          <w:rFonts w:ascii="Bookman Old Style" w:hAnsi="Bookman Old Style"/>
          <w:b/>
          <w:bCs/>
          <w:strike/>
        </w:rPr>
        <w:t>2</w:t>
      </w:r>
      <w:r>
        <w:rPr>
          <w:rFonts w:ascii="Bookman Old Style" w:hAnsi="Bookman Old Style"/>
          <w:b/>
          <w:bCs/>
        </w:rPr>
        <w:t xml:space="preserve">: </w:t>
      </w:r>
      <w:r w:rsidRPr="000A4B7F">
        <w:rPr>
          <w:rFonts w:ascii="Bookman Old Style" w:hAnsi="Bookman Old Style"/>
          <w:b/>
          <w:bCs/>
        </w:rPr>
        <w:t>Para efectos de</w:t>
      </w:r>
      <w:r>
        <w:rPr>
          <w:rFonts w:ascii="Bookman Old Style" w:hAnsi="Bookman Old Style"/>
          <w:b/>
          <w:bCs/>
        </w:rPr>
        <w:t>l aseguramiento de contar con la PTDVF suficiente para registrar los contratos ante el</w:t>
      </w:r>
      <w:r w:rsidRPr="00730A18">
        <w:rPr>
          <w:rFonts w:ascii="Bookman Old Style" w:hAnsi="Bookman Old Style"/>
          <w:b/>
        </w:rPr>
        <w:t xml:space="preserve"> </w:t>
      </w:r>
      <w:r w:rsidR="0022131A" w:rsidRPr="002D5416">
        <w:rPr>
          <w:rFonts w:ascii="Bookman Old Style" w:hAnsi="Bookman Old Style"/>
          <w:b/>
          <w:u w:color="FF0000"/>
        </w:rPr>
        <w:t>Gestor</w:t>
      </w:r>
      <w:r w:rsidRPr="00730A18">
        <w:rPr>
          <w:rFonts w:ascii="Bookman Old Style" w:hAnsi="Bookman Old Style"/>
          <w:b/>
          <w:bCs/>
        </w:rPr>
        <w:t xml:space="preserve"> </w:t>
      </w:r>
      <w:r>
        <w:rPr>
          <w:rFonts w:ascii="Bookman Old Style" w:hAnsi="Bookman Old Style"/>
          <w:b/>
          <w:bCs/>
        </w:rPr>
        <w:t>del Mercado</w:t>
      </w:r>
      <w:r w:rsidRPr="000A4B7F">
        <w:rPr>
          <w:rFonts w:ascii="Bookman Old Style" w:hAnsi="Bookman Old Style"/>
          <w:b/>
          <w:bCs/>
        </w:rPr>
        <w:t xml:space="preserve">, los </w:t>
      </w:r>
      <w:r>
        <w:rPr>
          <w:rFonts w:ascii="Bookman Old Style" w:hAnsi="Bookman Old Style"/>
          <w:b/>
          <w:bCs/>
        </w:rPr>
        <w:t>vendedores del Mercado Primario</w:t>
      </w:r>
      <w:r w:rsidRPr="000A4B7F">
        <w:rPr>
          <w:rFonts w:ascii="Bookman Old Style" w:hAnsi="Bookman Old Style"/>
          <w:b/>
          <w:bCs/>
        </w:rPr>
        <w:t xml:space="preserve"> deberán </w:t>
      </w:r>
      <w:r w:rsidRPr="0062448C">
        <w:rPr>
          <w:rFonts w:ascii="Bookman Old Style" w:hAnsi="Bookman Old Style"/>
          <w:b/>
          <w:bCs/>
        </w:rPr>
        <w:t xml:space="preserve">tener en cuenta para cada </w:t>
      </w:r>
      <w:r>
        <w:rPr>
          <w:rFonts w:ascii="Bookman Old Style" w:hAnsi="Bookman Old Style"/>
          <w:b/>
          <w:bCs/>
        </w:rPr>
        <w:t>Fuente de Suministro</w:t>
      </w:r>
      <w:r w:rsidRPr="0062448C">
        <w:rPr>
          <w:rFonts w:ascii="Bookman Old Style" w:hAnsi="Bookman Old Style"/>
          <w:b/>
          <w:bCs/>
        </w:rPr>
        <w:t xml:space="preserve"> del contrato que se desea registrar</w:t>
      </w:r>
      <w:r w:rsidR="006923A8">
        <w:rPr>
          <w:rFonts w:ascii="Bookman Old Style" w:hAnsi="Bookman Old Style"/>
          <w:b/>
          <w:bCs/>
        </w:rPr>
        <w:t>,</w:t>
      </w:r>
      <w:r w:rsidRPr="0062448C">
        <w:rPr>
          <w:rFonts w:ascii="Bookman Old Style" w:hAnsi="Bookman Old Style"/>
          <w:b/>
          <w:bCs/>
        </w:rPr>
        <w:t xml:space="preserve"> incluid</w:t>
      </w:r>
      <w:r w:rsidR="00730A18">
        <w:rPr>
          <w:rFonts w:ascii="Bookman Old Style" w:hAnsi="Bookman Old Style"/>
          <w:b/>
          <w:bCs/>
        </w:rPr>
        <w:t>os</w:t>
      </w:r>
      <w:r w:rsidRPr="0062448C">
        <w:rPr>
          <w:rFonts w:ascii="Bookman Old Style" w:hAnsi="Bookman Old Style"/>
          <w:b/>
          <w:bCs/>
        </w:rPr>
        <w:t xml:space="preserve"> los casos establecidos en el </w:t>
      </w:r>
      <w:r w:rsidRPr="00D66B65">
        <w:rPr>
          <w:rFonts w:ascii="Bookman Old Style" w:hAnsi="Bookman Old Style"/>
          <w:b/>
          <w:bCs/>
        </w:rPr>
        <w:t xml:space="preserve">Parágrafo del </w:t>
      </w:r>
      <w:r w:rsidR="009C02E5">
        <w:rPr>
          <w:rFonts w:ascii="Bookman Old Style" w:hAnsi="Bookman Old Style"/>
          <w:b/>
          <w:bCs/>
        </w:rPr>
        <w:t>a</w:t>
      </w:r>
      <w:r w:rsidRPr="00D66B65">
        <w:rPr>
          <w:rFonts w:ascii="Bookman Old Style" w:hAnsi="Bookman Old Style"/>
          <w:b/>
          <w:bCs/>
        </w:rPr>
        <w:t>rtículo 20</w:t>
      </w:r>
      <w:r w:rsidRPr="0062448C">
        <w:rPr>
          <w:rFonts w:ascii="Bookman Old Style" w:hAnsi="Bookman Old Style"/>
          <w:b/>
          <w:bCs/>
        </w:rPr>
        <w:t xml:space="preserve"> de la presente resolución, que dicha fuente requiere PTDVF para amparar un</w:t>
      </w:r>
      <w:r>
        <w:rPr>
          <w:rFonts w:ascii="Bookman Old Style" w:hAnsi="Bookman Old Style"/>
          <w:b/>
          <w:bCs/>
        </w:rPr>
        <w:t xml:space="preserve"> </w:t>
      </w:r>
      <w:r w:rsidRPr="00725C19">
        <w:rPr>
          <w:rFonts w:ascii="Bookman Old Style" w:hAnsi="Bookman Old Style"/>
          <w:b/>
          <w:bCs/>
        </w:rPr>
        <w:t>contrato</w:t>
      </w:r>
      <w:r>
        <w:rPr>
          <w:rFonts w:ascii="Bookman Old Style" w:hAnsi="Bookman Old Style"/>
          <w:b/>
          <w:bCs/>
        </w:rPr>
        <w:t xml:space="preserve"> mediante el que</w:t>
      </w:r>
      <w:r w:rsidRPr="00725C19">
        <w:rPr>
          <w:rFonts w:ascii="Bookman Old Style" w:hAnsi="Bookman Old Style"/>
          <w:b/>
          <w:bCs/>
        </w:rPr>
        <w:t xml:space="preserve"> se garantiza el servicio de suministro de gas natural, sin interrupciones, durante un período determinado, excepto en los días establecidos para mantenimiento y labores programadas</w:t>
      </w:r>
      <w:r>
        <w:rPr>
          <w:rFonts w:ascii="Bookman Old Style" w:hAnsi="Bookman Old Style"/>
          <w:b/>
          <w:bCs/>
        </w:rPr>
        <w:t xml:space="preserve">, con independencia </w:t>
      </w:r>
      <w:r w:rsidRPr="00725C19">
        <w:rPr>
          <w:rFonts w:ascii="Bookman Old Style" w:hAnsi="Bookman Old Style"/>
          <w:b/>
          <w:bCs/>
        </w:rPr>
        <w:t>de</w:t>
      </w:r>
      <w:r>
        <w:rPr>
          <w:rFonts w:ascii="Bookman Old Style" w:hAnsi="Bookman Old Style"/>
          <w:b/>
          <w:bCs/>
        </w:rPr>
        <w:t xml:space="preserve"> </w:t>
      </w:r>
      <w:r w:rsidRPr="00725C19">
        <w:rPr>
          <w:rFonts w:ascii="Bookman Old Style" w:hAnsi="Bookman Old Style"/>
          <w:b/>
          <w:bCs/>
        </w:rPr>
        <w:t>l</w:t>
      </w:r>
      <w:r>
        <w:rPr>
          <w:rFonts w:ascii="Bookman Old Style" w:hAnsi="Bookman Old Style"/>
          <w:b/>
          <w:bCs/>
        </w:rPr>
        <w:t>a</w:t>
      </w:r>
      <w:r w:rsidRPr="00725C19">
        <w:rPr>
          <w:rFonts w:ascii="Bookman Old Style" w:hAnsi="Bookman Old Style"/>
          <w:b/>
          <w:bCs/>
        </w:rPr>
        <w:t xml:space="preserve"> nom</w:t>
      </w:r>
      <w:r>
        <w:rPr>
          <w:rFonts w:ascii="Bookman Old Style" w:hAnsi="Bookman Old Style"/>
          <w:b/>
          <w:bCs/>
        </w:rPr>
        <w:t xml:space="preserve">inación que las partes hayan acordado para suscribir </w:t>
      </w:r>
      <w:r w:rsidRPr="00725C19">
        <w:rPr>
          <w:rFonts w:ascii="Bookman Old Style" w:hAnsi="Bookman Old Style"/>
          <w:b/>
          <w:bCs/>
        </w:rPr>
        <w:t>el contrato de suministro que se está negociando.</w:t>
      </w:r>
    </w:p>
    <w:p w14:paraId="17A58CDF" w14:textId="77777777" w:rsidR="0006302B" w:rsidRDefault="0006302B" w:rsidP="0006302B">
      <w:pPr>
        <w:ind w:left="0"/>
        <w:jc w:val="both"/>
        <w:rPr>
          <w:rFonts w:ascii="Bookman Old Style" w:hAnsi="Bookman Old Style"/>
          <w:b/>
          <w:bCs/>
        </w:rPr>
      </w:pPr>
    </w:p>
    <w:p w14:paraId="4519F5B1" w14:textId="56F7323B" w:rsidR="0006302B" w:rsidRPr="0030393A" w:rsidRDefault="0006302B" w:rsidP="0006302B">
      <w:pPr>
        <w:tabs>
          <w:tab w:val="left" w:pos="0"/>
        </w:tabs>
        <w:ind w:left="0"/>
        <w:jc w:val="both"/>
        <w:rPr>
          <w:rFonts w:ascii="Bookman Old Style" w:hAnsi="Bookman Old Style"/>
          <w:b/>
          <w:bCs/>
        </w:rPr>
      </w:pPr>
      <w:r>
        <w:rPr>
          <w:rFonts w:ascii="Bookman Old Style" w:hAnsi="Bookman Old Style"/>
          <w:b/>
          <w:bCs/>
        </w:rPr>
        <w:t xml:space="preserve">Parágrafo </w:t>
      </w:r>
      <w:r w:rsidR="004E231C">
        <w:rPr>
          <w:rFonts w:ascii="Bookman Old Style" w:hAnsi="Bookman Old Style"/>
          <w:b/>
          <w:bCs/>
          <w:strike/>
        </w:rPr>
        <w:t>3</w:t>
      </w:r>
      <w:r>
        <w:rPr>
          <w:rFonts w:ascii="Bookman Old Style" w:hAnsi="Bookman Old Style"/>
          <w:b/>
          <w:bCs/>
        </w:rPr>
        <w:t xml:space="preserve">. Los vendedores del Mercado Primario </w:t>
      </w:r>
      <w:r w:rsidRPr="000A4B7F">
        <w:rPr>
          <w:rFonts w:ascii="Bookman Old Style" w:hAnsi="Bookman Old Style"/>
          <w:b/>
          <w:bCs/>
        </w:rPr>
        <w:t xml:space="preserve">no podrán tener contratado el suministro bajo </w:t>
      </w:r>
      <w:r w:rsidR="006923A8">
        <w:rPr>
          <w:rFonts w:ascii="Bookman Old Style" w:hAnsi="Bookman Old Style"/>
          <w:b/>
          <w:bCs/>
        </w:rPr>
        <w:t>nin</w:t>
      </w:r>
      <w:r w:rsidRPr="000A4B7F">
        <w:rPr>
          <w:rFonts w:ascii="Bookman Old Style" w:hAnsi="Bookman Old Style"/>
          <w:b/>
          <w:bCs/>
        </w:rPr>
        <w:t xml:space="preserve">guna de </w:t>
      </w:r>
      <w:r w:rsidRPr="0030393A">
        <w:rPr>
          <w:rFonts w:ascii="Bookman Old Style" w:hAnsi="Bookman Old Style"/>
          <w:b/>
          <w:bCs/>
        </w:rPr>
        <w:t xml:space="preserve">las modalidades que requiere Respaldo Físico, de cantidades de gas que, en total para </w:t>
      </w:r>
      <w:r w:rsidR="007B031D" w:rsidRPr="0030393A">
        <w:rPr>
          <w:rFonts w:ascii="Bookman Old Style" w:hAnsi="Bookman Old Style"/>
          <w:b/>
          <w:bCs/>
        </w:rPr>
        <w:t xml:space="preserve">cualquier </w:t>
      </w:r>
      <w:r w:rsidRPr="0030393A">
        <w:rPr>
          <w:rFonts w:ascii="Bookman Old Style" w:hAnsi="Bookman Old Style"/>
          <w:b/>
          <w:bCs/>
        </w:rPr>
        <w:t xml:space="preserve">mes de ejecución y una determinada Fuente de Suministro, superen el Potencial de Producción establecido para esa fuente, de acuerdo con la declaración </w:t>
      </w:r>
      <w:r w:rsidRPr="0030393A">
        <w:rPr>
          <w:rFonts w:ascii="Bookman Old Style" w:hAnsi="Bookman Old Style"/>
          <w:b/>
          <w:bCs/>
        </w:rPr>
        <w:lastRenderedPageBreak/>
        <w:t xml:space="preserve">presentada en cumplimiento del </w:t>
      </w:r>
      <w:r w:rsidR="00347ACD">
        <w:rPr>
          <w:rFonts w:ascii="Bookman Old Style" w:hAnsi="Bookman Old Style"/>
          <w:b/>
          <w:bCs/>
        </w:rPr>
        <w:t>a</w:t>
      </w:r>
      <w:r w:rsidRPr="0030393A">
        <w:rPr>
          <w:rFonts w:ascii="Bookman Old Style" w:hAnsi="Bookman Old Style"/>
          <w:b/>
          <w:bCs/>
        </w:rPr>
        <w:t>rtículo 2.2.2.2.29 del Decreto 1073 de 2015, o aquel que lo remplace o sustituya.</w:t>
      </w:r>
    </w:p>
    <w:p w14:paraId="6447B4A6" w14:textId="77777777" w:rsidR="0006302B" w:rsidRPr="0030393A" w:rsidRDefault="0006302B" w:rsidP="0006302B">
      <w:pPr>
        <w:ind w:left="0"/>
        <w:jc w:val="both"/>
        <w:rPr>
          <w:rFonts w:ascii="Bookman Old Style" w:hAnsi="Bookman Old Style"/>
          <w:b/>
          <w:bCs/>
        </w:rPr>
      </w:pPr>
    </w:p>
    <w:p w14:paraId="2DEA3B5E" w14:textId="644EE144" w:rsidR="0006302B" w:rsidRPr="0030393A" w:rsidRDefault="0006302B" w:rsidP="0006302B">
      <w:pPr>
        <w:ind w:left="0"/>
        <w:jc w:val="both"/>
        <w:rPr>
          <w:rFonts w:ascii="Bookman Old Style" w:hAnsi="Bookman Old Style"/>
          <w:b/>
          <w:bCs/>
        </w:rPr>
      </w:pPr>
      <w:r w:rsidRPr="0030393A">
        <w:rPr>
          <w:rFonts w:ascii="Bookman Old Style" w:hAnsi="Bookman Old Style"/>
          <w:b/>
          <w:bCs/>
        </w:rPr>
        <w:t xml:space="preserve">Parágrafo </w:t>
      </w:r>
      <w:r w:rsidR="004E231C" w:rsidRPr="0030393A">
        <w:rPr>
          <w:rFonts w:ascii="Bookman Old Style" w:hAnsi="Bookman Old Style"/>
          <w:b/>
          <w:bCs/>
        </w:rPr>
        <w:t>4</w:t>
      </w:r>
      <w:r w:rsidRPr="0030393A">
        <w:rPr>
          <w:rFonts w:ascii="Bookman Old Style" w:hAnsi="Bookman Old Style"/>
          <w:b/>
          <w:bCs/>
        </w:rPr>
        <w:t xml:space="preserve">. En el caso de las Fuentes de Suministro diferentes a las establecidas en el </w:t>
      </w:r>
      <w:r w:rsidR="00347ACD">
        <w:rPr>
          <w:rFonts w:ascii="Bookman Old Style" w:hAnsi="Bookman Old Style"/>
          <w:b/>
          <w:bCs/>
        </w:rPr>
        <w:t>a</w:t>
      </w:r>
      <w:r w:rsidRPr="0030393A">
        <w:rPr>
          <w:rFonts w:ascii="Bookman Old Style" w:hAnsi="Bookman Old Style"/>
          <w:b/>
          <w:bCs/>
        </w:rPr>
        <w:t xml:space="preserve">rtículo 19 de la presente Resolución, los contratos resultantes de </w:t>
      </w:r>
      <w:r w:rsidR="006923A8" w:rsidRPr="0030393A">
        <w:rPr>
          <w:rFonts w:ascii="Bookman Old Style" w:hAnsi="Bookman Old Style"/>
          <w:b/>
          <w:bCs/>
        </w:rPr>
        <w:t xml:space="preserve">las </w:t>
      </w:r>
      <w:r w:rsidRPr="0030393A">
        <w:rPr>
          <w:rFonts w:ascii="Bookman Old Style" w:hAnsi="Bookman Old Style"/>
          <w:b/>
          <w:bCs/>
        </w:rPr>
        <w:t xml:space="preserve">negociaciones directas deberán ser registrados ante el </w:t>
      </w:r>
      <w:r w:rsidR="0022131A" w:rsidRPr="0030393A">
        <w:rPr>
          <w:rFonts w:ascii="Bookman Old Style" w:hAnsi="Bookman Old Style"/>
          <w:b/>
          <w:bCs/>
        </w:rPr>
        <w:t>Gestor</w:t>
      </w:r>
      <w:r w:rsidRPr="0030393A">
        <w:rPr>
          <w:rFonts w:ascii="Bookman Old Style" w:hAnsi="Bookman Old Style"/>
          <w:b/>
          <w:bCs/>
        </w:rPr>
        <w:t xml:space="preserve"> del Mercado como máximo al quincuagésimo quinto día hábil del trimestre de negociación.</w:t>
      </w:r>
    </w:p>
    <w:p w14:paraId="0DF450AE" w14:textId="77777777" w:rsidR="0006302B" w:rsidRPr="0030393A" w:rsidRDefault="0006302B" w:rsidP="0006302B">
      <w:pPr>
        <w:ind w:left="0"/>
        <w:jc w:val="both"/>
        <w:rPr>
          <w:rFonts w:ascii="Bookman Old Style" w:hAnsi="Bookman Old Style"/>
          <w:b/>
          <w:bCs/>
        </w:rPr>
      </w:pPr>
    </w:p>
    <w:p w14:paraId="70C7DA48" w14:textId="4124D3C1" w:rsidR="0006302B" w:rsidRPr="0030393A" w:rsidRDefault="0006302B" w:rsidP="0006302B">
      <w:pPr>
        <w:ind w:left="0"/>
        <w:jc w:val="both"/>
        <w:rPr>
          <w:rFonts w:ascii="Bookman Old Style" w:hAnsi="Bookman Old Style"/>
          <w:b/>
          <w:bCs/>
        </w:rPr>
      </w:pPr>
      <w:r w:rsidRPr="0030393A">
        <w:rPr>
          <w:rFonts w:ascii="Bookman Old Style" w:hAnsi="Bookman Old Style"/>
          <w:b/>
          <w:bCs/>
        </w:rPr>
        <w:t xml:space="preserve">Parágrafo </w:t>
      </w:r>
      <w:r w:rsidR="004E231C" w:rsidRPr="0030393A">
        <w:rPr>
          <w:rFonts w:ascii="Bookman Old Style" w:hAnsi="Bookman Old Style"/>
          <w:b/>
          <w:bCs/>
        </w:rPr>
        <w:t>5</w:t>
      </w:r>
      <w:r w:rsidRPr="0030393A">
        <w:rPr>
          <w:rFonts w:ascii="Bookman Old Style" w:hAnsi="Bookman Old Style"/>
          <w:b/>
          <w:bCs/>
        </w:rPr>
        <w:t xml:space="preserve">. El </w:t>
      </w:r>
      <w:r w:rsidR="0022131A" w:rsidRPr="0030393A">
        <w:rPr>
          <w:rFonts w:ascii="Bookman Old Style" w:hAnsi="Bookman Old Style"/>
          <w:b/>
        </w:rPr>
        <w:t>Gestor</w:t>
      </w:r>
      <w:r w:rsidRPr="0030393A">
        <w:rPr>
          <w:rFonts w:ascii="Bookman Old Style" w:hAnsi="Bookman Old Style"/>
          <w:b/>
        </w:rPr>
        <w:t xml:space="preserve"> </w:t>
      </w:r>
      <w:r w:rsidRPr="0030393A">
        <w:rPr>
          <w:rFonts w:ascii="Bookman Old Style" w:hAnsi="Bookman Old Style"/>
          <w:b/>
          <w:bCs/>
        </w:rPr>
        <w:t xml:space="preserve">del Mercado deberá </w:t>
      </w:r>
      <w:r w:rsidR="0072788B" w:rsidRPr="0030393A">
        <w:rPr>
          <w:rFonts w:ascii="Bookman Old Style" w:hAnsi="Bookman Old Style"/>
          <w:b/>
          <w:bCs/>
        </w:rPr>
        <w:t>coordinar y adelantar</w:t>
      </w:r>
      <w:r w:rsidRPr="0030393A">
        <w:rPr>
          <w:rFonts w:ascii="Bookman Old Style" w:hAnsi="Bookman Old Style"/>
          <w:b/>
          <w:bCs/>
        </w:rPr>
        <w:t xml:space="preserve"> un ejercicio de simulación</w:t>
      </w:r>
      <w:r w:rsidR="0072788B" w:rsidRPr="0030393A">
        <w:rPr>
          <w:rFonts w:ascii="Bookman Old Style" w:hAnsi="Bookman Old Style"/>
          <w:b/>
          <w:bCs/>
        </w:rPr>
        <w:t xml:space="preserve"> de</w:t>
      </w:r>
      <w:r w:rsidR="00D13D42" w:rsidRPr="0030393A">
        <w:rPr>
          <w:rFonts w:ascii="Bookman Old Style" w:hAnsi="Bookman Old Style"/>
          <w:b/>
          <w:bCs/>
        </w:rPr>
        <w:t xml:space="preserve"> </w:t>
      </w:r>
      <w:r w:rsidR="0072788B" w:rsidRPr="0030393A">
        <w:rPr>
          <w:rFonts w:ascii="Bookman Old Style" w:hAnsi="Bookman Old Style"/>
          <w:b/>
          <w:bCs/>
        </w:rPr>
        <w:t>l</w:t>
      </w:r>
      <w:r w:rsidR="00D13D42" w:rsidRPr="0030393A">
        <w:rPr>
          <w:rFonts w:ascii="Bookman Old Style" w:hAnsi="Bookman Old Style"/>
          <w:b/>
          <w:bCs/>
        </w:rPr>
        <w:t>a realización del</w:t>
      </w:r>
      <w:r w:rsidR="0072788B" w:rsidRPr="0030393A">
        <w:rPr>
          <w:rFonts w:ascii="Bookman Old Style" w:hAnsi="Bookman Old Style"/>
          <w:b/>
          <w:bCs/>
        </w:rPr>
        <w:t xml:space="preserve"> balance</w:t>
      </w:r>
      <w:r w:rsidR="00D13D42" w:rsidRPr="0030393A">
        <w:rPr>
          <w:rFonts w:ascii="Bookman Old Style" w:hAnsi="Bookman Old Style"/>
          <w:b/>
          <w:bCs/>
        </w:rPr>
        <w:t xml:space="preserve"> comercial</w:t>
      </w:r>
      <w:r w:rsidR="0072788B" w:rsidRPr="0030393A">
        <w:rPr>
          <w:rFonts w:ascii="Bookman Old Style" w:hAnsi="Bookman Old Style"/>
          <w:b/>
          <w:bCs/>
        </w:rPr>
        <w:t xml:space="preserve"> </w:t>
      </w:r>
      <w:r w:rsidR="007719B1" w:rsidRPr="0030393A">
        <w:rPr>
          <w:rFonts w:ascii="Bookman Old Style" w:hAnsi="Bookman Old Style"/>
          <w:b/>
          <w:bCs/>
        </w:rPr>
        <w:t xml:space="preserve">del </w:t>
      </w:r>
      <w:r w:rsidR="00654179">
        <w:rPr>
          <w:rFonts w:ascii="Bookman Old Style" w:hAnsi="Bookman Old Style"/>
          <w:b/>
          <w:bCs/>
        </w:rPr>
        <w:t>a</w:t>
      </w:r>
      <w:r w:rsidR="007719B1" w:rsidRPr="0030393A">
        <w:rPr>
          <w:rFonts w:ascii="Bookman Old Style" w:hAnsi="Bookman Old Style"/>
          <w:b/>
          <w:bCs/>
        </w:rPr>
        <w:t>rtículo 21 de la presente resolución</w:t>
      </w:r>
      <w:r w:rsidR="0072788B" w:rsidRPr="0030393A">
        <w:rPr>
          <w:rFonts w:ascii="Bookman Old Style" w:hAnsi="Bookman Old Style"/>
          <w:b/>
          <w:bCs/>
        </w:rPr>
        <w:t xml:space="preserve">, </w:t>
      </w:r>
      <w:r w:rsidRPr="0030393A">
        <w:rPr>
          <w:rFonts w:ascii="Bookman Old Style" w:hAnsi="Bookman Old Style"/>
          <w:b/>
          <w:bCs/>
        </w:rPr>
        <w:t>dentro de</w:t>
      </w:r>
      <w:r w:rsidR="00FD2C91">
        <w:rPr>
          <w:rFonts w:ascii="Bookman Old Style" w:hAnsi="Bookman Old Style"/>
          <w:b/>
          <w:bCs/>
        </w:rPr>
        <w:t xml:space="preserve">l mes </w:t>
      </w:r>
      <w:r w:rsidRPr="0030393A">
        <w:rPr>
          <w:rFonts w:ascii="Bookman Old Style" w:hAnsi="Bookman Old Style"/>
          <w:b/>
          <w:bCs/>
        </w:rPr>
        <w:t xml:space="preserve">calendario siguiente a la fecha de publicación de </w:t>
      </w:r>
      <w:r w:rsidR="00FD2C91">
        <w:rPr>
          <w:rFonts w:ascii="Bookman Old Style" w:hAnsi="Bookman Old Style"/>
          <w:b/>
          <w:bCs/>
        </w:rPr>
        <w:t xml:space="preserve">la </w:t>
      </w:r>
      <w:r w:rsidRPr="0030393A">
        <w:rPr>
          <w:rFonts w:ascii="Bookman Old Style" w:hAnsi="Bookman Old Style"/>
          <w:b/>
          <w:bCs/>
        </w:rPr>
        <w:t>Resolución</w:t>
      </w:r>
      <w:r w:rsidR="008A308F" w:rsidRPr="0030393A">
        <w:rPr>
          <w:rFonts w:ascii="Bookman Old Style" w:hAnsi="Bookman Old Style"/>
          <w:b/>
          <w:bCs/>
        </w:rPr>
        <w:t xml:space="preserve"> definitiva.</w:t>
      </w:r>
    </w:p>
    <w:p w14:paraId="314A3985" w14:textId="078D6F39" w:rsidR="0072788B" w:rsidRPr="0030393A" w:rsidRDefault="0072788B" w:rsidP="0006302B">
      <w:pPr>
        <w:ind w:left="0"/>
        <w:jc w:val="both"/>
        <w:rPr>
          <w:rFonts w:ascii="Bookman Old Style" w:hAnsi="Bookman Old Style"/>
          <w:b/>
          <w:bCs/>
        </w:rPr>
      </w:pPr>
    </w:p>
    <w:p w14:paraId="57F09142" w14:textId="56AF812B" w:rsidR="0072788B" w:rsidRPr="0030393A" w:rsidRDefault="0072788B" w:rsidP="0006302B">
      <w:pPr>
        <w:ind w:left="0"/>
        <w:jc w:val="both"/>
        <w:rPr>
          <w:rFonts w:ascii="Bookman Old Style" w:hAnsi="Bookman Old Style"/>
          <w:b/>
          <w:bCs/>
        </w:rPr>
      </w:pPr>
      <w:r w:rsidRPr="0030393A">
        <w:rPr>
          <w:rFonts w:ascii="Bookman Old Style" w:hAnsi="Bookman Old Style"/>
          <w:b/>
          <w:bCs/>
        </w:rPr>
        <w:t>En dicho ejercicio deberán participar obligatoriamente la totalidad de compradores que atienda</w:t>
      </w:r>
      <w:r w:rsidR="004F1CBE" w:rsidRPr="0030393A">
        <w:rPr>
          <w:rFonts w:ascii="Bookman Old Style" w:hAnsi="Bookman Old Style"/>
          <w:b/>
          <w:bCs/>
        </w:rPr>
        <w:t>n</w:t>
      </w:r>
      <w:r w:rsidRPr="0030393A">
        <w:rPr>
          <w:rFonts w:ascii="Bookman Old Style" w:hAnsi="Bookman Old Style"/>
          <w:b/>
          <w:bCs/>
        </w:rPr>
        <w:t xml:space="preserve"> a la Demanda Esencial. Los demás compradores podrán participar en forma voluntaria.</w:t>
      </w:r>
    </w:p>
    <w:p w14:paraId="3E0DE967" w14:textId="77777777" w:rsidR="0006302B" w:rsidRPr="0030393A" w:rsidRDefault="0006302B" w:rsidP="0006302B">
      <w:pPr>
        <w:ind w:left="0"/>
        <w:jc w:val="both"/>
        <w:rPr>
          <w:rFonts w:ascii="Bookman Old Style" w:hAnsi="Bookman Old Style"/>
          <w:b/>
          <w:bCs/>
        </w:rPr>
      </w:pPr>
    </w:p>
    <w:p w14:paraId="36BFE7F7" w14:textId="3F6E261D" w:rsidR="0006302B" w:rsidRPr="0030393A" w:rsidRDefault="0006302B" w:rsidP="0006302B">
      <w:pPr>
        <w:ind w:left="0"/>
        <w:jc w:val="both"/>
        <w:rPr>
          <w:rFonts w:ascii="Bookman Old Style" w:hAnsi="Bookman Old Style"/>
          <w:b/>
          <w:bCs/>
          <w:lang w:val="es-CO"/>
        </w:rPr>
      </w:pPr>
      <w:r w:rsidRPr="0030393A">
        <w:rPr>
          <w:rFonts w:ascii="Bookman Old Style" w:hAnsi="Bookman Old Style"/>
          <w:b/>
          <w:bCs/>
        </w:rPr>
        <w:t xml:space="preserve">Parágrafo </w:t>
      </w:r>
      <w:r w:rsidR="004E231C" w:rsidRPr="0030393A">
        <w:rPr>
          <w:rFonts w:ascii="Bookman Old Style" w:hAnsi="Bookman Old Style"/>
          <w:b/>
          <w:bCs/>
        </w:rPr>
        <w:t>6</w:t>
      </w:r>
      <w:r w:rsidRPr="0030393A">
        <w:rPr>
          <w:rFonts w:ascii="Bookman Old Style" w:hAnsi="Bookman Old Style"/>
          <w:b/>
          <w:bCs/>
        </w:rPr>
        <w:t xml:space="preserve">. </w:t>
      </w:r>
      <w:r w:rsidRPr="0030393A">
        <w:rPr>
          <w:rFonts w:ascii="Bookman Old Style" w:hAnsi="Bookman Old Style"/>
          <w:b/>
          <w:bCs/>
          <w:lang w:val="es-CO"/>
        </w:rPr>
        <w:t>Los contratos de largo plazo celebrados bajo el esquema de negociación sobre Balance UPME</w:t>
      </w:r>
      <w:r w:rsidR="00556668" w:rsidRPr="0030393A">
        <w:rPr>
          <w:rFonts w:ascii="Bookman Old Style" w:hAnsi="Bookman Old Style"/>
          <w:b/>
          <w:bCs/>
          <w:lang w:val="es-CO"/>
        </w:rPr>
        <w:t xml:space="preserve"> determinado en el artículo </w:t>
      </w:r>
      <w:r w:rsidR="00BA21F0" w:rsidRPr="0030393A">
        <w:rPr>
          <w:rFonts w:ascii="Bookman Old Style" w:hAnsi="Bookman Old Style"/>
          <w:b/>
          <w:bCs/>
          <w:lang w:val="es-CO"/>
        </w:rPr>
        <w:t xml:space="preserve">24 </w:t>
      </w:r>
      <w:r w:rsidR="00556668" w:rsidRPr="0030393A">
        <w:rPr>
          <w:rFonts w:ascii="Bookman Old Style" w:hAnsi="Bookman Old Style"/>
          <w:b/>
          <w:bCs/>
          <w:lang w:val="es-CO"/>
        </w:rPr>
        <w:t xml:space="preserve">de la Resolución CREG </w:t>
      </w:r>
      <w:r w:rsidR="00BA21F0" w:rsidRPr="0030393A">
        <w:rPr>
          <w:rFonts w:ascii="Bookman Old Style" w:hAnsi="Bookman Old Style"/>
          <w:b/>
          <w:bCs/>
          <w:lang w:val="es-CO"/>
        </w:rPr>
        <w:t>186 de 2020</w:t>
      </w:r>
      <w:r w:rsidR="00E25825" w:rsidRPr="0030393A">
        <w:rPr>
          <w:rFonts w:ascii="Bookman Old Style" w:hAnsi="Bookman Old Style"/>
          <w:b/>
          <w:bCs/>
          <w:lang w:val="es-CO"/>
        </w:rPr>
        <w:t>,</w:t>
      </w:r>
      <w:r w:rsidRPr="0030393A">
        <w:rPr>
          <w:rFonts w:ascii="Bookman Old Style" w:hAnsi="Bookman Old Style"/>
          <w:b/>
          <w:bCs/>
          <w:lang w:val="es-CO"/>
        </w:rPr>
        <w:t xml:space="preserve"> </w:t>
      </w:r>
      <w:r w:rsidR="00556668" w:rsidRPr="0030393A">
        <w:rPr>
          <w:rFonts w:ascii="Bookman Old Style" w:hAnsi="Bookman Old Style"/>
          <w:b/>
          <w:bCs/>
          <w:lang w:val="es-CO"/>
        </w:rPr>
        <w:t xml:space="preserve">y </w:t>
      </w:r>
      <w:r w:rsidRPr="0030393A">
        <w:rPr>
          <w:rFonts w:ascii="Bookman Old Style" w:hAnsi="Bookman Old Style"/>
          <w:b/>
          <w:bCs/>
          <w:lang w:val="es-CO"/>
        </w:rPr>
        <w:t xml:space="preserve">que a la fecha se encuentren vigentes y estén en ejecución, </w:t>
      </w:r>
      <w:r w:rsidR="00206ED2" w:rsidRPr="0030393A">
        <w:rPr>
          <w:rFonts w:ascii="Bookman Old Style" w:hAnsi="Bookman Old Style"/>
          <w:b/>
          <w:bCs/>
          <w:lang w:val="es-CO"/>
        </w:rPr>
        <w:t xml:space="preserve">podrán </w:t>
      </w:r>
      <w:r w:rsidR="00556668" w:rsidRPr="0030393A">
        <w:rPr>
          <w:rFonts w:ascii="Bookman Old Style" w:hAnsi="Bookman Old Style"/>
          <w:b/>
          <w:bCs/>
          <w:lang w:val="es-CO"/>
        </w:rPr>
        <w:t xml:space="preserve">continuar realizando </w:t>
      </w:r>
      <w:r w:rsidRPr="0030393A">
        <w:rPr>
          <w:rFonts w:ascii="Bookman Old Style" w:hAnsi="Bookman Old Style"/>
          <w:b/>
          <w:bCs/>
          <w:lang w:val="es-CO"/>
        </w:rPr>
        <w:t xml:space="preserve">la actualización anual de precios dando aplicación a las ecuaciones establecidas en el </w:t>
      </w:r>
      <w:r w:rsidRPr="0030393A">
        <w:rPr>
          <w:rFonts w:ascii="Bookman Old Style" w:hAnsi="Bookman Old Style"/>
          <w:b/>
          <w:bCs/>
          <w:lang w:val="es-CO"/>
        </w:rPr>
        <w:fldChar w:fldCharType="begin"/>
      </w:r>
      <w:r w:rsidRPr="0030393A">
        <w:rPr>
          <w:rFonts w:ascii="Bookman Old Style" w:hAnsi="Bookman Old Style"/>
          <w:b/>
          <w:bCs/>
          <w:lang w:val="es-CO"/>
        </w:rPr>
        <w:instrText xml:space="preserve"> REF _Ref451344482 \h  \* MERGEFORMAT </w:instrText>
      </w:r>
      <w:r w:rsidRPr="0030393A">
        <w:rPr>
          <w:rFonts w:ascii="Bookman Old Style" w:hAnsi="Bookman Old Style"/>
          <w:b/>
          <w:bCs/>
          <w:lang w:val="es-CO"/>
        </w:rPr>
      </w:r>
      <w:r w:rsidRPr="0030393A">
        <w:rPr>
          <w:rFonts w:ascii="Bookman Old Style" w:hAnsi="Bookman Old Style"/>
          <w:b/>
          <w:bCs/>
          <w:lang w:val="es-CO"/>
        </w:rPr>
        <w:fldChar w:fldCharType="separate"/>
      </w:r>
      <w:r w:rsidR="00636B6A" w:rsidRPr="00996A90">
        <w:rPr>
          <w:rFonts w:ascii="Bookman Old Style" w:hAnsi="Bookman Old Style"/>
          <w:b/>
          <w:bCs/>
          <w:lang w:val="es-CO"/>
        </w:rPr>
        <w:t>Anexo 3</w:t>
      </w:r>
      <w:r w:rsidRPr="0030393A">
        <w:rPr>
          <w:rFonts w:ascii="Bookman Old Style" w:hAnsi="Bookman Old Style"/>
          <w:b/>
          <w:bCs/>
          <w:lang w:val="es-CO"/>
        </w:rPr>
        <w:fldChar w:fldCharType="end"/>
      </w:r>
      <w:r w:rsidRPr="0030393A">
        <w:rPr>
          <w:rFonts w:ascii="Bookman Old Style" w:hAnsi="Bookman Old Style"/>
          <w:b/>
          <w:bCs/>
          <w:lang w:val="es-CO"/>
        </w:rPr>
        <w:t xml:space="preserve"> de la presente Resolución.</w:t>
      </w:r>
    </w:p>
    <w:p w14:paraId="7B32B682" w14:textId="77777777" w:rsidR="0006302B" w:rsidRPr="0030393A" w:rsidRDefault="0006302B" w:rsidP="0006302B">
      <w:pPr>
        <w:pStyle w:val="ARTICULOS"/>
        <w:numPr>
          <w:ilvl w:val="0"/>
          <w:numId w:val="0"/>
        </w:numPr>
        <w:rPr>
          <w:lang w:val="es-CO"/>
        </w:rPr>
      </w:pPr>
    </w:p>
    <w:p w14:paraId="639099E0" w14:textId="3DAE19C2" w:rsidR="0006302B" w:rsidRPr="0030393A" w:rsidRDefault="0006302B" w:rsidP="0006302B">
      <w:pPr>
        <w:pStyle w:val="ARTICULOS"/>
      </w:pPr>
      <w:bookmarkStart w:id="58" w:name="_Ref330042678"/>
      <w:bookmarkStart w:id="59" w:name="_Ref355863360"/>
      <w:bookmarkStart w:id="60" w:name="_Ref330308772"/>
      <w:bookmarkStart w:id="61" w:name="_Ref337199629"/>
      <w:bookmarkStart w:id="62" w:name="_Ref448423970"/>
      <w:bookmarkEnd w:id="54"/>
      <w:r w:rsidRPr="0030393A">
        <w:rPr>
          <w:b/>
          <w:bCs w:val="0"/>
          <w:lang w:val="es-CO" w:eastAsia="ar-SA"/>
        </w:rPr>
        <w:t xml:space="preserve">Condiciones </w:t>
      </w:r>
      <w:r w:rsidRPr="0030393A">
        <w:rPr>
          <w:b/>
          <w:bCs w:val="0"/>
        </w:rPr>
        <w:t xml:space="preserve">de negociación </w:t>
      </w:r>
      <w:r w:rsidR="00A81051" w:rsidRPr="0030393A">
        <w:rPr>
          <w:b/>
          <w:bCs w:val="0"/>
          <w:lang w:val="es-CO"/>
        </w:rPr>
        <w:t xml:space="preserve">y registro </w:t>
      </w:r>
      <w:r w:rsidRPr="0030393A">
        <w:rPr>
          <w:b/>
          <w:bCs w:val="0"/>
        </w:rPr>
        <w:t>de los</w:t>
      </w:r>
      <w:r w:rsidRPr="007410CA">
        <w:rPr>
          <w:b/>
          <w:bCs w:val="0"/>
        </w:rPr>
        <w:t xml:space="preserve"> contratos de suministro de gas que requieren Respaldo Físico.</w:t>
      </w:r>
      <w:bookmarkEnd w:id="58"/>
      <w:bookmarkEnd w:id="59"/>
      <w:bookmarkEnd w:id="60"/>
      <w:bookmarkEnd w:id="61"/>
      <w:bookmarkEnd w:id="62"/>
      <w:r w:rsidRPr="007410CA">
        <w:rPr>
          <w:b/>
          <w:bCs w:val="0"/>
          <w:lang w:val="es-ES"/>
        </w:rPr>
        <w:t xml:space="preserve"> </w:t>
      </w:r>
      <w:r w:rsidRPr="007410CA">
        <w:rPr>
          <w:b/>
          <w:bCs w:val="0"/>
        </w:rPr>
        <w:t xml:space="preserve">La suscripción y registro de los contratos de suministro de gas que requieren Respaldo Físico </w:t>
      </w:r>
      <w:r w:rsidRPr="007410CA">
        <w:rPr>
          <w:b/>
          <w:bCs w:val="0"/>
          <w:lang w:val="es-CO"/>
        </w:rPr>
        <w:t>para asumir y cumplir compromisos contractuales firmes o que</w:t>
      </w:r>
      <w:r w:rsidR="00030C5B">
        <w:rPr>
          <w:b/>
          <w:bCs w:val="0"/>
          <w:lang w:val="es-CO"/>
        </w:rPr>
        <w:t xml:space="preserve"> garantizan firmeza</w:t>
      </w:r>
      <w:r w:rsidRPr="0030393A">
        <w:rPr>
          <w:b/>
          <w:bCs w:val="0"/>
        </w:rPr>
        <w:t>, deberán sujetarse a las siguientes condiciones:</w:t>
      </w:r>
    </w:p>
    <w:p w14:paraId="3D6C21EF" w14:textId="77777777" w:rsidR="0006302B" w:rsidRPr="0030393A" w:rsidRDefault="0006302B" w:rsidP="0006302B">
      <w:pPr>
        <w:ind w:left="0"/>
        <w:jc w:val="both"/>
        <w:outlineLvl w:val="0"/>
        <w:rPr>
          <w:rFonts w:ascii="Bookman Old Style" w:hAnsi="Bookman Old Style"/>
          <w:b/>
        </w:rPr>
      </w:pPr>
    </w:p>
    <w:p w14:paraId="785E9574" w14:textId="39E75F84" w:rsidR="0006302B" w:rsidRPr="0030393A" w:rsidRDefault="0006302B" w:rsidP="00A4790E">
      <w:pPr>
        <w:pStyle w:val="Prrafodelista"/>
        <w:numPr>
          <w:ilvl w:val="0"/>
          <w:numId w:val="84"/>
        </w:numPr>
        <w:ind w:left="567" w:hanging="425"/>
        <w:jc w:val="both"/>
        <w:outlineLvl w:val="0"/>
        <w:rPr>
          <w:rFonts w:ascii="Bookman Old Style" w:hAnsi="Bookman Old Style"/>
          <w:b/>
          <w:sz w:val="24"/>
          <w:szCs w:val="24"/>
          <w:lang w:val="es-ES"/>
        </w:rPr>
      </w:pPr>
      <w:r w:rsidRPr="0030393A">
        <w:rPr>
          <w:rFonts w:ascii="Bookman Old Style" w:hAnsi="Bookman Old Style"/>
          <w:b/>
          <w:sz w:val="24"/>
          <w:szCs w:val="24"/>
          <w:lang w:val="es-ES"/>
        </w:rPr>
        <w:t xml:space="preserve">Todos los contratos de suministro de gas deberán </w:t>
      </w:r>
      <w:r w:rsidR="005075D2" w:rsidRPr="0030393A">
        <w:rPr>
          <w:rFonts w:ascii="Bookman Old Style" w:hAnsi="Bookman Old Style"/>
          <w:b/>
          <w:sz w:val="24"/>
          <w:szCs w:val="24"/>
          <w:lang w:val="es-ES"/>
        </w:rPr>
        <w:t>cumplir con la regulación CREG vigente en todo momento</w:t>
      </w:r>
      <w:r w:rsidRPr="0030393A">
        <w:rPr>
          <w:rFonts w:ascii="Bookman Old Style" w:hAnsi="Bookman Old Style"/>
          <w:b/>
          <w:sz w:val="24"/>
          <w:szCs w:val="24"/>
          <w:lang w:val="es-ES"/>
        </w:rPr>
        <w:t xml:space="preserve">, </w:t>
      </w:r>
      <w:r w:rsidR="006B66FC" w:rsidRPr="0030393A">
        <w:rPr>
          <w:rFonts w:ascii="Bookman Old Style" w:hAnsi="Bookman Old Style"/>
          <w:b/>
          <w:sz w:val="24"/>
          <w:szCs w:val="24"/>
          <w:lang w:val="es-ES"/>
        </w:rPr>
        <w:t xml:space="preserve">pudiéndose </w:t>
      </w:r>
      <w:r w:rsidR="00EE38B5" w:rsidRPr="0030393A">
        <w:rPr>
          <w:rFonts w:ascii="Bookman Old Style" w:hAnsi="Bookman Old Style"/>
          <w:b/>
          <w:sz w:val="24"/>
          <w:szCs w:val="24"/>
          <w:lang w:val="es-ES"/>
        </w:rPr>
        <w:t>por las parte</w:t>
      </w:r>
      <w:r w:rsidR="00074212">
        <w:rPr>
          <w:rFonts w:ascii="Bookman Old Style" w:hAnsi="Bookman Old Style"/>
          <w:b/>
          <w:sz w:val="24"/>
          <w:szCs w:val="24"/>
          <w:lang w:val="es-ES"/>
        </w:rPr>
        <w:t>s</w:t>
      </w:r>
      <w:r w:rsidR="00EE38B5" w:rsidRPr="0030393A">
        <w:rPr>
          <w:rFonts w:ascii="Bookman Old Style" w:hAnsi="Bookman Old Style"/>
          <w:b/>
          <w:sz w:val="24"/>
          <w:szCs w:val="24"/>
          <w:lang w:val="es-ES"/>
        </w:rPr>
        <w:t xml:space="preserve"> de los contratos </w:t>
      </w:r>
      <w:r w:rsidR="006B66FC" w:rsidRPr="0030393A">
        <w:rPr>
          <w:rFonts w:ascii="Bookman Old Style" w:hAnsi="Bookman Old Style"/>
          <w:b/>
          <w:sz w:val="24"/>
          <w:szCs w:val="24"/>
          <w:lang w:val="es-ES"/>
        </w:rPr>
        <w:t>para cumplir con ello</w:t>
      </w:r>
      <w:r w:rsidR="00EE38B5" w:rsidRPr="0030393A">
        <w:rPr>
          <w:rFonts w:ascii="Bookman Old Style" w:hAnsi="Bookman Old Style"/>
          <w:b/>
          <w:sz w:val="24"/>
          <w:szCs w:val="24"/>
          <w:lang w:val="es-ES"/>
        </w:rPr>
        <w:t>,</w:t>
      </w:r>
      <w:r w:rsidR="006B66FC" w:rsidRPr="0030393A">
        <w:rPr>
          <w:rFonts w:ascii="Bookman Old Style" w:hAnsi="Bookman Old Style"/>
          <w:b/>
          <w:sz w:val="24"/>
          <w:szCs w:val="24"/>
          <w:lang w:val="es-ES"/>
        </w:rPr>
        <w:t xml:space="preserve"> ajustar las condiciones </w:t>
      </w:r>
      <w:r w:rsidR="009A2E8A">
        <w:rPr>
          <w:rFonts w:ascii="Bookman Old Style" w:hAnsi="Bookman Old Style"/>
          <w:b/>
          <w:sz w:val="24"/>
          <w:szCs w:val="24"/>
          <w:lang w:val="es-ES"/>
        </w:rPr>
        <w:t xml:space="preserve">de los contratos vigentes </w:t>
      </w:r>
      <w:r w:rsidR="00EE38B5" w:rsidRPr="0030393A">
        <w:rPr>
          <w:rFonts w:ascii="Bookman Old Style" w:hAnsi="Bookman Old Style"/>
          <w:b/>
          <w:sz w:val="24"/>
          <w:szCs w:val="24"/>
          <w:lang w:val="es-ES"/>
        </w:rPr>
        <w:t xml:space="preserve">para cumplir </w:t>
      </w:r>
      <w:r w:rsidR="009A2E8A">
        <w:rPr>
          <w:rFonts w:ascii="Bookman Old Style" w:hAnsi="Bookman Old Style"/>
          <w:b/>
          <w:sz w:val="24"/>
          <w:szCs w:val="24"/>
          <w:lang w:val="es-ES"/>
        </w:rPr>
        <w:t xml:space="preserve">con </w:t>
      </w:r>
      <w:r w:rsidR="006B66FC" w:rsidRPr="0030393A">
        <w:rPr>
          <w:rFonts w:ascii="Bookman Old Style" w:hAnsi="Bookman Old Style"/>
          <w:b/>
          <w:sz w:val="24"/>
          <w:szCs w:val="24"/>
          <w:lang w:val="es-ES"/>
        </w:rPr>
        <w:t xml:space="preserve">las disposiciones nuevas que eventualmente </w:t>
      </w:r>
      <w:r w:rsidR="001A66F9">
        <w:rPr>
          <w:rFonts w:ascii="Bookman Old Style" w:hAnsi="Bookman Old Style"/>
          <w:b/>
          <w:sz w:val="24"/>
          <w:szCs w:val="24"/>
          <w:lang w:val="es-ES"/>
        </w:rPr>
        <w:t>adopt</w:t>
      </w:r>
      <w:r w:rsidR="001A66F9" w:rsidRPr="0030393A">
        <w:rPr>
          <w:rFonts w:ascii="Bookman Old Style" w:hAnsi="Bookman Old Style"/>
          <w:b/>
          <w:sz w:val="24"/>
          <w:szCs w:val="24"/>
          <w:lang w:val="es-ES"/>
        </w:rPr>
        <w:t xml:space="preserve">e </w:t>
      </w:r>
      <w:r w:rsidR="006B66FC" w:rsidRPr="0030393A">
        <w:rPr>
          <w:rFonts w:ascii="Bookman Old Style" w:hAnsi="Bookman Old Style"/>
          <w:b/>
          <w:sz w:val="24"/>
          <w:szCs w:val="24"/>
          <w:lang w:val="es-ES"/>
        </w:rPr>
        <w:t>la CREG</w:t>
      </w:r>
      <w:r w:rsidR="001A66F9">
        <w:rPr>
          <w:rFonts w:ascii="Bookman Old Style" w:hAnsi="Bookman Old Style"/>
          <w:b/>
          <w:sz w:val="24"/>
          <w:szCs w:val="24"/>
          <w:lang w:val="es-ES"/>
        </w:rPr>
        <w:t xml:space="preserve"> en la regulación</w:t>
      </w:r>
      <w:r w:rsidR="006B66FC" w:rsidRPr="0030393A">
        <w:rPr>
          <w:rFonts w:ascii="Bookman Old Style" w:hAnsi="Bookman Old Style"/>
          <w:b/>
          <w:sz w:val="24"/>
          <w:szCs w:val="24"/>
          <w:lang w:val="es-ES"/>
        </w:rPr>
        <w:t>.</w:t>
      </w:r>
      <w:r w:rsidR="005075D2" w:rsidRPr="0030393A">
        <w:rPr>
          <w:rFonts w:ascii="Bookman Old Style" w:hAnsi="Bookman Old Style"/>
          <w:b/>
          <w:sz w:val="24"/>
          <w:szCs w:val="24"/>
          <w:lang w:val="es-ES"/>
        </w:rPr>
        <w:t xml:space="preserve"> </w:t>
      </w:r>
    </w:p>
    <w:p w14:paraId="5F9875DB" w14:textId="77777777" w:rsidR="0006302B" w:rsidRPr="0030393A" w:rsidRDefault="0006302B" w:rsidP="00202051">
      <w:pPr>
        <w:pStyle w:val="Prrafodelista"/>
        <w:ind w:left="567" w:hanging="425"/>
        <w:jc w:val="both"/>
        <w:outlineLvl w:val="0"/>
        <w:rPr>
          <w:rFonts w:ascii="Bookman Old Style" w:hAnsi="Bookman Old Style"/>
          <w:b/>
          <w:sz w:val="24"/>
          <w:szCs w:val="24"/>
          <w:lang w:val="es-ES"/>
        </w:rPr>
      </w:pPr>
      <w:bookmarkStart w:id="63" w:name="_Hlk122348383"/>
    </w:p>
    <w:p w14:paraId="76EE2FFE" w14:textId="1264B992" w:rsidR="0006302B" w:rsidRPr="0030393A" w:rsidRDefault="00E8756E" w:rsidP="00A4790E">
      <w:pPr>
        <w:pStyle w:val="Prrafodelista"/>
        <w:numPr>
          <w:ilvl w:val="0"/>
          <w:numId w:val="84"/>
        </w:numPr>
        <w:ind w:left="567" w:hanging="425"/>
        <w:jc w:val="both"/>
        <w:outlineLvl w:val="0"/>
        <w:rPr>
          <w:rFonts w:ascii="Bookman Old Style" w:hAnsi="Bookman Old Style"/>
          <w:b/>
          <w:sz w:val="24"/>
          <w:szCs w:val="24"/>
          <w:lang w:val="es-ES"/>
        </w:rPr>
      </w:pPr>
      <w:bookmarkStart w:id="64" w:name="_Hlk122348358"/>
      <w:r w:rsidRPr="0030393A">
        <w:rPr>
          <w:rFonts w:ascii="Bookman Old Style" w:hAnsi="Bookman Old Style"/>
          <w:b/>
          <w:sz w:val="24"/>
          <w:szCs w:val="24"/>
          <w:lang w:val="es-ES"/>
        </w:rPr>
        <w:t xml:space="preserve">Con excepción de los contratos de duración semanal y mensual contemplados respectivamente en el </w:t>
      </w:r>
      <w:r w:rsidR="0057167F" w:rsidRPr="0030393A">
        <w:rPr>
          <w:rFonts w:ascii="Bookman Old Style" w:hAnsi="Bookman Old Style"/>
          <w:b/>
          <w:sz w:val="24"/>
          <w:szCs w:val="24"/>
          <w:lang w:val="es-ES"/>
        </w:rPr>
        <w:t xml:space="preserve">numeral 3. del </w:t>
      </w:r>
      <w:r w:rsidR="00962E49">
        <w:rPr>
          <w:rFonts w:ascii="Bookman Old Style" w:hAnsi="Bookman Old Style"/>
          <w:b/>
          <w:sz w:val="24"/>
          <w:szCs w:val="24"/>
          <w:lang w:val="es-ES"/>
        </w:rPr>
        <w:t>a</w:t>
      </w:r>
      <w:r w:rsidR="0057167F" w:rsidRPr="0030393A">
        <w:rPr>
          <w:rFonts w:ascii="Bookman Old Style" w:hAnsi="Bookman Old Style"/>
          <w:b/>
          <w:sz w:val="24"/>
          <w:szCs w:val="24"/>
          <w:lang w:val="es-ES"/>
        </w:rPr>
        <w:t xml:space="preserve">rtículo 19 y el </w:t>
      </w:r>
      <w:r w:rsidR="0057167F" w:rsidRPr="0030393A">
        <w:rPr>
          <w:rFonts w:ascii="Bookman Old Style" w:hAnsi="Bookman Old Style" w:cs="Arial"/>
          <w:b/>
          <w:color w:val="000000" w:themeColor="text1"/>
          <w:sz w:val="24"/>
          <w:szCs w:val="24"/>
        </w:rPr>
        <w:t xml:space="preserve">literal </w:t>
      </w:r>
      <w:r w:rsidR="0024295C">
        <w:rPr>
          <w:rFonts w:ascii="Bookman Old Style" w:hAnsi="Bookman Old Style" w:cs="Arial"/>
          <w:b/>
          <w:color w:val="000000" w:themeColor="text1"/>
          <w:sz w:val="24"/>
          <w:szCs w:val="24"/>
        </w:rPr>
        <w:t>e</w:t>
      </w:r>
      <w:r w:rsidR="0057167F" w:rsidRPr="0030393A">
        <w:rPr>
          <w:rFonts w:ascii="Bookman Old Style" w:hAnsi="Bookman Old Style" w:cs="Arial"/>
          <w:b/>
          <w:color w:val="000000" w:themeColor="text1"/>
          <w:sz w:val="24"/>
          <w:szCs w:val="24"/>
        </w:rPr>
        <w:t xml:space="preserve">. del numeral 1. del </w:t>
      </w:r>
      <w:r w:rsidR="009D6B6E">
        <w:rPr>
          <w:rFonts w:ascii="Bookman Old Style" w:hAnsi="Bookman Old Style" w:cs="Arial"/>
          <w:b/>
          <w:color w:val="000000" w:themeColor="text1"/>
          <w:sz w:val="24"/>
          <w:szCs w:val="24"/>
        </w:rPr>
        <w:t>a</w:t>
      </w:r>
      <w:r w:rsidR="0057167F" w:rsidRPr="0030393A">
        <w:rPr>
          <w:rFonts w:ascii="Bookman Old Style" w:hAnsi="Bookman Old Style" w:cs="Arial"/>
          <w:b/>
          <w:color w:val="000000" w:themeColor="text1"/>
          <w:sz w:val="24"/>
          <w:szCs w:val="24"/>
        </w:rPr>
        <w:t>rtículo 22, ambos de la presente Resolución</w:t>
      </w:r>
      <w:r w:rsidR="0057167F" w:rsidRPr="0030393A">
        <w:rPr>
          <w:rFonts w:ascii="Bookman Old Style" w:hAnsi="Bookman Old Style"/>
          <w:b/>
          <w:sz w:val="24"/>
          <w:szCs w:val="24"/>
          <w:lang w:val="es-ES"/>
        </w:rPr>
        <w:t>, l</w:t>
      </w:r>
      <w:r w:rsidR="0006302B" w:rsidRPr="0030393A">
        <w:rPr>
          <w:rFonts w:ascii="Bookman Old Style" w:hAnsi="Bookman Old Style"/>
          <w:b/>
          <w:sz w:val="24"/>
          <w:szCs w:val="24"/>
          <w:lang w:val="es-ES"/>
        </w:rPr>
        <w:t xml:space="preserve">a duración de los nuevos contratos que se suscriban será, como mínimo de un (1) Trimestre Estándar y, como máximo </w:t>
      </w:r>
      <w:r w:rsidR="003B750F" w:rsidRPr="0030393A">
        <w:rPr>
          <w:rFonts w:ascii="Bookman Old Style" w:hAnsi="Bookman Old Style"/>
          <w:b/>
          <w:sz w:val="24"/>
          <w:szCs w:val="24"/>
          <w:lang w:val="es-ES"/>
        </w:rPr>
        <w:t xml:space="preserve">el número de </w:t>
      </w:r>
      <w:r w:rsidR="0006302B" w:rsidRPr="0030393A">
        <w:rPr>
          <w:rFonts w:ascii="Bookman Old Style" w:hAnsi="Bookman Old Style"/>
          <w:b/>
          <w:sz w:val="24"/>
          <w:szCs w:val="24"/>
          <w:lang w:val="es-ES"/>
        </w:rPr>
        <w:t>Trimestres Estándar</w:t>
      </w:r>
      <w:r w:rsidR="003B750F" w:rsidRPr="0030393A">
        <w:rPr>
          <w:rFonts w:ascii="Bookman Old Style" w:hAnsi="Bookman Old Style"/>
          <w:b/>
          <w:sz w:val="24"/>
          <w:szCs w:val="24"/>
          <w:lang w:val="es-ES"/>
        </w:rPr>
        <w:t xml:space="preserve"> con los que se cuente con información de PTDV en la declaración de producción realizada al MME que se encuentre vigente</w:t>
      </w:r>
      <w:r w:rsidR="0006302B" w:rsidRPr="0030393A">
        <w:rPr>
          <w:rFonts w:ascii="Bookman Old Style" w:hAnsi="Bookman Old Style"/>
          <w:b/>
          <w:sz w:val="24"/>
          <w:szCs w:val="24"/>
          <w:lang w:val="es-ES"/>
        </w:rPr>
        <w:t>, contados desde el Primer Trimestre Estándar siguiente al registro del contrato</w:t>
      </w:r>
      <w:bookmarkEnd w:id="64"/>
      <w:r w:rsidR="0006302B" w:rsidRPr="0030393A">
        <w:rPr>
          <w:rFonts w:ascii="Bookman Old Style" w:hAnsi="Bookman Old Style"/>
          <w:b/>
          <w:sz w:val="24"/>
          <w:szCs w:val="24"/>
          <w:lang w:val="es-ES"/>
        </w:rPr>
        <w:t>.</w:t>
      </w:r>
      <w:r w:rsidRPr="0030393A">
        <w:rPr>
          <w:rFonts w:ascii="Bookman Old Style" w:hAnsi="Bookman Old Style"/>
          <w:b/>
          <w:sz w:val="24"/>
          <w:szCs w:val="24"/>
          <w:lang w:val="es-ES"/>
        </w:rPr>
        <w:t xml:space="preserve"> </w:t>
      </w:r>
      <w:r w:rsidR="004B498C" w:rsidRPr="0030393A">
        <w:rPr>
          <w:rFonts w:ascii="Bookman Old Style" w:hAnsi="Bookman Old Style"/>
          <w:b/>
          <w:sz w:val="24"/>
          <w:szCs w:val="24"/>
          <w:lang w:val="es-ES"/>
        </w:rPr>
        <w:t xml:space="preserve"> </w:t>
      </w:r>
    </w:p>
    <w:bookmarkEnd w:id="63"/>
    <w:p w14:paraId="2AB41085" w14:textId="77777777" w:rsidR="0006302B" w:rsidRPr="0030393A" w:rsidRDefault="0006302B" w:rsidP="00202051">
      <w:pPr>
        <w:pStyle w:val="Prrafodelista"/>
        <w:ind w:left="567" w:hanging="425"/>
        <w:rPr>
          <w:rFonts w:ascii="Bookman Old Style" w:hAnsi="Bookman Old Style"/>
          <w:b/>
          <w:sz w:val="24"/>
          <w:szCs w:val="24"/>
          <w:lang w:val="es-ES"/>
        </w:rPr>
      </w:pPr>
    </w:p>
    <w:p w14:paraId="7E712780" w14:textId="21820654" w:rsidR="00AA67DE" w:rsidRDefault="00D816BC" w:rsidP="009E133F">
      <w:pPr>
        <w:pStyle w:val="Prrafodelista"/>
        <w:numPr>
          <w:ilvl w:val="0"/>
          <w:numId w:val="101"/>
        </w:numPr>
        <w:ind w:left="567"/>
        <w:jc w:val="both"/>
        <w:outlineLvl w:val="0"/>
        <w:rPr>
          <w:rFonts w:ascii="Bookman Old Style" w:hAnsi="Bookman Old Style"/>
          <w:b/>
          <w:sz w:val="24"/>
          <w:szCs w:val="24"/>
          <w:lang w:val="es-ES"/>
        </w:rPr>
      </w:pPr>
      <w:r w:rsidRPr="0030393A">
        <w:rPr>
          <w:rFonts w:ascii="Bookman Old Style" w:hAnsi="Bookman Old Style"/>
          <w:b/>
          <w:sz w:val="24"/>
          <w:szCs w:val="24"/>
        </w:rPr>
        <w:t xml:space="preserve">En </w:t>
      </w:r>
      <w:r w:rsidR="00DE25AC" w:rsidRPr="0030393A">
        <w:rPr>
          <w:rFonts w:ascii="Bookman Old Style" w:hAnsi="Bookman Old Style"/>
          <w:b/>
          <w:sz w:val="24"/>
          <w:szCs w:val="24"/>
          <w:lang w:val="es-ES"/>
        </w:rPr>
        <w:t>los</w:t>
      </w:r>
      <w:r w:rsidRPr="0030393A">
        <w:rPr>
          <w:rFonts w:ascii="Bookman Old Style" w:hAnsi="Bookman Old Style"/>
          <w:b/>
          <w:sz w:val="24"/>
          <w:szCs w:val="24"/>
        </w:rPr>
        <w:t xml:space="preserve"> caso</w:t>
      </w:r>
      <w:r w:rsidR="00DE25AC" w:rsidRPr="0030393A">
        <w:rPr>
          <w:rFonts w:ascii="Bookman Old Style" w:hAnsi="Bookman Old Style"/>
          <w:b/>
          <w:sz w:val="24"/>
          <w:szCs w:val="24"/>
          <w:lang w:val="es-ES"/>
        </w:rPr>
        <w:t>s</w:t>
      </w:r>
      <w:r w:rsidRPr="0030393A">
        <w:rPr>
          <w:rFonts w:ascii="Bookman Old Style" w:hAnsi="Bookman Old Style"/>
          <w:b/>
          <w:sz w:val="24"/>
          <w:szCs w:val="24"/>
        </w:rPr>
        <w:t xml:space="preserve"> señalado</w:t>
      </w:r>
      <w:r w:rsidR="00DE25AC" w:rsidRPr="0030393A">
        <w:rPr>
          <w:rFonts w:ascii="Bookman Old Style" w:hAnsi="Bookman Old Style"/>
          <w:b/>
          <w:sz w:val="24"/>
          <w:szCs w:val="24"/>
          <w:lang w:val="es-ES"/>
        </w:rPr>
        <w:t>s</w:t>
      </w:r>
      <w:r w:rsidRPr="0030393A">
        <w:rPr>
          <w:rFonts w:ascii="Bookman Old Style" w:hAnsi="Bookman Old Style"/>
          <w:b/>
          <w:sz w:val="24"/>
          <w:szCs w:val="24"/>
        </w:rPr>
        <w:t xml:space="preserve"> en el numeral 3. </w:t>
      </w:r>
      <w:r w:rsidR="00DE25AC" w:rsidRPr="0030393A">
        <w:rPr>
          <w:rFonts w:ascii="Bookman Old Style" w:hAnsi="Bookman Old Style"/>
          <w:b/>
          <w:sz w:val="24"/>
          <w:szCs w:val="24"/>
          <w:lang w:val="es-ES"/>
        </w:rPr>
        <w:t>d</w:t>
      </w:r>
      <w:r w:rsidRPr="0030393A">
        <w:rPr>
          <w:rFonts w:ascii="Bookman Old Style" w:hAnsi="Bookman Old Style"/>
          <w:b/>
          <w:sz w:val="24"/>
          <w:szCs w:val="24"/>
        </w:rPr>
        <w:t xml:space="preserve">el </w:t>
      </w:r>
      <w:r w:rsidR="009D6B6E">
        <w:rPr>
          <w:rFonts w:ascii="Bookman Old Style" w:hAnsi="Bookman Old Style"/>
          <w:b/>
          <w:sz w:val="24"/>
          <w:szCs w:val="24"/>
        </w:rPr>
        <w:t>a</w:t>
      </w:r>
      <w:r w:rsidRPr="0030393A">
        <w:rPr>
          <w:rFonts w:ascii="Bookman Old Style" w:hAnsi="Bookman Old Style"/>
          <w:b/>
          <w:sz w:val="24"/>
          <w:szCs w:val="24"/>
        </w:rPr>
        <w:t>rtículo 19</w:t>
      </w:r>
      <w:r w:rsidR="00DE25AC" w:rsidRPr="0030393A">
        <w:rPr>
          <w:rFonts w:ascii="Bookman Old Style" w:hAnsi="Bookman Old Style"/>
          <w:b/>
          <w:sz w:val="24"/>
          <w:szCs w:val="24"/>
          <w:lang w:val="es-ES"/>
        </w:rPr>
        <w:t xml:space="preserve"> </w:t>
      </w:r>
      <w:r w:rsidRPr="0030393A">
        <w:rPr>
          <w:rFonts w:ascii="Bookman Old Style" w:hAnsi="Bookman Old Style"/>
          <w:b/>
          <w:sz w:val="24"/>
          <w:szCs w:val="24"/>
        </w:rPr>
        <w:t>la duración de los contratos será de una semana</w:t>
      </w:r>
      <w:r w:rsidR="00AA67DE">
        <w:rPr>
          <w:rFonts w:ascii="Bookman Old Style" w:hAnsi="Bookman Old Style"/>
          <w:b/>
          <w:sz w:val="24"/>
          <w:szCs w:val="24"/>
        </w:rPr>
        <w:t xml:space="preserve"> y podrán ser iniciados en cualquier día de la semana</w:t>
      </w:r>
      <w:r w:rsidRPr="0030393A">
        <w:rPr>
          <w:rFonts w:ascii="Bookman Old Style" w:hAnsi="Bookman Old Style"/>
          <w:b/>
          <w:sz w:val="24"/>
          <w:szCs w:val="24"/>
          <w:lang w:val="es-ES"/>
        </w:rPr>
        <w:t xml:space="preserve">. </w:t>
      </w:r>
      <w:r w:rsidRPr="0030393A">
        <w:rPr>
          <w:rFonts w:ascii="Bookman Old Style" w:hAnsi="Bookman Old Style"/>
          <w:b/>
          <w:sz w:val="24"/>
          <w:szCs w:val="24"/>
        </w:rPr>
        <w:t xml:space="preserve"> </w:t>
      </w:r>
      <w:r w:rsidR="0006302B" w:rsidRPr="0030393A">
        <w:rPr>
          <w:rFonts w:ascii="Bookman Old Style" w:hAnsi="Bookman Old Style"/>
          <w:b/>
          <w:sz w:val="24"/>
          <w:szCs w:val="24"/>
          <w:lang w:val="es-ES"/>
        </w:rPr>
        <w:t xml:space="preserve">En </w:t>
      </w:r>
      <w:r w:rsidR="00DE25AC" w:rsidRPr="0030393A">
        <w:rPr>
          <w:rFonts w:ascii="Bookman Old Style" w:hAnsi="Bookman Old Style"/>
          <w:b/>
          <w:sz w:val="24"/>
          <w:szCs w:val="24"/>
          <w:lang w:val="es-ES"/>
        </w:rPr>
        <w:t>los</w:t>
      </w:r>
      <w:r w:rsidR="0006302B" w:rsidRPr="0030393A">
        <w:rPr>
          <w:rFonts w:ascii="Bookman Old Style" w:hAnsi="Bookman Old Style"/>
          <w:b/>
          <w:sz w:val="24"/>
          <w:szCs w:val="24"/>
          <w:lang w:val="es-ES"/>
        </w:rPr>
        <w:t xml:space="preserve"> caso</w:t>
      </w:r>
      <w:r w:rsidR="00DE25AC" w:rsidRPr="0030393A">
        <w:rPr>
          <w:rFonts w:ascii="Bookman Old Style" w:hAnsi="Bookman Old Style"/>
          <w:b/>
          <w:sz w:val="24"/>
          <w:szCs w:val="24"/>
          <w:lang w:val="es-ES"/>
        </w:rPr>
        <w:t>s</w:t>
      </w:r>
      <w:r w:rsidR="0006302B" w:rsidRPr="0030393A">
        <w:rPr>
          <w:rFonts w:ascii="Bookman Old Style" w:hAnsi="Bookman Old Style"/>
          <w:b/>
          <w:sz w:val="24"/>
          <w:szCs w:val="24"/>
          <w:lang w:val="es-ES"/>
        </w:rPr>
        <w:t xml:space="preserve"> señalado</w:t>
      </w:r>
      <w:r w:rsidR="00DE25AC" w:rsidRPr="0030393A">
        <w:rPr>
          <w:rFonts w:ascii="Bookman Old Style" w:hAnsi="Bookman Old Style"/>
          <w:b/>
          <w:sz w:val="24"/>
          <w:szCs w:val="24"/>
          <w:lang w:val="es-ES"/>
        </w:rPr>
        <w:t>s</w:t>
      </w:r>
      <w:r w:rsidR="0006302B" w:rsidRPr="0030393A">
        <w:rPr>
          <w:rFonts w:ascii="Bookman Old Style" w:hAnsi="Bookman Old Style"/>
          <w:b/>
          <w:sz w:val="24"/>
          <w:szCs w:val="24"/>
          <w:lang w:val="es-ES"/>
        </w:rPr>
        <w:t xml:space="preserve"> en el literal </w:t>
      </w:r>
      <w:r w:rsidR="0024295C">
        <w:rPr>
          <w:rFonts w:ascii="Bookman Old Style" w:hAnsi="Bookman Old Style"/>
          <w:b/>
          <w:sz w:val="24"/>
          <w:szCs w:val="24"/>
          <w:lang w:val="es-ES"/>
        </w:rPr>
        <w:t>e</w:t>
      </w:r>
      <w:r w:rsidR="0006302B" w:rsidRPr="0030393A">
        <w:rPr>
          <w:rFonts w:ascii="Bookman Old Style" w:hAnsi="Bookman Old Style"/>
          <w:b/>
          <w:sz w:val="24"/>
          <w:szCs w:val="24"/>
          <w:lang w:val="es-ES"/>
        </w:rPr>
        <w:t xml:space="preserve">. del numeral </w:t>
      </w:r>
      <w:r w:rsidR="009E133F" w:rsidRPr="0030393A">
        <w:rPr>
          <w:rFonts w:ascii="Bookman Old Style" w:hAnsi="Bookman Old Style"/>
          <w:b/>
          <w:sz w:val="24"/>
          <w:szCs w:val="24"/>
          <w:lang w:val="es-ES"/>
        </w:rPr>
        <w:t>1</w:t>
      </w:r>
      <w:r w:rsidR="0006302B" w:rsidRPr="0030393A">
        <w:rPr>
          <w:rFonts w:ascii="Bookman Old Style" w:hAnsi="Bookman Old Style"/>
          <w:b/>
          <w:sz w:val="24"/>
          <w:szCs w:val="24"/>
          <w:lang w:val="es-ES"/>
        </w:rPr>
        <w:t xml:space="preserve"> del </w:t>
      </w:r>
      <w:r w:rsidR="009D6B6E">
        <w:rPr>
          <w:rFonts w:ascii="Bookman Old Style" w:hAnsi="Bookman Old Style"/>
          <w:b/>
          <w:sz w:val="24"/>
          <w:szCs w:val="24"/>
          <w:lang w:val="es-ES"/>
        </w:rPr>
        <w:t>a</w:t>
      </w:r>
      <w:r w:rsidR="0006302B" w:rsidRPr="0030393A">
        <w:rPr>
          <w:rFonts w:ascii="Bookman Old Style" w:hAnsi="Bookman Old Style"/>
          <w:b/>
          <w:sz w:val="24"/>
          <w:szCs w:val="24"/>
          <w:lang w:val="es-ES"/>
        </w:rPr>
        <w:t>rtículo 2</w:t>
      </w:r>
      <w:r w:rsidR="009E133F" w:rsidRPr="0030393A">
        <w:rPr>
          <w:rFonts w:ascii="Bookman Old Style" w:hAnsi="Bookman Old Style"/>
          <w:b/>
          <w:sz w:val="24"/>
          <w:szCs w:val="24"/>
          <w:lang w:val="es-ES"/>
        </w:rPr>
        <w:t>2</w:t>
      </w:r>
      <w:r w:rsidR="00E25825" w:rsidRPr="0030393A">
        <w:rPr>
          <w:rFonts w:ascii="Bookman Old Style" w:hAnsi="Bookman Old Style"/>
          <w:b/>
          <w:sz w:val="24"/>
          <w:szCs w:val="24"/>
          <w:lang w:val="es-ES"/>
        </w:rPr>
        <w:t>,</w:t>
      </w:r>
      <w:r w:rsidR="0006302B" w:rsidRPr="0030393A">
        <w:rPr>
          <w:rFonts w:ascii="Bookman Old Style" w:hAnsi="Bookman Old Style"/>
          <w:b/>
          <w:sz w:val="24"/>
          <w:szCs w:val="24"/>
          <w:lang w:val="es-ES"/>
        </w:rPr>
        <w:t xml:space="preserve"> la duración de los contratos </w:t>
      </w:r>
      <w:r w:rsidR="009E133F" w:rsidRPr="0030393A">
        <w:rPr>
          <w:rFonts w:ascii="Bookman Old Style" w:hAnsi="Bookman Old Style"/>
          <w:b/>
          <w:sz w:val="24"/>
          <w:szCs w:val="24"/>
          <w:lang w:val="es-ES"/>
        </w:rPr>
        <w:t xml:space="preserve">que se registren </w:t>
      </w:r>
      <w:r w:rsidR="00CE5C30" w:rsidRPr="0030393A">
        <w:rPr>
          <w:rFonts w:ascii="Bookman Old Style" w:hAnsi="Bookman Old Style"/>
          <w:b/>
          <w:sz w:val="24"/>
          <w:szCs w:val="24"/>
          <w:lang w:val="es-ES"/>
        </w:rPr>
        <w:t>será</w:t>
      </w:r>
      <w:r w:rsidR="0006302B" w:rsidRPr="0030393A">
        <w:rPr>
          <w:rFonts w:ascii="Bookman Old Style" w:hAnsi="Bookman Old Style"/>
          <w:b/>
          <w:sz w:val="24"/>
          <w:szCs w:val="24"/>
          <w:lang w:val="es-ES"/>
        </w:rPr>
        <w:t xml:space="preserve"> de un </w:t>
      </w:r>
      <w:r w:rsidR="0006302B" w:rsidRPr="0030393A">
        <w:rPr>
          <w:rFonts w:ascii="Bookman Old Style" w:hAnsi="Bookman Old Style"/>
          <w:b/>
          <w:sz w:val="24"/>
          <w:szCs w:val="24"/>
          <w:lang w:val="es-ES"/>
        </w:rPr>
        <w:lastRenderedPageBreak/>
        <w:t>mes calendario</w:t>
      </w:r>
      <w:r w:rsidR="00AA67DE">
        <w:rPr>
          <w:rFonts w:ascii="Bookman Old Style" w:hAnsi="Bookman Old Style"/>
          <w:b/>
          <w:sz w:val="24"/>
          <w:szCs w:val="24"/>
          <w:lang w:val="es-ES"/>
        </w:rPr>
        <w:t xml:space="preserve"> y podrán ser iniciados en el primer día calendario del mes</w:t>
      </w:r>
      <w:r w:rsidR="0006302B" w:rsidRPr="0030393A">
        <w:rPr>
          <w:rFonts w:ascii="Bookman Old Style" w:hAnsi="Bookman Old Style"/>
          <w:b/>
          <w:sz w:val="24"/>
          <w:szCs w:val="24"/>
          <w:lang w:val="es-ES"/>
        </w:rPr>
        <w:t>.</w:t>
      </w:r>
      <w:r w:rsidR="00AA67DE">
        <w:rPr>
          <w:rFonts w:ascii="Bookman Old Style" w:hAnsi="Bookman Old Style"/>
          <w:b/>
          <w:sz w:val="24"/>
          <w:szCs w:val="24"/>
          <w:lang w:val="es-ES"/>
        </w:rPr>
        <w:t xml:space="preserve"> </w:t>
      </w:r>
    </w:p>
    <w:p w14:paraId="2851E918" w14:textId="77777777" w:rsidR="00AA67DE" w:rsidRDefault="00AA67DE" w:rsidP="00AA67DE">
      <w:pPr>
        <w:pStyle w:val="Prrafodelista"/>
        <w:ind w:left="567"/>
        <w:jc w:val="both"/>
        <w:outlineLvl w:val="0"/>
        <w:rPr>
          <w:rFonts w:ascii="Bookman Old Style" w:hAnsi="Bookman Old Style"/>
          <w:b/>
          <w:sz w:val="24"/>
          <w:szCs w:val="24"/>
          <w:lang w:val="es-ES"/>
        </w:rPr>
      </w:pPr>
    </w:p>
    <w:p w14:paraId="25C883B6" w14:textId="7A399781" w:rsidR="00AA67DE" w:rsidRDefault="00AA67DE" w:rsidP="00AA67DE">
      <w:pPr>
        <w:pStyle w:val="Prrafodelista"/>
        <w:ind w:left="567"/>
        <w:jc w:val="both"/>
        <w:outlineLvl w:val="0"/>
        <w:rPr>
          <w:rFonts w:ascii="Bookman Old Style" w:hAnsi="Bookman Old Style"/>
          <w:b/>
          <w:sz w:val="24"/>
          <w:szCs w:val="24"/>
          <w:lang w:val="es-ES"/>
        </w:rPr>
      </w:pPr>
      <w:r>
        <w:rPr>
          <w:rFonts w:ascii="Bookman Old Style" w:hAnsi="Bookman Old Style"/>
          <w:b/>
          <w:sz w:val="24"/>
          <w:szCs w:val="24"/>
          <w:lang w:val="es-ES"/>
        </w:rPr>
        <w:t xml:space="preserve">Los contratos anteriores podrán pactarse bajo cualesquiera de las modalidades establecidas en el </w:t>
      </w:r>
      <w:r w:rsidR="001766C1">
        <w:rPr>
          <w:rFonts w:ascii="Bookman Old Style" w:hAnsi="Bookman Old Style"/>
          <w:b/>
          <w:sz w:val="24"/>
          <w:szCs w:val="24"/>
          <w:lang w:val="es-ES"/>
        </w:rPr>
        <w:t>a</w:t>
      </w:r>
      <w:r>
        <w:rPr>
          <w:rFonts w:ascii="Bookman Old Style" w:hAnsi="Bookman Old Style"/>
          <w:b/>
          <w:sz w:val="24"/>
          <w:szCs w:val="24"/>
          <w:lang w:val="es-ES"/>
        </w:rPr>
        <w:t xml:space="preserve">rtículo 8 de la presente resolución. </w:t>
      </w:r>
    </w:p>
    <w:p w14:paraId="1647612C" w14:textId="77777777" w:rsidR="00AA67DE" w:rsidRDefault="00AA67DE" w:rsidP="00AA67DE">
      <w:pPr>
        <w:pStyle w:val="Prrafodelista"/>
        <w:ind w:left="567"/>
        <w:jc w:val="both"/>
        <w:outlineLvl w:val="0"/>
        <w:rPr>
          <w:rFonts w:ascii="Bookman Old Style" w:hAnsi="Bookman Old Style"/>
          <w:b/>
          <w:sz w:val="24"/>
          <w:szCs w:val="24"/>
          <w:lang w:val="es-ES"/>
        </w:rPr>
      </w:pPr>
    </w:p>
    <w:p w14:paraId="7718CD76" w14:textId="7C4823E4" w:rsidR="0006302B" w:rsidRPr="0030393A" w:rsidRDefault="00AA67DE" w:rsidP="00295053">
      <w:pPr>
        <w:pStyle w:val="Prrafodelista"/>
        <w:ind w:left="567"/>
        <w:jc w:val="both"/>
        <w:outlineLvl w:val="0"/>
        <w:rPr>
          <w:rFonts w:ascii="Bookman Old Style" w:hAnsi="Bookman Old Style"/>
          <w:b/>
          <w:sz w:val="24"/>
          <w:szCs w:val="24"/>
          <w:lang w:val="es-ES"/>
        </w:rPr>
      </w:pPr>
      <w:r>
        <w:rPr>
          <w:rFonts w:ascii="Bookman Old Style" w:hAnsi="Bookman Old Style"/>
          <w:b/>
          <w:sz w:val="24"/>
          <w:szCs w:val="24"/>
          <w:lang w:val="es-ES"/>
        </w:rPr>
        <w:t xml:space="preserve">En el caso de los contratos de duración semanal de las modalidades CF95 o CF80, </w:t>
      </w:r>
      <w:r w:rsidRPr="00AA67DE">
        <w:rPr>
          <w:rFonts w:ascii="Bookman Old Style" w:hAnsi="Bookman Old Style"/>
          <w:b/>
          <w:sz w:val="24"/>
          <w:szCs w:val="24"/>
          <w:lang w:val="es-ES"/>
        </w:rPr>
        <w:t xml:space="preserve">el comprador se compromete a pagar en la liquidación </w:t>
      </w:r>
      <w:r>
        <w:rPr>
          <w:rFonts w:ascii="Bookman Old Style" w:hAnsi="Bookman Old Style"/>
          <w:b/>
          <w:sz w:val="24"/>
          <w:szCs w:val="24"/>
          <w:lang w:val="es-ES"/>
        </w:rPr>
        <w:t>seman</w:t>
      </w:r>
      <w:r w:rsidRPr="00AA67DE">
        <w:rPr>
          <w:rFonts w:ascii="Bookman Old Style" w:hAnsi="Bookman Old Style"/>
          <w:b/>
          <w:sz w:val="24"/>
          <w:szCs w:val="24"/>
          <w:lang w:val="es-ES"/>
        </w:rPr>
        <w:t>al, mínimo el 95%</w:t>
      </w:r>
      <w:r>
        <w:rPr>
          <w:rFonts w:ascii="Bookman Old Style" w:hAnsi="Bookman Old Style"/>
          <w:b/>
          <w:sz w:val="24"/>
          <w:szCs w:val="24"/>
          <w:lang w:val="es-ES"/>
        </w:rPr>
        <w:t xml:space="preserve"> o el 80% según corresponda,</w:t>
      </w:r>
      <w:r w:rsidRPr="00AA67DE">
        <w:rPr>
          <w:rFonts w:ascii="Bookman Old Style" w:hAnsi="Bookman Old Style"/>
          <w:b/>
          <w:sz w:val="24"/>
          <w:szCs w:val="24"/>
          <w:lang w:val="es-ES"/>
        </w:rPr>
        <w:t xml:space="preserve"> de la cantidad contratada correspondiente </w:t>
      </w:r>
      <w:r>
        <w:rPr>
          <w:rFonts w:ascii="Bookman Old Style" w:hAnsi="Bookman Old Style"/>
          <w:b/>
          <w:sz w:val="24"/>
          <w:szCs w:val="24"/>
          <w:lang w:val="es-ES"/>
        </w:rPr>
        <w:t>a la semana</w:t>
      </w:r>
      <w:r w:rsidRPr="00AA67DE">
        <w:rPr>
          <w:rFonts w:ascii="Bookman Old Style" w:hAnsi="Bookman Old Style"/>
          <w:b/>
          <w:sz w:val="24"/>
          <w:szCs w:val="24"/>
          <w:lang w:val="es-ES"/>
        </w:rPr>
        <w:t>, independientemente de que sea consumida o no</w:t>
      </w:r>
      <w:r>
        <w:rPr>
          <w:rFonts w:ascii="Bookman Old Style" w:hAnsi="Bookman Old Style"/>
          <w:b/>
          <w:sz w:val="24"/>
          <w:szCs w:val="24"/>
          <w:lang w:val="es-ES"/>
        </w:rPr>
        <w:t>.</w:t>
      </w:r>
    </w:p>
    <w:p w14:paraId="0D8F235A" w14:textId="77777777" w:rsidR="0006302B" w:rsidRPr="0030393A" w:rsidRDefault="0006302B" w:rsidP="00202051">
      <w:pPr>
        <w:pStyle w:val="Prrafodelista"/>
        <w:ind w:left="567" w:hanging="425"/>
        <w:rPr>
          <w:rFonts w:ascii="Bookman Old Style" w:hAnsi="Bookman Old Style"/>
          <w:b/>
          <w:sz w:val="24"/>
          <w:szCs w:val="24"/>
          <w:lang w:val="es-ES"/>
        </w:rPr>
      </w:pPr>
    </w:p>
    <w:p w14:paraId="474BF45C" w14:textId="3F025F02" w:rsidR="0006302B" w:rsidRPr="0030393A" w:rsidRDefault="0006302B" w:rsidP="009E133F">
      <w:pPr>
        <w:pStyle w:val="Prrafodelista"/>
        <w:numPr>
          <w:ilvl w:val="0"/>
          <w:numId w:val="101"/>
        </w:numPr>
        <w:ind w:left="567" w:hanging="425"/>
        <w:jc w:val="both"/>
        <w:outlineLvl w:val="0"/>
        <w:rPr>
          <w:rFonts w:ascii="Bookman Old Style" w:hAnsi="Bookman Old Style"/>
          <w:b/>
          <w:sz w:val="24"/>
          <w:szCs w:val="24"/>
          <w:lang w:val="es-ES"/>
        </w:rPr>
      </w:pPr>
      <w:r w:rsidRPr="0030393A">
        <w:rPr>
          <w:rFonts w:ascii="Bookman Old Style" w:hAnsi="Bookman Old Style"/>
          <w:b/>
          <w:sz w:val="24"/>
          <w:szCs w:val="24"/>
          <w:lang w:val="es-ES"/>
        </w:rPr>
        <w:t xml:space="preserve">El inicio de la ejecución del suministro </w:t>
      </w:r>
      <w:r w:rsidR="004C1FA5" w:rsidRPr="0030393A">
        <w:rPr>
          <w:rFonts w:ascii="Bookman Old Style" w:hAnsi="Bookman Old Style"/>
          <w:b/>
          <w:sz w:val="24"/>
          <w:szCs w:val="24"/>
          <w:lang w:val="es-ES"/>
        </w:rPr>
        <w:t xml:space="preserve">deberá </w:t>
      </w:r>
      <w:r w:rsidRPr="0030393A">
        <w:rPr>
          <w:rFonts w:ascii="Bookman Old Style" w:hAnsi="Bookman Old Style"/>
          <w:b/>
          <w:sz w:val="24"/>
          <w:szCs w:val="24"/>
          <w:lang w:val="es-ES"/>
        </w:rPr>
        <w:t xml:space="preserve">ocurrir en el primer día calendario de cualquiera de los </w:t>
      </w:r>
      <w:r w:rsidR="00D33FDB" w:rsidRPr="0030393A">
        <w:rPr>
          <w:rFonts w:ascii="Bookman Old Style" w:hAnsi="Bookman Old Style"/>
          <w:b/>
          <w:sz w:val="24"/>
          <w:szCs w:val="24"/>
          <w:lang w:val="es-ES"/>
        </w:rPr>
        <w:t xml:space="preserve">siguientes </w:t>
      </w:r>
      <w:r w:rsidRPr="0030393A">
        <w:rPr>
          <w:rFonts w:ascii="Bookman Old Style" w:hAnsi="Bookman Old Style"/>
          <w:b/>
          <w:sz w:val="24"/>
          <w:szCs w:val="24"/>
          <w:lang w:val="es-ES"/>
        </w:rPr>
        <w:t>Trimestres Estándar</w:t>
      </w:r>
      <w:r w:rsidR="00D33FDB" w:rsidRPr="0030393A">
        <w:rPr>
          <w:rFonts w:ascii="Bookman Old Style" w:hAnsi="Bookman Old Style"/>
          <w:b/>
          <w:sz w:val="24"/>
          <w:szCs w:val="24"/>
          <w:lang w:val="es-ES"/>
        </w:rPr>
        <w:t xml:space="preserve"> de duración del contrato de suministro</w:t>
      </w:r>
      <w:r w:rsidR="005F357B" w:rsidRPr="0030393A">
        <w:rPr>
          <w:rFonts w:ascii="Bookman Old Style" w:hAnsi="Bookman Old Style"/>
          <w:b/>
          <w:sz w:val="24"/>
          <w:szCs w:val="24"/>
          <w:lang w:val="es-ES"/>
        </w:rPr>
        <w:t xml:space="preserve">, excepto en los casos de los contratos en los que se da aplicación al </w:t>
      </w:r>
      <w:r w:rsidR="00EE7CB7">
        <w:rPr>
          <w:rFonts w:ascii="Bookman Old Style" w:hAnsi="Bookman Old Style"/>
          <w:b/>
          <w:sz w:val="24"/>
          <w:szCs w:val="24"/>
          <w:lang w:val="es-ES"/>
        </w:rPr>
        <w:t>a</w:t>
      </w:r>
      <w:r w:rsidR="005F357B" w:rsidRPr="0030393A">
        <w:rPr>
          <w:rFonts w:ascii="Bookman Old Style" w:hAnsi="Bookman Old Style"/>
          <w:b/>
          <w:sz w:val="24"/>
          <w:szCs w:val="24"/>
          <w:lang w:val="es-ES"/>
        </w:rPr>
        <w:t>rtículo 20 de la presente resolución</w:t>
      </w:r>
      <w:r w:rsidR="008E7D39">
        <w:rPr>
          <w:rFonts w:ascii="Bookman Old Style" w:hAnsi="Bookman Old Style"/>
          <w:b/>
          <w:sz w:val="24"/>
          <w:szCs w:val="24"/>
          <w:lang w:val="es-ES"/>
        </w:rPr>
        <w:t xml:space="preserve"> y de los contratos de duración semanal</w:t>
      </w:r>
      <w:r w:rsidRPr="0030393A">
        <w:rPr>
          <w:rFonts w:ascii="Bookman Old Style" w:hAnsi="Bookman Old Style"/>
          <w:b/>
          <w:sz w:val="24"/>
          <w:szCs w:val="24"/>
          <w:lang w:val="es-ES"/>
        </w:rPr>
        <w:t xml:space="preserve">.  </w:t>
      </w:r>
    </w:p>
    <w:p w14:paraId="47EA3DE5" w14:textId="77777777" w:rsidR="0006302B" w:rsidRPr="0030393A" w:rsidRDefault="0006302B" w:rsidP="00202051">
      <w:pPr>
        <w:pStyle w:val="Prrafodelista"/>
        <w:ind w:left="567" w:hanging="425"/>
        <w:rPr>
          <w:rFonts w:ascii="Bookman Old Style" w:hAnsi="Bookman Old Style"/>
          <w:b/>
          <w:bCs/>
          <w:sz w:val="24"/>
          <w:szCs w:val="24"/>
          <w:lang w:val="es-ES"/>
        </w:rPr>
      </w:pPr>
    </w:p>
    <w:p w14:paraId="0055572E" w14:textId="14398256" w:rsidR="0006302B" w:rsidRPr="0030393A" w:rsidRDefault="0006302B" w:rsidP="009E133F">
      <w:pPr>
        <w:pStyle w:val="Prrafodelista"/>
        <w:numPr>
          <w:ilvl w:val="0"/>
          <w:numId w:val="101"/>
        </w:numPr>
        <w:ind w:left="567" w:hanging="425"/>
        <w:jc w:val="both"/>
        <w:outlineLvl w:val="0"/>
        <w:rPr>
          <w:rFonts w:ascii="Bookman Old Style" w:hAnsi="Bookman Old Style"/>
          <w:b/>
          <w:bCs/>
          <w:sz w:val="24"/>
          <w:szCs w:val="24"/>
          <w:lang w:val="es-ES"/>
        </w:rPr>
      </w:pPr>
      <w:r w:rsidRPr="0030393A">
        <w:rPr>
          <w:rFonts w:ascii="Bookman Old Style" w:hAnsi="Bookman Old Style"/>
          <w:b/>
          <w:bCs/>
          <w:sz w:val="24"/>
          <w:szCs w:val="24"/>
          <w:lang w:val="es-ES"/>
        </w:rPr>
        <w:t>Los contratos deberán tener como fecha de terminación de ejecución del suministro el último día calendario de un Trimestre Estándar</w:t>
      </w:r>
      <w:r w:rsidR="004C1FA5" w:rsidRPr="0030393A">
        <w:rPr>
          <w:rFonts w:ascii="Bookman Old Style" w:hAnsi="Bookman Old Style"/>
          <w:b/>
          <w:bCs/>
          <w:sz w:val="24"/>
          <w:szCs w:val="24"/>
          <w:lang w:val="es-ES"/>
        </w:rPr>
        <w:t xml:space="preserve"> con la única excepción para </w:t>
      </w:r>
      <w:r w:rsidRPr="0030393A">
        <w:rPr>
          <w:rFonts w:ascii="Bookman Old Style" w:hAnsi="Bookman Old Style"/>
          <w:b/>
          <w:bCs/>
          <w:sz w:val="24"/>
          <w:szCs w:val="24"/>
          <w:lang w:val="es-ES"/>
        </w:rPr>
        <w:t xml:space="preserve">el caso señalado en el literal </w:t>
      </w:r>
      <w:r w:rsidR="0024295C">
        <w:rPr>
          <w:rFonts w:ascii="Bookman Old Style" w:hAnsi="Bookman Old Style"/>
          <w:b/>
          <w:bCs/>
          <w:sz w:val="24"/>
          <w:szCs w:val="24"/>
          <w:lang w:val="es-ES"/>
        </w:rPr>
        <w:t>e</w:t>
      </w:r>
      <w:r w:rsidRPr="0030393A">
        <w:rPr>
          <w:rFonts w:ascii="Bookman Old Style" w:hAnsi="Bookman Old Style"/>
          <w:b/>
          <w:bCs/>
          <w:sz w:val="24"/>
          <w:szCs w:val="24"/>
          <w:lang w:val="es-ES"/>
        </w:rPr>
        <w:t xml:space="preserve">. del numeral </w:t>
      </w:r>
      <w:r w:rsidR="00E22976" w:rsidRPr="0030393A">
        <w:rPr>
          <w:rFonts w:ascii="Bookman Old Style" w:hAnsi="Bookman Old Style"/>
          <w:b/>
          <w:bCs/>
          <w:sz w:val="24"/>
          <w:szCs w:val="24"/>
          <w:lang w:val="es-ES"/>
        </w:rPr>
        <w:t>1</w:t>
      </w:r>
      <w:r w:rsidRPr="0030393A">
        <w:rPr>
          <w:rFonts w:ascii="Bookman Old Style" w:hAnsi="Bookman Old Style"/>
          <w:b/>
          <w:bCs/>
          <w:sz w:val="24"/>
          <w:szCs w:val="24"/>
          <w:lang w:val="es-ES"/>
        </w:rPr>
        <w:t xml:space="preserve"> del </w:t>
      </w:r>
      <w:r w:rsidR="00C464C1">
        <w:rPr>
          <w:rFonts w:ascii="Bookman Old Style" w:hAnsi="Bookman Old Style"/>
          <w:b/>
          <w:bCs/>
          <w:sz w:val="24"/>
          <w:szCs w:val="24"/>
          <w:lang w:val="es-ES"/>
        </w:rPr>
        <w:t>a</w:t>
      </w:r>
      <w:r w:rsidRPr="0030393A">
        <w:rPr>
          <w:rFonts w:ascii="Bookman Old Style" w:hAnsi="Bookman Old Style"/>
          <w:b/>
          <w:bCs/>
          <w:sz w:val="24"/>
          <w:szCs w:val="24"/>
          <w:lang w:val="es-ES"/>
        </w:rPr>
        <w:t>rtículo 2</w:t>
      </w:r>
      <w:r w:rsidR="00E22976" w:rsidRPr="0030393A">
        <w:rPr>
          <w:rFonts w:ascii="Bookman Old Style" w:hAnsi="Bookman Old Style"/>
          <w:b/>
          <w:bCs/>
          <w:sz w:val="24"/>
          <w:szCs w:val="24"/>
          <w:lang w:val="es-ES"/>
        </w:rPr>
        <w:t>2</w:t>
      </w:r>
      <w:r w:rsidRPr="0030393A">
        <w:rPr>
          <w:rFonts w:ascii="Bookman Old Style" w:hAnsi="Bookman Old Style"/>
          <w:b/>
          <w:bCs/>
          <w:sz w:val="24"/>
          <w:szCs w:val="24"/>
          <w:lang w:val="es-ES"/>
        </w:rPr>
        <w:t xml:space="preserve"> de la presente Resolución, </w:t>
      </w:r>
      <w:r w:rsidR="004C1FA5" w:rsidRPr="0030393A">
        <w:rPr>
          <w:rFonts w:ascii="Bookman Old Style" w:hAnsi="Bookman Old Style"/>
          <w:b/>
          <w:bCs/>
          <w:sz w:val="24"/>
          <w:szCs w:val="24"/>
          <w:lang w:val="es-ES"/>
        </w:rPr>
        <w:t xml:space="preserve">en que </w:t>
      </w:r>
      <w:r w:rsidRPr="0030393A">
        <w:rPr>
          <w:rFonts w:ascii="Bookman Old Style" w:hAnsi="Bookman Old Style"/>
          <w:b/>
          <w:bCs/>
          <w:sz w:val="24"/>
          <w:szCs w:val="24"/>
          <w:lang w:val="es-ES"/>
        </w:rPr>
        <w:t xml:space="preserve">los contratos de suministro </w:t>
      </w:r>
      <w:r w:rsidR="0089510E" w:rsidRPr="0030393A">
        <w:rPr>
          <w:rFonts w:ascii="Bookman Old Style" w:hAnsi="Bookman Old Style"/>
          <w:b/>
          <w:bCs/>
          <w:sz w:val="24"/>
          <w:szCs w:val="24"/>
          <w:lang w:val="es-ES"/>
        </w:rPr>
        <w:t>mensual</w:t>
      </w:r>
      <w:r w:rsidRPr="0030393A">
        <w:rPr>
          <w:rFonts w:ascii="Bookman Old Style" w:hAnsi="Bookman Old Style"/>
          <w:b/>
          <w:bCs/>
          <w:sz w:val="24"/>
          <w:szCs w:val="24"/>
          <w:lang w:val="es-ES"/>
        </w:rPr>
        <w:t xml:space="preserve"> deberán tener como fecha de terminación el último día calendario del mes </w:t>
      </w:r>
      <w:r w:rsidR="00A67899" w:rsidRPr="0030393A">
        <w:rPr>
          <w:rFonts w:ascii="Bookman Old Style" w:hAnsi="Bookman Old Style"/>
          <w:b/>
          <w:bCs/>
          <w:sz w:val="24"/>
          <w:szCs w:val="24"/>
          <w:lang w:val="es-ES"/>
        </w:rPr>
        <w:t xml:space="preserve">de ejecución </w:t>
      </w:r>
      <w:r w:rsidRPr="0030393A">
        <w:rPr>
          <w:rFonts w:ascii="Bookman Old Style" w:hAnsi="Bookman Old Style"/>
          <w:b/>
          <w:bCs/>
          <w:sz w:val="24"/>
          <w:szCs w:val="24"/>
          <w:lang w:val="es-ES"/>
        </w:rPr>
        <w:t>respectivo</w:t>
      </w:r>
      <w:r w:rsidR="008E7D39">
        <w:rPr>
          <w:rFonts w:ascii="Bookman Old Style" w:hAnsi="Bookman Old Style"/>
          <w:b/>
          <w:bCs/>
          <w:sz w:val="24"/>
          <w:szCs w:val="24"/>
          <w:lang w:val="es-ES"/>
        </w:rPr>
        <w:t xml:space="preserve"> y en los contratos de duración semanal</w:t>
      </w:r>
      <w:r w:rsidRPr="0030393A">
        <w:rPr>
          <w:rFonts w:ascii="Bookman Old Style" w:hAnsi="Bookman Old Style"/>
          <w:b/>
          <w:bCs/>
          <w:sz w:val="24"/>
          <w:szCs w:val="24"/>
          <w:lang w:val="es-ES"/>
        </w:rPr>
        <w:t>.</w:t>
      </w:r>
    </w:p>
    <w:p w14:paraId="64FE4325" w14:textId="77777777" w:rsidR="0006302B" w:rsidRPr="0030393A" w:rsidRDefault="0006302B" w:rsidP="00202051">
      <w:pPr>
        <w:pStyle w:val="Prrafodelista"/>
        <w:ind w:left="567" w:hanging="425"/>
        <w:rPr>
          <w:rFonts w:ascii="Bookman Old Style" w:hAnsi="Bookman Old Style"/>
          <w:sz w:val="24"/>
          <w:szCs w:val="24"/>
          <w:lang w:val="es-ES"/>
        </w:rPr>
      </w:pPr>
    </w:p>
    <w:p w14:paraId="0962CE91" w14:textId="72BB9762" w:rsidR="0006302B" w:rsidRPr="0030393A" w:rsidRDefault="0089510E" w:rsidP="009E133F">
      <w:pPr>
        <w:pStyle w:val="Prrafodelista"/>
        <w:numPr>
          <w:ilvl w:val="0"/>
          <w:numId w:val="101"/>
        </w:numPr>
        <w:ind w:left="567" w:hanging="425"/>
        <w:jc w:val="both"/>
        <w:outlineLvl w:val="0"/>
        <w:rPr>
          <w:rFonts w:ascii="Bookman Old Style" w:hAnsi="Bookman Old Style"/>
          <w:b/>
          <w:bCs/>
          <w:sz w:val="24"/>
          <w:szCs w:val="24"/>
          <w:lang w:val="es-ES"/>
        </w:rPr>
      </w:pPr>
      <w:r w:rsidRPr="0030393A">
        <w:rPr>
          <w:rFonts w:ascii="Bookman Old Style" w:hAnsi="Bookman Old Style"/>
          <w:b/>
          <w:bCs/>
          <w:sz w:val="24"/>
          <w:szCs w:val="24"/>
          <w:lang w:val="es-ES"/>
        </w:rPr>
        <w:t>Las cantidades para suministrar</w:t>
      </w:r>
      <w:r w:rsidR="0006302B" w:rsidRPr="0030393A">
        <w:rPr>
          <w:rFonts w:ascii="Bookman Old Style" w:hAnsi="Bookman Old Style"/>
          <w:b/>
          <w:bCs/>
          <w:sz w:val="24"/>
          <w:szCs w:val="24"/>
          <w:lang w:val="es-ES"/>
        </w:rPr>
        <w:t xml:space="preserve"> en los contratos suscritos y registrados podrán ser diferentes entre los diferentes Trimestre Estándar.</w:t>
      </w:r>
      <w:r w:rsidR="005F6D7C" w:rsidRPr="0030393A">
        <w:rPr>
          <w:rFonts w:ascii="Bookman Old Style" w:hAnsi="Bookman Old Style"/>
          <w:b/>
          <w:bCs/>
          <w:sz w:val="24"/>
          <w:szCs w:val="24"/>
          <w:lang w:val="es-ES"/>
        </w:rPr>
        <w:t xml:space="preserve"> </w:t>
      </w:r>
    </w:p>
    <w:p w14:paraId="2E9B56A9" w14:textId="77777777" w:rsidR="0006302B" w:rsidRPr="0030393A" w:rsidRDefault="0006302B" w:rsidP="00202051">
      <w:pPr>
        <w:pStyle w:val="Prrafodelista"/>
        <w:ind w:left="567" w:hanging="425"/>
        <w:jc w:val="both"/>
        <w:outlineLvl w:val="0"/>
        <w:rPr>
          <w:rFonts w:ascii="Bookman Old Style" w:hAnsi="Bookman Old Style"/>
          <w:b/>
          <w:bCs/>
          <w:sz w:val="24"/>
          <w:szCs w:val="24"/>
          <w:lang w:val="es-ES"/>
        </w:rPr>
      </w:pPr>
    </w:p>
    <w:p w14:paraId="18585DE6" w14:textId="1643A14D" w:rsidR="0006302B" w:rsidRPr="0030393A" w:rsidRDefault="0060505A" w:rsidP="009E133F">
      <w:pPr>
        <w:pStyle w:val="Prrafodelista"/>
        <w:numPr>
          <w:ilvl w:val="0"/>
          <w:numId w:val="101"/>
        </w:numPr>
        <w:ind w:left="567" w:hanging="425"/>
        <w:jc w:val="both"/>
        <w:outlineLvl w:val="0"/>
        <w:rPr>
          <w:rFonts w:ascii="Bookman Old Style" w:hAnsi="Bookman Old Style"/>
          <w:b/>
          <w:bCs/>
          <w:sz w:val="24"/>
          <w:szCs w:val="24"/>
          <w:lang w:val="es-ES"/>
        </w:rPr>
      </w:pPr>
      <w:r>
        <w:rPr>
          <w:rFonts w:ascii="Bookman Old Style" w:hAnsi="Bookman Old Style"/>
          <w:b/>
          <w:bCs/>
          <w:sz w:val="24"/>
          <w:szCs w:val="24"/>
          <w:lang w:val="es-ES"/>
        </w:rPr>
        <w:t>E</w:t>
      </w:r>
      <w:r w:rsidR="0006302B" w:rsidRPr="0030393A">
        <w:rPr>
          <w:rFonts w:ascii="Bookman Old Style" w:hAnsi="Bookman Old Style"/>
          <w:b/>
          <w:bCs/>
          <w:sz w:val="24"/>
          <w:szCs w:val="24"/>
          <w:lang w:val="es-ES"/>
        </w:rPr>
        <w:t xml:space="preserve">n los contratos de suministro </w:t>
      </w:r>
      <w:r>
        <w:rPr>
          <w:rFonts w:ascii="Bookman Old Style" w:hAnsi="Bookman Old Style"/>
          <w:b/>
          <w:bCs/>
          <w:sz w:val="24"/>
          <w:szCs w:val="24"/>
          <w:lang w:val="es-ES"/>
        </w:rPr>
        <w:t xml:space="preserve">de las modalidades </w:t>
      </w:r>
      <w:r w:rsidR="0006302B" w:rsidRPr="0030393A">
        <w:rPr>
          <w:rFonts w:ascii="Bookman Old Style" w:hAnsi="Bookman Old Style"/>
          <w:b/>
          <w:bCs/>
          <w:sz w:val="24"/>
          <w:szCs w:val="24"/>
          <w:lang w:val="es-ES"/>
        </w:rPr>
        <w:t>CF95/CF80</w:t>
      </w:r>
      <w:r>
        <w:rPr>
          <w:rFonts w:ascii="Bookman Old Style" w:hAnsi="Bookman Old Style"/>
          <w:b/>
          <w:bCs/>
          <w:sz w:val="24"/>
          <w:szCs w:val="24"/>
          <w:lang w:val="es-ES"/>
        </w:rPr>
        <w:t>, el volumen de la</w:t>
      </w:r>
      <w:r w:rsidRPr="0030393A">
        <w:rPr>
          <w:rFonts w:ascii="Bookman Old Style" w:hAnsi="Bookman Old Style"/>
          <w:b/>
          <w:bCs/>
          <w:sz w:val="24"/>
          <w:szCs w:val="24"/>
          <w:lang w:val="es-ES"/>
        </w:rPr>
        <w:t xml:space="preserve"> componente </w:t>
      </w:r>
      <w:r>
        <w:rPr>
          <w:rFonts w:ascii="Bookman Old Style" w:hAnsi="Bookman Old Style"/>
          <w:b/>
          <w:bCs/>
          <w:sz w:val="24"/>
          <w:szCs w:val="24"/>
          <w:lang w:val="es-ES"/>
        </w:rPr>
        <w:t xml:space="preserve">de pago </w:t>
      </w:r>
      <w:r w:rsidRPr="0030393A">
        <w:rPr>
          <w:rFonts w:ascii="Bookman Old Style" w:hAnsi="Bookman Old Style"/>
          <w:b/>
          <w:bCs/>
          <w:sz w:val="24"/>
          <w:szCs w:val="24"/>
          <w:lang w:val="es-ES"/>
        </w:rPr>
        <w:t>variable</w:t>
      </w:r>
      <w:r w:rsidR="0006302B" w:rsidRPr="0030393A">
        <w:rPr>
          <w:rFonts w:ascii="Bookman Old Style" w:hAnsi="Bookman Old Style"/>
          <w:b/>
          <w:bCs/>
          <w:sz w:val="24"/>
          <w:szCs w:val="24"/>
          <w:lang w:val="es-ES"/>
        </w:rPr>
        <w:t xml:space="preserve"> </w:t>
      </w:r>
      <w:r w:rsidR="00692FC3">
        <w:rPr>
          <w:rFonts w:ascii="Bookman Old Style" w:hAnsi="Bookman Old Style"/>
          <w:b/>
          <w:bCs/>
          <w:sz w:val="24"/>
          <w:szCs w:val="24"/>
          <w:lang w:val="es-ES"/>
        </w:rPr>
        <w:t xml:space="preserve">del contrato </w:t>
      </w:r>
      <w:r w:rsidR="0006302B" w:rsidRPr="0030393A">
        <w:rPr>
          <w:rFonts w:ascii="Bookman Old Style" w:hAnsi="Bookman Old Style"/>
          <w:b/>
          <w:bCs/>
          <w:sz w:val="24"/>
          <w:szCs w:val="24"/>
          <w:lang w:val="es-ES"/>
        </w:rPr>
        <w:t>podrá ser nominad</w:t>
      </w:r>
      <w:r w:rsidR="00954CC9">
        <w:rPr>
          <w:rFonts w:ascii="Bookman Old Style" w:hAnsi="Bookman Old Style"/>
          <w:b/>
          <w:bCs/>
          <w:sz w:val="24"/>
          <w:szCs w:val="24"/>
          <w:lang w:val="es-ES"/>
        </w:rPr>
        <w:t>o</w:t>
      </w:r>
      <w:r w:rsidR="0006302B" w:rsidRPr="0030393A">
        <w:rPr>
          <w:rFonts w:ascii="Bookman Old Style" w:hAnsi="Bookman Old Style"/>
          <w:b/>
          <w:bCs/>
          <w:sz w:val="24"/>
          <w:szCs w:val="24"/>
          <w:lang w:val="es-ES"/>
        </w:rPr>
        <w:t xml:space="preserve"> por el comprador </w:t>
      </w:r>
      <w:r>
        <w:rPr>
          <w:rFonts w:ascii="Bookman Old Style" w:hAnsi="Bookman Old Style"/>
          <w:b/>
          <w:bCs/>
          <w:sz w:val="24"/>
          <w:szCs w:val="24"/>
          <w:lang w:val="es-ES"/>
        </w:rPr>
        <w:t xml:space="preserve">del mercado primario. En caso de que el comprador no haga la nominación </w:t>
      </w:r>
      <w:r w:rsidR="00692FC3">
        <w:rPr>
          <w:rFonts w:ascii="Bookman Old Style" w:hAnsi="Bookman Old Style"/>
          <w:b/>
          <w:bCs/>
          <w:sz w:val="24"/>
          <w:szCs w:val="24"/>
          <w:lang w:val="es-ES"/>
        </w:rPr>
        <w:t xml:space="preserve">total </w:t>
      </w:r>
      <w:r>
        <w:rPr>
          <w:rFonts w:ascii="Bookman Old Style" w:hAnsi="Bookman Old Style"/>
          <w:b/>
          <w:bCs/>
          <w:sz w:val="24"/>
          <w:szCs w:val="24"/>
          <w:lang w:val="es-ES"/>
        </w:rPr>
        <w:t xml:space="preserve">de dicho volumen, el vendedor del mercado primario podrá atender nominaciones de contratos con interrupciones con </w:t>
      </w:r>
      <w:r w:rsidR="00692FC3">
        <w:rPr>
          <w:rFonts w:ascii="Bookman Old Style" w:hAnsi="Bookman Old Style"/>
          <w:b/>
          <w:bCs/>
          <w:sz w:val="24"/>
          <w:szCs w:val="24"/>
          <w:lang w:val="es-ES"/>
        </w:rPr>
        <w:t>los</w:t>
      </w:r>
      <w:r>
        <w:rPr>
          <w:rFonts w:ascii="Bookman Old Style" w:hAnsi="Bookman Old Style"/>
          <w:b/>
          <w:bCs/>
          <w:sz w:val="24"/>
          <w:szCs w:val="24"/>
          <w:lang w:val="es-ES"/>
        </w:rPr>
        <w:t xml:space="preserve"> volúmenes</w:t>
      </w:r>
      <w:r w:rsidR="00692FC3">
        <w:rPr>
          <w:rFonts w:ascii="Bookman Old Style" w:hAnsi="Bookman Old Style"/>
          <w:b/>
          <w:bCs/>
          <w:sz w:val="24"/>
          <w:szCs w:val="24"/>
          <w:lang w:val="es-ES"/>
        </w:rPr>
        <w:t xml:space="preserve"> del componente variable, no nominados por el comprador del mercado primario</w:t>
      </w:r>
      <w:r w:rsidR="0006302B" w:rsidRPr="0030393A">
        <w:rPr>
          <w:rFonts w:ascii="Bookman Old Style" w:hAnsi="Bookman Old Style"/>
          <w:b/>
          <w:bCs/>
          <w:sz w:val="24"/>
          <w:szCs w:val="24"/>
          <w:lang w:val="es-ES"/>
        </w:rPr>
        <w:t xml:space="preserve">. </w:t>
      </w:r>
    </w:p>
    <w:p w14:paraId="1117057E" w14:textId="77777777" w:rsidR="0006302B" w:rsidRPr="0030393A" w:rsidRDefault="0006302B" w:rsidP="00202051">
      <w:pPr>
        <w:pStyle w:val="Prrafodelista"/>
        <w:ind w:left="567" w:hanging="425"/>
        <w:rPr>
          <w:rFonts w:ascii="Bookman Old Style" w:hAnsi="Bookman Old Style"/>
          <w:b/>
          <w:bCs/>
          <w:sz w:val="24"/>
          <w:szCs w:val="24"/>
          <w:lang w:val="es-ES"/>
        </w:rPr>
      </w:pPr>
    </w:p>
    <w:p w14:paraId="3B3A6A72" w14:textId="0099C517" w:rsidR="0006302B" w:rsidRPr="0030393A" w:rsidRDefault="0006302B" w:rsidP="009E133F">
      <w:pPr>
        <w:pStyle w:val="Prrafodelista"/>
        <w:numPr>
          <w:ilvl w:val="0"/>
          <w:numId w:val="101"/>
        </w:numPr>
        <w:ind w:left="567"/>
        <w:jc w:val="both"/>
        <w:outlineLvl w:val="0"/>
        <w:rPr>
          <w:rFonts w:ascii="Bookman Old Style" w:hAnsi="Bookman Old Style"/>
          <w:b/>
          <w:bCs/>
          <w:sz w:val="24"/>
          <w:szCs w:val="24"/>
          <w:lang w:val="es-ES"/>
        </w:rPr>
      </w:pPr>
      <w:r w:rsidRPr="0030393A">
        <w:rPr>
          <w:rFonts w:ascii="Bookman Old Style" w:hAnsi="Bookman Old Style"/>
          <w:b/>
          <w:bCs/>
          <w:sz w:val="24"/>
          <w:szCs w:val="24"/>
          <w:lang w:val="es-ES"/>
        </w:rPr>
        <w:t xml:space="preserve">Los Vendedores del Mercado Primario señalados en el </w:t>
      </w:r>
      <w:r w:rsidR="00C464C1">
        <w:rPr>
          <w:rFonts w:ascii="Bookman Old Style" w:hAnsi="Bookman Old Style"/>
          <w:b/>
          <w:bCs/>
          <w:sz w:val="24"/>
          <w:szCs w:val="24"/>
          <w:lang w:val="es-ES"/>
        </w:rPr>
        <w:t>a</w:t>
      </w:r>
      <w:r w:rsidRPr="0030393A">
        <w:rPr>
          <w:rFonts w:ascii="Bookman Old Style" w:hAnsi="Bookman Old Style"/>
          <w:b/>
          <w:bCs/>
          <w:sz w:val="24"/>
          <w:szCs w:val="24"/>
          <w:lang w:val="es-ES"/>
        </w:rPr>
        <w:t xml:space="preserve">rtículo 16 de la presente resolución podrán ofrecer, en la modalidad de contrato con interrupciones, mediante negociaciones directas y con duración </w:t>
      </w:r>
      <w:r w:rsidR="00346DC2" w:rsidRPr="0030393A">
        <w:rPr>
          <w:rFonts w:ascii="Bookman Old Style" w:hAnsi="Bookman Old Style"/>
          <w:b/>
          <w:bCs/>
          <w:sz w:val="24"/>
          <w:szCs w:val="24"/>
          <w:lang w:val="es-ES"/>
        </w:rPr>
        <w:t>mensual</w:t>
      </w:r>
      <w:r w:rsidRPr="0030393A">
        <w:rPr>
          <w:rFonts w:ascii="Bookman Old Style" w:hAnsi="Bookman Old Style"/>
          <w:b/>
          <w:bCs/>
          <w:sz w:val="24"/>
          <w:szCs w:val="24"/>
          <w:lang w:val="es-ES"/>
        </w:rPr>
        <w:t>, las cantidades variables de los contratos registrados con la modalidad CF95/CF80.</w:t>
      </w:r>
    </w:p>
    <w:p w14:paraId="4B126FAE" w14:textId="77777777" w:rsidR="0006302B" w:rsidRPr="0030393A" w:rsidRDefault="0006302B" w:rsidP="00202051">
      <w:pPr>
        <w:pStyle w:val="Prrafodelista"/>
        <w:ind w:left="567" w:hanging="425"/>
        <w:rPr>
          <w:rFonts w:ascii="Bookman Old Style" w:hAnsi="Bookman Old Style"/>
          <w:b/>
          <w:bCs/>
          <w:i/>
          <w:iCs/>
        </w:rPr>
      </w:pPr>
    </w:p>
    <w:p w14:paraId="1D533F01" w14:textId="13015E38" w:rsidR="0006302B" w:rsidRPr="0067565E" w:rsidRDefault="0006302B" w:rsidP="009E133F">
      <w:pPr>
        <w:pStyle w:val="Prrafodelista"/>
        <w:numPr>
          <w:ilvl w:val="0"/>
          <w:numId w:val="101"/>
        </w:numPr>
        <w:ind w:left="567" w:hanging="283"/>
        <w:jc w:val="both"/>
        <w:outlineLvl w:val="0"/>
        <w:rPr>
          <w:rFonts w:ascii="Bookman Old Style" w:hAnsi="Bookman Old Style"/>
          <w:b/>
          <w:bCs/>
          <w:sz w:val="24"/>
          <w:szCs w:val="24"/>
          <w:lang w:val="es-ES"/>
        </w:rPr>
      </w:pPr>
      <w:r w:rsidRPr="0030393A">
        <w:rPr>
          <w:rFonts w:ascii="Bookman Old Style" w:hAnsi="Bookman Old Style"/>
          <w:b/>
          <w:bCs/>
          <w:sz w:val="24"/>
          <w:szCs w:val="24"/>
        </w:rPr>
        <w:t xml:space="preserve">Para efectos de determinar la duración permisible para suspensiones del servicio en los contratos se considerará, para cada Trimestre Estándar de duración del contrato, la cuarta parte de la duración máxima establecida en el </w:t>
      </w:r>
      <w:r w:rsidR="009C02E5">
        <w:rPr>
          <w:rFonts w:ascii="Bookman Old Style" w:hAnsi="Bookman Old Style"/>
          <w:b/>
          <w:bCs/>
          <w:sz w:val="24"/>
          <w:szCs w:val="24"/>
        </w:rPr>
        <w:t>a</w:t>
      </w:r>
      <w:r w:rsidRPr="0030393A">
        <w:rPr>
          <w:rFonts w:ascii="Bookman Old Style" w:hAnsi="Bookman Old Style"/>
          <w:b/>
          <w:bCs/>
          <w:sz w:val="24"/>
          <w:szCs w:val="24"/>
        </w:rPr>
        <w:t xml:space="preserve">rtículo 12 de la presente resolución, relacionada con la máxima duración permisible de suspensiones, independientemente de la cantidad de Fuentes de Suministro que se incluyen en el contrato. </w:t>
      </w:r>
      <w:r w:rsidR="00E25825" w:rsidRPr="0030393A">
        <w:rPr>
          <w:rFonts w:ascii="Bookman Old Style" w:hAnsi="Bookman Old Style"/>
          <w:b/>
          <w:bCs/>
          <w:sz w:val="24"/>
          <w:szCs w:val="24"/>
        </w:rPr>
        <w:t xml:space="preserve">Así </w:t>
      </w:r>
      <w:r w:rsidRPr="0030393A">
        <w:rPr>
          <w:rFonts w:ascii="Bookman Old Style" w:hAnsi="Bookman Old Style"/>
          <w:b/>
          <w:bCs/>
          <w:sz w:val="24"/>
          <w:szCs w:val="24"/>
        </w:rPr>
        <w:t xml:space="preserve">mismo, para los contratos de duración mensual que se mencionan en el literal </w:t>
      </w:r>
      <w:r w:rsidR="00E22976" w:rsidRPr="0030393A">
        <w:rPr>
          <w:rFonts w:ascii="Bookman Old Style" w:hAnsi="Bookman Old Style"/>
          <w:b/>
          <w:bCs/>
          <w:sz w:val="24"/>
          <w:szCs w:val="24"/>
        </w:rPr>
        <w:t xml:space="preserve">h. </w:t>
      </w:r>
      <w:r w:rsidRPr="0030393A">
        <w:rPr>
          <w:rFonts w:ascii="Bookman Old Style" w:hAnsi="Bookman Old Style"/>
          <w:b/>
          <w:bCs/>
          <w:sz w:val="24"/>
          <w:szCs w:val="24"/>
        </w:rPr>
        <w:t xml:space="preserve">del numeral </w:t>
      </w:r>
      <w:r w:rsidR="00E22976" w:rsidRPr="0030393A">
        <w:rPr>
          <w:rFonts w:ascii="Bookman Old Style" w:hAnsi="Bookman Old Style"/>
          <w:b/>
          <w:bCs/>
          <w:sz w:val="24"/>
          <w:szCs w:val="24"/>
        </w:rPr>
        <w:t>1</w:t>
      </w:r>
      <w:r w:rsidRPr="0030393A">
        <w:rPr>
          <w:rFonts w:ascii="Bookman Old Style" w:hAnsi="Bookman Old Style"/>
          <w:b/>
          <w:bCs/>
          <w:sz w:val="24"/>
          <w:szCs w:val="24"/>
        </w:rPr>
        <w:t xml:space="preserve"> del </w:t>
      </w:r>
      <w:r w:rsidR="009C02E5">
        <w:rPr>
          <w:rFonts w:ascii="Bookman Old Style" w:hAnsi="Bookman Old Style"/>
          <w:b/>
          <w:bCs/>
          <w:sz w:val="24"/>
          <w:szCs w:val="24"/>
        </w:rPr>
        <w:t>a</w:t>
      </w:r>
      <w:r w:rsidRPr="0030393A">
        <w:rPr>
          <w:rFonts w:ascii="Bookman Old Style" w:hAnsi="Bookman Old Style"/>
          <w:b/>
          <w:bCs/>
          <w:sz w:val="24"/>
          <w:szCs w:val="24"/>
        </w:rPr>
        <w:t xml:space="preserve">rtículo </w:t>
      </w:r>
      <w:r w:rsidRPr="0030393A">
        <w:rPr>
          <w:rFonts w:ascii="Bookman Old Style" w:hAnsi="Bookman Old Style"/>
          <w:b/>
          <w:bCs/>
          <w:sz w:val="24"/>
          <w:szCs w:val="24"/>
        </w:rPr>
        <w:lastRenderedPageBreak/>
        <w:t>2</w:t>
      </w:r>
      <w:r w:rsidR="00E22976" w:rsidRPr="0030393A">
        <w:rPr>
          <w:rFonts w:ascii="Bookman Old Style" w:hAnsi="Bookman Old Style"/>
          <w:b/>
          <w:bCs/>
          <w:sz w:val="24"/>
          <w:szCs w:val="24"/>
        </w:rPr>
        <w:t>2</w:t>
      </w:r>
      <w:r w:rsidRPr="0030393A">
        <w:rPr>
          <w:rFonts w:ascii="Bookman Old Style" w:hAnsi="Bookman Old Style"/>
          <w:b/>
          <w:bCs/>
          <w:sz w:val="24"/>
          <w:szCs w:val="24"/>
        </w:rPr>
        <w:t xml:space="preserve"> de la presente Resolución, se considerará la duodécima parte de la duración máxima establecida en el </w:t>
      </w:r>
      <w:r w:rsidR="00100D11">
        <w:rPr>
          <w:rFonts w:ascii="Bookman Old Style" w:hAnsi="Bookman Old Style"/>
          <w:b/>
          <w:bCs/>
          <w:sz w:val="24"/>
          <w:szCs w:val="24"/>
        </w:rPr>
        <w:t>a</w:t>
      </w:r>
      <w:r w:rsidRPr="0030393A">
        <w:rPr>
          <w:rFonts w:ascii="Bookman Old Style" w:hAnsi="Bookman Old Style"/>
          <w:b/>
          <w:bCs/>
          <w:sz w:val="24"/>
          <w:szCs w:val="24"/>
        </w:rPr>
        <w:t>rtículo 12</w:t>
      </w:r>
      <w:r w:rsidR="00E22976" w:rsidRPr="0030393A">
        <w:rPr>
          <w:rFonts w:ascii="Bookman Old Style" w:hAnsi="Bookman Old Style"/>
          <w:b/>
          <w:bCs/>
          <w:sz w:val="24"/>
          <w:szCs w:val="24"/>
        </w:rPr>
        <w:t xml:space="preserve"> de la presente resolución</w:t>
      </w:r>
      <w:r w:rsidRPr="0030393A">
        <w:rPr>
          <w:rFonts w:ascii="Bookman Old Style" w:hAnsi="Bookman Old Style"/>
          <w:b/>
          <w:bCs/>
          <w:sz w:val="24"/>
          <w:szCs w:val="24"/>
        </w:rPr>
        <w:t>, relacionada con la duración permisible de suspensión, independientemente de la cantidad de Fuentes de</w:t>
      </w:r>
      <w:r>
        <w:rPr>
          <w:rFonts w:ascii="Bookman Old Style" w:hAnsi="Bookman Old Style"/>
          <w:b/>
          <w:bCs/>
          <w:sz w:val="24"/>
          <w:szCs w:val="24"/>
        </w:rPr>
        <w:t xml:space="preserve"> Suministro</w:t>
      </w:r>
      <w:r w:rsidRPr="0067565E">
        <w:rPr>
          <w:rFonts w:ascii="Bookman Old Style" w:hAnsi="Bookman Old Style"/>
          <w:b/>
          <w:bCs/>
          <w:sz w:val="24"/>
          <w:szCs w:val="24"/>
        </w:rPr>
        <w:t xml:space="preserve"> que se incluyen en el contrato.</w:t>
      </w:r>
    </w:p>
    <w:p w14:paraId="1DA4C635" w14:textId="77777777" w:rsidR="0006302B" w:rsidRPr="00F66AF2" w:rsidRDefault="0006302B" w:rsidP="00202051">
      <w:pPr>
        <w:pStyle w:val="Prrafodelista"/>
        <w:ind w:left="567" w:hanging="425"/>
        <w:rPr>
          <w:rFonts w:ascii="Bookman Old Style" w:hAnsi="Bookman Old Style"/>
          <w:b/>
          <w:bCs/>
          <w:sz w:val="24"/>
          <w:szCs w:val="24"/>
          <w:lang w:val="es-ES"/>
        </w:rPr>
      </w:pPr>
    </w:p>
    <w:p w14:paraId="5554A59C" w14:textId="51BABCA6" w:rsidR="0006302B" w:rsidRPr="0030393A" w:rsidRDefault="0006302B" w:rsidP="009E133F">
      <w:pPr>
        <w:pStyle w:val="Prrafodelista"/>
        <w:numPr>
          <w:ilvl w:val="0"/>
          <w:numId w:val="101"/>
        </w:numPr>
        <w:ind w:left="567" w:hanging="425"/>
        <w:jc w:val="both"/>
        <w:rPr>
          <w:rFonts w:ascii="Bookman Old Style" w:hAnsi="Bookman Old Style"/>
          <w:b/>
          <w:bCs/>
          <w:sz w:val="24"/>
          <w:szCs w:val="24"/>
        </w:rPr>
      </w:pPr>
      <w:r w:rsidRPr="00F66AF2">
        <w:rPr>
          <w:rFonts w:ascii="Bookman Old Style" w:hAnsi="Bookman Old Style"/>
          <w:b/>
          <w:bCs/>
          <w:sz w:val="24"/>
          <w:szCs w:val="24"/>
        </w:rPr>
        <w:t xml:space="preserve">Los </w:t>
      </w:r>
      <w:r>
        <w:rPr>
          <w:rFonts w:ascii="Bookman Old Style" w:hAnsi="Bookman Old Style"/>
          <w:b/>
          <w:bCs/>
          <w:sz w:val="24"/>
          <w:szCs w:val="24"/>
        </w:rPr>
        <w:t xml:space="preserve">Participantes del Mercado Primario </w:t>
      </w:r>
      <w:r w:rsidRPr="00F66AF2">
        <w:rPr>
          <w:rFonts w:ascii="Bookman Old Style" w:hAnsi="Bookman Old Style"/>
          <w:b/>
          <w:bCs/>
          <w:sz w:val="24"/>
          <w:szCs w:val="24"/>
        </w:rPr>
        <w:t xml:space="preserve">deberán acordar los mecanismos de cobertura para el cumplimiento de las obligaciones derivadas de los contratos para atender la Demanda Esencial resultantes del mecanismo de negociación directa. </w:t>
      </w:r>
      <w:r w:rsidRPr="0030393A">
        <w:rPr>
          <w:rFonts w:ascii="Bookman Old Style" w:hAnsi="Bookman Old Style"/>
          <w:b/>
          <w:bCs/>
          <w:sz w:val="24"/>
          <w:szCs w:val="24"/>
        </w:rPr>
        <w:t xml:space="preserve">En cualquier caso, el vendedor no podrá negarse a suscribir el contrato si el comprador presenta alguno de los tipos de garantías definidos en el </w:t>
      </w:r>
      <w:r w:rsidR="006A3773" w:rsidRPr="0030393A">
        <w:rPr>
          <w:rFonts w:ascii="Bookman Old Style" w:hAnsi="Bookman Old Style"/>
          <w:b/>
          <w:bCs/>
          <w:sz w:val="24"/>
          <w:szCs w:val="24"/>
        </w:rPr>
        <w:t xml:space="preserve">Anexo </w:t>
      </w:r>
      <w:r w:rsidR="00277A0F" w:rsidRPr="0030393A">
        <w:rPr>
          <w:rFonts w:ascii="Bookman Old Style" w:hAnsi="Bookman Old Style"/>
          <w:b/>
          <w:bCs/>
          <w:sz w:val="24"/>
          <w:szCs w:val="24"/>
        </w:rPr>
        <w:t>6</w:t>
      </w:r>
      <w:r w:rsidR="006A3773" w:rsidRPr="0030393A">
        <w:rPr>
          <w:rFonts w:ascii="Bookman Old Style" w:hAnsi="Bookman Old Style"/>
          <w:b/>
          <w:bCs/>
          <w:sz w:val="24"/>
          <w:szCs w:val="24"/>
        </w:rPr>
        <w:t xml:space="preserve"> de la presente resolución</w:t>
      </w:r>
      <w:r w:rsidRPr="0030393A">
        <w:rPr>
          <w:rFonts w:ascii="Bookman Old Style" w:hAnsi="Bookman Old Style"/>
          <w:b/>
          <w:bCs/>
          <w:sz w:val="24"/>
          <w:szCs w:val="24"/>
        </w:rPr>
        <w:t>, o aquellas que lo modifiquen, complementen o sustituyan.</w:t>
      </w:r>
    </w:p>
    <w:p w14:paraId="2B624104" w14:textId="77777777" w:rsidR="0006302B" w:rsidRPr="0030393A" w:rsidRDefault="0006302B" w:rsidP="00202051">
      <w:pPr>
        <w:pStyle w:val="Prrafodelista"/>
        <w:ind w:left="567" w:hanging="425"/>
        <w:rPr>
          <w:rFonts w:ascii="Bookman Old Style" w:hAnsi="Bookman Old Style"/>
          <w:b/>
          <w:bCs/>
          <w:sz w:val="24"/>
        </w:rPr>
      </w:pPr>
    </w:p>
    <w:p w14:paraId="73650D24" w14:textId="51A9048C" w:rsidR="0006302B" w:rsidRPr="0030393A" w:rsidRDefault="0006302B" w:rsidP="009E133F">
      <w:pPr>
        <w:pStyle w:val="Prrafodelista"/>
        <w:numPr>
          <w:ilvl w:val="0"/>
          <w:numId w:val="101"/>
        </w:numPr>
        <w:ind w:left="567" w:hanging="425"/>
        <w:jc w:val="both"/>
        <w:rPr>
          <w:rFonts w:ascii="Bookman Old Style" w:hAnsi="Bookman Old Style"/>
          <w:b/>
          <w:bCs/>
          <w:sz w:val="24"/>
          <w:szCs w:val="24"/>
        </w:rPr>
      </w:pPr>
      <w:r w:rsidRPr="0030393A">
        <w:rPr>
          <w:rFonts w:ascii="Bookman Old Style" w:hAnsi="Bookman Old Style"/>
          <w:b/>
          <w:bCs/>
          <w:sz w:val="24"/>
          <w:szCs w:val="24"/>
        </w:rPr>
        <w:t xml:space="preserve">Cuando para el cumplimiento de un contrato de suministro que requiere Respaldo Físico </w:t>
      </w:r>
      <w:r w:rsidRPr="0030393A">
        <w:rPr>
          <w:rFonts w:ascii="Bookman Old Style" w:hAnsi="Bookman Old Style"/>
          <w:b/>
          <w:bCs/>
          <w:sz w:val="24"/>
          <w:szCs w:val="24"/>
          <w:lang w:val="es-ES"/>
        </w:rPr>
        <w:t>para asumir y cumplir compromisos contractuales firmes o que</w:t>
      </w:r>
      <w:r w:rsidR="00030C5B">
        <w:rPr>
          <w:rFonts w:ascii="Bookman Old Style" w:hAnsi="Bookman Old Style"/>
          <w:b/>
          <w:bCs/>
          <w:sz w:val="24"/>
          <w:szCs w:val="24"/>
          <w:lang w:val="es-ES"/>
        </w:rPr>
        <w:t xml:space="preserve"> garantizan firmeza</w:t>
      </w:r>
      <w:r w:rsidRPr="0030393A">
        <w:rPr>
          <w:rFonts w:ascii="Bookman Old Style" w:hAnsi="Bookman Old Style"/>
          <w:b/>
          <w:bCs/>
          <w:sz w:val="24"/>
          <w:szCs w:val="24"/>
        </w:rPr>
        <w:t>, se cuente con la utilización de más de una Fuente de Suministro, en el contrato se deberá incluir el detalle de la cantidad de energía en firme que cada una de esas Fuentes de Suministro aportan para el cumplimiento de la cantidad máxima firme</w:t>
      </w:r>
      <w:r w:rsidR="00346DC2" w:rsidRPr="0030393A">
        <w:rPr>
          <w:rFonts w:ascii="Bookman Old Style" w:hAnsi="Bookman Old Style"/>
          <w:b/>
          <w:bCs/>
          <w:sz w:val="24"/>
          <w:szCs w:val="24"/>
        </w:rPr>
        <w:t xml:space="preserve">, detallado para cada trimestre de ejecución del contrato, que se </w:t>
      </w:r>
      <w:r w:rsidRPr="0030393A">
        <w:rPr>
          <w:rFonts w:ascii="Bookman Old Style" w:hAnsi="Bookman Old Style"/>
          <w:b/>
          <w:bCs/>
          <w:sz w:val="24"/>
          <w:szCs w:val="24"/>
        </w:rPr>
        <w:t xml:space="preserve">registra.  </w:t>
      </w:r>
    </w:p>
    <w:p w14:paraId="06B6245A" w14:textId="77777777" w:rsidR="0006302B" w:rsidRPr="0030393A" w:rsidRDefault="0006302B" w:rsidP="00202051">
      <w:pPr>
        <w:pStyle w:val="Prrafodelista"/>
        <w:ind w:left="567" w:hanging="425"/>
        <w:rPr>
          <w:rFonts w:ascii="Bookman Old Style" w:hAnsi="Bookman Old Style"/>
          <w:b/>
          <w:bCs/>
        </w:rPr>
      </w:pPr>
    </w:p>
    <w:p w14:paraId="1FE1736F" w14:textId="669702D3" w:rsidR="0006302B" w:rsidRPr="0030393A" w:rsidRDefault="0006302B" w:rsidP="009E133F">
      <w:pPr>
        <w:pStyle w:val="Prrafodelista"/>
        <w:numPr>
          <w:ilvl w:val="0"/>
          <w:numId w:val="102"/>
        </w:numPr>
        <w:ind w:left="567"/>
        <w:jc w:val="both"/>
        <w:rPr>
          <w:rFonts w:ascii="Bookman Old Style" w:hAnsi="Bookman Old Style"/>
          <w:b/>
          <w:bCs/>
          <w:sz w:val="24"/>
          <w:szCs w:val="24"/>
        </w:rPr>
      </w:pPr>
      <w:r w:rsidRPr="0030393A">
        <w:rPr>
          <w:rFonts w:ascii="Bookman Old Style" w:hAnsi="Bookman Old Style"/>
          <w:b/>
          <w:bCs/>
          <w:sz w:val="24"/>
          <w:szCs w:val="24"/>
          <w:lang w:val="es-ES"/>
        </w:rPr>
        <w:t xml:space="preserve">No se podrá atender Demanda Esencial con contratos de suministro </w:t>
      </w:r>
      <w:r w:rsidR="00A81051" w:rsidRPr="0030393A">
        <w:rPr>
          <w:rFonts w:ascii="Bookman Old Style" w:hAnsi="Bookman Old Style"/>
          <w:b/>
          <w:bCs/>
          <w:sz w:val="24"/>
          <w:szCs w:val="24"/>
          <w:lang w:val="es-ES"/>
        </w:rPr>
        <w:t xml:space="preserve">que requieren garantía de firmeza, </w:t>
      </w:r>
      <w:r w:rsidRPr="0030393A">
        <w:rPr>
          <w:rFonts w:ascii="Bookman Old Style" w:hAnsi="Bookman Old Style"/>
          <w:b/>
          <w:bCs/>
          <w:sz w:val="24"/>
          <w:szCs w:val="24"/>
          <w:lang w:val="es-ES"/>
        </w:rPr>
        <w:t>que incluyan Fuentes de Suministro en pruebas o sin declaración de comercialidad</w:t>
      </w:r>
      <w:r w:rsidR="00000591" w:rsidRPr="0030393A">
        <w:rPr>
          <w:rFonts w:ascii="Bookman Old Style" w:hAnsi="Bookman Old Style"/>
          <w:b/>
          <w:bCs/>
          <w:sz w:val="24"/>
          <w:szCs w:val="24"/>
          <w:lang w:val="es-ES"/>
        </w:rPr>
        <w:t xml:space="preserve">, a menos </w:t>
      </w:r>
      <w:r w:rsidR="00194062" w:rsidRPr="0030393A">
        <w:rPr>
          <w:rFonts w:ascii="Bookman Old Style" w:hAnsi="Bookman Old Style"/>
          <w:b/>
          <w:bCs/>
          <w:sz w:val="24"/>
          <w:szCs w:val="24"/>
          <w:lang w:val="es-ES"/>
        </w:rPr>
        <w:t xml:space="preserve">que </w:t>
      </w:r>
      <w:r w:rsidR="00203F3A" w:rsidRPr="0030393A">
        <w:rPr>
          <w:rFonts w:ascii="Bookman Old Style" w:hAnsi="Bookman Old Style"/>
          <w:b/>
          <w:bCs/>
          <w:sz w:val="24"/>
          <w:szCs w:val="24"/>
          <w:lang w:val="es-ES"/>
        </w:rPr>
        <w:t xml:space="preserve">las cantidades contratadas se deriven de cantidades que </w:t>
      </w:r>
      <w:r w:rsidR="00000591" w:rsidRPr="0030393A">
        <w:rPr>
          <w:rFonts w:ascii="Bookman Old Style" w:hAnsi="Bookman Old Style" w:cs="Arial"/>
          <w:b/>
          <w:bCs/>
          <w:color w:val="000000" w:themeColor="text1"/>
          <w:sz w:val="24"/>
          <w:szCs w:val="24"/>
          <w:lang w:eastAsia="es-ES"/>
        </w:rPr>
        <w:t xml:space="preserve">se hayan </w:t>
      </w:r>
      <w:r w:rsidR="00194062" w:rsidRPr="0030393A">
        <w:rPr>
          <w:rFonts w:ascii="Bookman Old Style" w:hAnsi="Bookman Old Style" w:cs="Arial"/>
          <w:b/>
          <w:bCs/>
          <w:color w:val="000000" w:themeColor="text1"/>
          <w:sz w:val="24"/>
          <w:szCs w:val="24"/>
          <w:lang w:eastAsia="es-ES"/>
        </w:rPr>
        <w:t xml:space="preserve">considerado </w:t>
      </w:r>
      <w:r w:rsidR="00000591" w:rsidRPr="0030393A">
        <w:rPr>
          <w:rFonts w:ascii="Bookman Old Style" w:hAnsi="Bookman Old Style" w:cs="Arial"/>
          <w:b/>
          <w:bCs/>
          <w:color w:val="000000" w:themeColor="text1"/>
          <w:sz w:val="24"/>
          <w:szCs w:val="24"/>
          <w:lang w:eastAsia="es-ES"/>
        </w:rPr>
        <w:t xml:space="preserve">previamente </w:t>
      </w:r>
      <w:r w:rsidR="00194062" w:rsidRPr="0030393A">
        <w:rPr>
          <w:rFonts w:ascii="Bookman Old Style" w:hAnsi="Bookman Old Style" w:cs="Arial"/>
          <w:b/>
          <w:bCs/>
          <w:color w:val="000000" w:themeColor="text1"/>
          <w:sz w:val="24"/>
          <w:szCs w:val="24"/>
          <w:lang w:eastAsia="es-ES"/>
        </w:rPr>
        <w:t xml:space="preserve">como </w:t>
      </w:r>
      <w:r w:rsidR="00000591" w:rsidRPr="0030393A">
        <w:rPr>
          <w:rFonts w:ascii="Bookman Old Style" w:hAnsi="Bookman Old Style" w:cs="Arial"/>
          <w:b/>
          <w:bCs/>
          <w:color w:val="000000" w:themeColor="text1"/>
          <w:sz w:val="24"/>
          <w:szCs w:val="24"/>
          <w:lang w:eastAsia="es-ES"/>
        </w:rPr>
        <w:t>Reservas de Gas Natural sobre ese mismo campo</w:t>
      </w:r>
      <w:r w:rsidR="00194062" w:rsidRPr="0030393A">
        <w:rPr>
          <w:rFonts w:ascii="Bookman Old Style" w:hAnsi="Bookman Old Style" w:cs="Arial"/>
          <w:b/>
          <w:bCs/>
          <w:color w:val="000000" w:themeColor="text1"/>
          <w:sz w:val="24"/>
          <w:szCs w:val="24"/>
          <w:lang w:eastAsia="es-ES"/>
        </w:rPr>
        <w:t>,</w:t>
      </w:r>
      <w:r w:rsidR="00000591" w:rsidRPr="0030393A">
        <w:rPr>
          <w:rFonts w:ascii="Bookman Old Style" w:hAnsi="Bookman Old Style" w:cs="Arial"/>
          <w:b/>
          <w:bCs/>
          <w:color w:val="000000" w:themeColor="text1"/>
          <w:sz w:val="24"/>
          <w:szCs w:val="24"/>
          <w:lang w:eastAsia="es-ES"/>
        </w:rPr>
        <w:t xml:space="preserve"> en las condiciones establecidas para ello por la ANH</w:t>
      </w:r>
      <w:r w:rsidRPr="0030393A">
        <w:rPr>
          <w:rFonts w:ascii="Bookman Old Style" w:hAnsi="Bookman Old Style"/>
          <w:b/>
          <w:bCs/>
          <w:sz w:val="24"/>
          <w:szCs w:val="24"/>
          <w:lang w:val="es-ES"/>
        </w:rPr>
        <w:t xml:space="preserve">. </w:t>
      </w:r>
    </w:p>
    <w:p w14:paraId="27162472" w14:textId="77777777" w:rsidR="0006302B" w:rsidRPr="0030393A" w:rsidRDefault="0006302B" w:rsidP="00202051">
      <w:pPr>
        <w:pStyle w:val="Prrafodelista"/>
        <w:ind w:left="567" w:hanging="425"/>
        <w:rPr>
          <w:rFonts w:ascii="Bookman Old Style" w:hAnsi="Bookman Old Style"/>
          <w:b/>
          <w:bCs/>
          <w:sz w:val="24"/>
          <w:szCs w:val="24"/>
        </w:rPr>
      </w:pPr>
    </w:p>
    <w:p w14:paraId="17F36071" w14:textId="0DF34B47" w:rsidR="00A81051" w:rsidRPr="0030393A" w:rsidRDefault="00FB3A93" w:rsidP="009E133F">
      <w:pPr>
        <w:pStyle w:val="Prrafodelista"/>
        <w:numPr>
          <w:ilvl w:val="0"/>
          <w:numId w:val="103"/>
        </w:numPr>
        <w:ind w:left="567"/>
        <w:jc w:val="both"/>
        <w:rPr>
          <w:rFonts w:ascii="Bookman Old Style" w:hAnsi="Bookman Old Style"/>
          <w:b/>
          <w:bCs/>
          <w:sz w:val="24"/>
          <w:szCs w:val="24"/>
        </w:rPr>
      </w:pPr>
      <w:r w:rsidRPr="0030393A">
        <w:rPr>
          <w:rFonts w:ascii="Bookman Old Style" w:hAnsi="Bookman Old Style"/>
          <w:b/>
          <w:bCs/>
          <w:sz w:val="24"/>
          <w:szCs w:val="24"/>
        </w:rPr>
        <w:t xml:space="preserve">La duración </w:t>
      </w:r>
      <w:r w:rsidR="00E8756E" w:rsidRPr="0030393A">
        <w:rPr>
          <w:rFonts w:ascii="Bookman Old Style" w:hAnsi="Bookman Old Style"/>
          <w:b/>
          <w:bCs/>
          <w:sz w:val="24"/>
          <w:szCs w:val="24"/>
        </w:rPr>
        <w:t xml:space="preserve">de la ejecución </w:t>
      </w:r>
      <w:r w:rsidR="00203F3A" w:rsidRPr="0030393A">
        <w:rPr>
          <w:rFonts w:ascii="Bookman Old Style" w:hAnsi="Bookman Old Style"/>
          <w:b/>
          <w:bCs/>
          <w:sz w:val="24"/>
          <w:szCs w:val="24"/>
        </w:rPr>
        <w:t xml:space="preserve">efectiva </w:t>
      </w:r>
      <w:r w:rsidRPr="0030393A">
        <w:rPr>
          <w:rFonts w:ascii="Bookman Old Style" w:hAnsi="Bookman Old Style"/>
          <w:b/>
          <w:bCs/>
          <w:sz w:val="24"/>
          <w:szCs w:val="24"/>
        </w:rPr>
        <w:t xml:space="preserve">de los contratos de suministro de contingencia que se registren ante el Gestor del Mercado deberá ser </w:t>
      </w:r>
      <w:r w:rsidR="00F21F0E" w:rsidRPr="0030393A">
        <w:rPr>
          <w:rFonts w:ascii="Bookman Old Style" w:hAnsi="Bookman Old Style"/>
          <w:b/>
          <w:bCs/>
          <w:sz w:val="24"/>
          <w:szCs w:val="24"/>
        </w:rPr>
        <w:t xml:space="preserve">igual a la </w:t>
      </w:r>
      <w:r w:rsidR="00D74E9D" w:rsidRPr="0030393A">
        <w:rPr>
          <w:rFonts w:ascii="Bookman Old Style" w:hAnsi="Bookman Old Style"/>
          <w:b/>
          <w:bCs/>
          <w:sz w:val="24"/>
          <w:szCs w:val="24"/>
        </w:rPr>
        <w:t xml:space="preserve">duración </w:t>
      </w:r>
      <w:r w:rsidR="00A63358">
        <w:rPr>
          <w:rFonts w:ascii="Bookman Old Style" w:hAnsi="Bookman Old Style"/>
          <w:b/>
          <w:bCs/>
          <w:sz w:val="24"/>
          <w:szCs w:val="24"/>
        </w:rPr>
        <w:t xml:space="preserve">estimada </w:t>
      </w:r>
      <w:r w:rsidR="00D74E9D" w:rsidRPr="0030393A">
        <w:rPr>
          <w:rFonts w:ascii="Bookman Old Style" w:hAnsi="Bookman Old Style"/>
          <w:b/>
          <w:bCs/>
          <w:sz w:val="24"/>
          <w:szCs w:val="24"/>
        </w:rPr>
        <w:t>del período en que se present</w:t>
      </w:r>
      <w:r w:rsidR="00A63358">
        <w:rPr>
          <w:rFonts w:ascii="Bookman Old Style" w:hAnsi="Bookman Old Style"/>
          <w:b/>
          <w:bCs/>
          <w:sz w:val="24"/>
          <w:szCs w:val="24"/>
        </w:rPr>
        <w:t>a</w:t>
      </w:r>
      <w:r w:rsidR="00D74E9D" w:rsidRPr="0030393A">
        <w:rPr>
          <w:rFonts w:ascii="Bookman Old Style" w:hAnsi="Bookman Old Style"/>
          <w:b/>
          <w:bCs/>
          <w:sz w:val="24"/>
          <w:szCs w:val="24"/>
        </w:rPr>
        <w:t xml:space="preserve"> el impedimento de suministro de la fuente contratada </w:t>
      </w:r>
      <w:r w:rsidR="00A63358">
        <w:rPr>
          <w:rFonts w:ascii="Bookman Old Style" w:hAnsi="Bookman Old Style"/>
          <w:b/>
          <w:bCs/>
          <w:sz w:val="24"/>
          <w:szCs w:val="24"/>
        </w:rPr>
        <w:t>afectada por el evento</w:t>
      </w:r>
      <w:r w:rsidR="00D74E9D" w:rsidRPr="0030393A">
        <w:rPr>
          <w:rFonts w:ascii="Bookman Old Style" w:hAnsi="Bookman Old Style"/>
          <w:b/>
          <w:bCs/>
          <w:sz w:val="24"/>
          <w:szCs w:val="24"/>
        </w:rPr>
        <w:t xml:space="preserve"> que le impide la prestación del servicio. </w:t>
      </w:r>
    </w:p>
    <w:p w14:paraId="6EC785AC" w14:textId="77777777" w:rsidR="00A81051" w:rsidRPr="0030393A" w:rsidRDefault="00A81051" w:rsidP="00A81051">
      <w:pPr>
        <w:pStyle w:val="Prrafodelista"/>
        <w:rPr>
          <w:rFonts w:ascii="Bookman Old Style" w:hAnsi="Bookman Old Style"/>
          <w:b/>
          <w:bCs/>
          <w:sz w:val="24"/>
          <w:szCs w:val="24"/>
        </w:rPr>
      </w:pPr>
    </w:p>
    <w:p w14:paraId="60FEDB4B" w14:textId="04C34301" w:rsidR="0076523D" w:rsidRPr="0030393A" w:rsidRDefault="00A81051" w:rsidP="009E133F">
      <w:pPr>
        <w:pStyle w:val="Prrafodelista"/>
        <w:numPr>
          <w:ilvl w:val="0"/>
          <w:numId w:val="103"/>
        </w:numPr>
        <w:ind w:left="567" w:hanging="425"/>
        <w:jc w:val="both"/>
        <w:rPr>
          <w:rFonts w:ascii="Bookman Old Style" w:hAnsi="Bookman Old Style"/>
          <w:b/>
          <w:bCs/>
          <w:sz w:val="24"/>
          <w:szCs w:val="24"/>
        </w:rPr>
      </w:pPr>
      <w:r w:rsidRPr="0030393A">
        <w:rPr>
          <w:rFonts w:ascii="Bookman Old Style" w:hAnsi="Bookman Old Style"/>
          <w:b/>
          <w:bCs/>
          <w:sz w:val="24"/>
          <w:szCs w:val="24"/>
        </w:rPr>
        <w:t xml:space="preserve">Los contratos de suministro </w:t>
      </w:r>
      <w:r w:rsidR="00F62383" w:rsidRPr="0030393A">
        <w:rPr>
          <w:rFonts w:ascii="Bookman Old Style" w:hAnsi="Bookman Old Style"/>
          <w:b/>
          <w:bCs/>
          <w:sz w:val="24"/>
          <w:szCs w:val="24"/>
        </w:rPr>
        <w:t xml:space="preserve">que se hayan suscrito </w:t>
      </w:r>
      <w:r w:rsidRPr="0030393A">
        <w:rPr>
          <w:rFonts w:ascii="Bookman Old Style" w:hAnsi="Bookman Old Style"/>
          <w:b/>
          <w:bCs/>
          <w:sz w:val="24"/>
          <w:szCs w:val="24"/>
        </w:rPr>
        <w:t xml:space="preserve">a partir de </w:t>
      </w:r>
      <w:r w:rsidR="00037BB0" w:rsidRPr="0030393A">
        <w:rPr>
          <w:rFonts w:ascii="Bookman Old Style" w:hAnsi="Bookman Old Style"/>
          <w:b/>
          <w:bCs/>
          <w:sz w:val="24"/>
          <w:szCs w:val="24"/>
        </w:rPr>
        <w:t>campos de hidrocarburos</w:t>
      </w:r>
      <w:r w:rsidRPr="0030393A">
        <w:rPr>
          <w:rFonts w:ascii="Bookman Old Style" w:hAnsi="Bookman Old Style"/>
          <w:b/>
          <w:bCs/>
          <w:sz w:val="24"/>
          <w:szCs w:val="24"/>
        </w:rPr>
        <w:t xml:space="preserve"> </w:t>
      </w:r>
      <w:r w:rsidR="007E46DB" w:rsidRPr="0030393A">
        <w:rPr>
          <w:rFonts w:ascii="Bookman Old Style" w:hAnsi="Bookman Old Style"/>
          <w:b/>
          <w:bCs/>
          <w:sz w:val="24"/>
          <w:szCs w:val="24"/>
        </w:rPr>
        <w:t>antes de haber</w:t>
      </w:r>
      <w:r w:rsidR="00203F3A" w:rsidRPr="0030393A">
        <w:rPr>
          <w:rFonts w:ascii="Bookman Old Style" w:hAnsi="Bookman Old Style"/>
          <w:b/>
          <w:bCs/>
          <w:sz w:val="24"/>
          <w:szCs w:val="24"/>
        </w:rPr>
        <w:t>se</w:t>
      </w:r>
      <w:r w:rsidR="007E46DB" w:rsidRPr="0030393A">
        <w:rPr>
          <w:rFonts w:ascii="Bookman Old Style" w:hAnsi="Bookman Old Style"/>
          <w:b/>
          <w:bCs/>
          <w:sz w:val="24"/>
          <w:szCs w:val="24"/>
        </w:rPr>
        <w:t xml:space="preserve"> </w:t>
      </w:r>
      <w:r w:rsidRPr="0030393A">
        <w:rPr>
          <w:rFonts w:ascii="Bookman Old Style" w:hAnsi="Bookman Old Style"/>
          <w:b/>
          <w:bCs/>
          <w:sz w:val="24"/>
          <w:szCs w:val="24"/>
        </w:rPr>
        <w:t xml:space="preserve">declarado </w:t>
      </w:r>
      <w:r w:rsidR="008E43AA" w:rsidRPr="0030393A">
        <w:rPr>
          <w:rFonts w:ascii="Bookman Old Style" w:hAnsi="Bookman Old Style"/>
          <w:b/>
          <w:bCs/>
          <w:sz w:val="24"/>
          <w:szCs w:val="24"/>
        </w:rPr>
        <w:t xml:space="preserve">su </w:t>
      </w:r>
      <w:r w:rsidRPr="0030393A">
        <w:rPr>
          <w:rFonts w:ascii="Bookman Old Style" w:hAnsi="Bookman Old Style"/>
          <w:b/>
          <w:bCs/>
          <w:sz w:val="24"/>
          <w:szCs w:val="24"/>
        </w:rPr>
        <w:t>comercialidad</w:t>
      </w:r>
      <w:r w:rsidR="006D7D66" w:rsidRPr="0030393A">
        <w:rPr>
          <w:rFonts w:ascii="Bookman Old Style" w:hAnsi="Bookman Old Style"/>
          <w:b/>
          <w:bCs/>
          <w:sz w:val="24"/>
          <w:szCs w:val="24"/>
        </w:rPr>
        <w:t xml:space="preserve"> ante la ANH</w:t>
      </w:r>
      <w:r w:rsidR="00423F8D">
        <w:rPr>
          <w:rFonts w:ascii="Bookman Old Style" w:hAnsi="Bookman Old Style"/>
          <w:b/>
          <w:bCs/>
          <w:sz w:val="24"/>
          <w:szCs w:val="24"/>
        </w:rPr>
        <w:t>, cuya ejecución esté sometida a que dicha declaración se realice</w:t>
      </w:r>
      <w:r w:rsidR="007E46DB" w:rsidRPr="0030393A">
        <w:rPr>
          <w:rFonts w:ascii="Bookman Old Style" w:hAnsi="Bookman Old Style"/>
          <w:b/>
          <w:bCs/>
          <w:sz w:val="24"/>
          <w:szCs w:val="24"/>
        </w:rPr>
        <w:t>,</w:t>
      </w:r>
      <w:r w:rsidR="00037BB0" w:rsidRPr="0030393A">
        <w:rPr>
          <w:rFonts w:ascii="Bookman Old Style" w:hAnsi="Bookman Old Style"/>
          <w:b/>
          <w:bCs/>
          <w:sz w:val="24"/>
          <w:szCs w:val="24"/>
        </w:rPr>
        <w:t xml:space="preserve"> podrán ser registrados </w:t>
      </w:r>
      <w:r w:rsidR="00074212">
        <w:rPr>
          <w:rFonts w:ascii="Bookman Old Style" w:hAnsi="Bookman Old Style"/>
          <w:b/>
          <w:bCs/>
          <w:sz w:val="24"/>
          <w:szCs w:val="24"/>
        </w:rPr>
        <w:t xml:space="preserve">en cualquier momento </w:t>
      </w:r>
      <w:r w:rsidR="00074212" w:rsidRPr="0030393A">
        <w:rPr>
          <w:rFonts w:ascii="Bookman Old Style" w:hAnsi="Bookman Old Style"/>
          <w:b/>
          <w:bCs/>
          <w:sz w:val="24"/>
          <w:szCs w:val="24"/>
        </w:rPr>
        <w:t>ante el Gestor del Mercado</w:t>
      </w:r>
      <w:r w:rsidR="00423F8D">
        <w:rPr>
          <w:rFonts w:ascii="Bookman Old Style" w:hAnsi="Bookman Old Style"/>
          <w:b/>
          <w:bCs/>
          <w:sz w:val="24"/>
          <w:szCs w:val="24"/>
        </w:rPr>
        <w:t>,</w:t>
      </w:r>
      <w:r w:rsidR="00074212" w:rsidRPr="0030393A">
        <w:rPr>
          <w:rFonts w:ascii="Bookman Old Style" w:hAnsi="Bookman Old Style"/>
          <w:b/>
          <w:bCs/>
          <w:sz w:val="24"/>
          <w:szCs w:val="24"/>
        </w:rPr>
        <w:t xml:space="preserve"> </w:t>
      </w:r>
      <w:r w:rsidR="00CF6A9D" w:rsidRPr="0030393A">
        <w:rPr>
          <w:rFonts w:ascii="Bookman Old Style" w:hAnsi="Bookman Old Style"/>
          <w:b/>
          <w:bCs/>
          <w:sz w:val="24"/>
          <w:szCs w:val="24"/>
        </w:rPr>
        <w:t xml:space="preserve">después de haber declarado comercialidad, </w:t>
      </w:r>
      <w:r w:rsidR="00423F8D">
        <w:rPr>
          <w:rFonts w:ascii="Bookman Old Style" w:hAnsi="Bookman Old Style"/>
          <w:b/>
          <w:bCs/>
          <w:sz w:val="24"/>
          <w:szCs w:val="24"/>
        </w:rPr>
        <w:t xml:space="preserve">adoptando </w:t>
      </w:r>
      <w:r w:rsidR="00E140E1" w:rsidRPr="0030393A">
        <w:rPr>
          <w:rFonts w:ascii="Bookman Old Style" w:hAnsi="Bookman Old Style"/>
          <w:b/>
          <w:bCs/>
          <w:sz w:val="24"/>
          <w:szCs w:val="24"/>
        </w:rPr>
        <w:t>alguna de las modalidades CREG de tipo firme</w:t>
      </w:r>
      <w:r w:rsidR="002835EC" w:rsidRPr="0030393A">
        <w:rPr>
          <w:rFonts w:ascii="Bookman Old Style" w:hAnsi="Bookman Old Style"/>
          <w:b/>
          <w:bCs/>
          <w:sz w:val="24"/>
          <w:szCs w:val="24"/>
        </w:rPr>
        <w:t xml:space="preserve"> o aquella </w:t>
      </w:r>
      <w:r w:rsidR="00FA778A" w:rsidRPr="0030393A">
        <w:rPr>
          <w:rFonts w:ascii="Bookman Old Style" w:hAnsi="Bookman Old Style"/>
          <w:b/>
          <w:bCs/>
          <w:sz w:val="24"/>
          <w:szCs w:val="24"/>
        </w:rPr>
        <w:t xml:space="preserve">de tipo firme </w:t>
      </w:r>
      <w:r w:rsidR="002835EC" w:rsidRPr="0030393A">
        <w:rPr>
          <w:rFonts w:ascii="Bookman Old Style" w:hAnsi="Bookman Old Style"/>
          <w:b/>
          <w:bCs/>
          <w:sz w:val="24"/>
          <w:szCs w:val="24"/>
        </w:rPr>
        <w:t>utilizada en aplicación del parágrafo del art</w:t>
      </w:r>
      <w:r w:rsidR="00FA778A" w:rsidRPr="0030393A">
        <w:rPr>
          <w:rFonts w:ascii="Bookman Old Style" w:hAnsi="Bookman Old Style"/>
          <w:b/>
          <w:bCs/>
          <w:sz w:val="24"/>
          <w:szCs w:val="24"/>
        </w:rPr>
        <w:t>ículo</w:t>
      </w:r>
      <w:r w:rsidR="002835EC" w:rsidRPr="0030393A">
        <w:rPr>
          <w:rFonts w:ascii="Bookman Old Style" w:hAnsi="Bookman Old Style"/>
          <w:b/>
          <w:bCs/>
          <w:sz w:val="24"/>
          <w:szCs w:val="24"/>
        </w:rPr>
        <w:t xml:space="preserve"> </w:t>
      </w:r>
      <w:r w:rsidR="008E7D39">
        <w:rPr>
          <w:rFonts w:ascii="Bookman Old Style" w:hAnsi="Bookman Old Style"/>
          <w:b/>
          <w:bCs/>
          <w:sz w:val="24"/>
          <w:szCs w:val="24"/>
        </w:rPr>
        <w:t>20</w:t>
      </w:r>
      <w:r w:rsidR="008E7D39" w:rsidRPr="0030393A">
        <w:rPr>
          <w:rFonts w:ascii="Bookman Old Style" w:hAnsi="Bookman Old Style"/>
          <w:b/>
          <w:bCs/>
          <w:sz w:val="24"/>
          <w:szCs w:val="24"/>
        </w:rPr>
        <w:t xml:space="preserve"> </w:t>
      </w:r>
      <w:r w:rsidR="00FA778A" w:rsidRPr="0030393A">
        <w:rPr>
          <w:rFonts w:ascii="Bookman Old Style" w:hAnsi="Bookman Old Style"/>
          <w:b/>
          <w:bCs/>
          <w:sz w:val="24"/>
          <w:szCs w:val="24"/>
        </w:rPr>
        <w:t>de la presente resolución</w:t>
      </w:r>
      <w:r w:rsidR="0050584B" w:rsidRPr="0030393A">
        <w:rPr>
          <w:rFonts w:ascii="Bookman Old Style" w:hAnsi="Bookman Old Style"/>
          <w:b/>
          <w:bCs/>
          <w:sz w:val="24"/>
          <w:szCs w:val="24"/>
        </w:rPr>
        <w:t xml:space="preserve">, </w:t>
      </w:r>
      <w:r w:rsidR="00E140E1" w:rsidRPr="0030393A">
        <w:rPr>
          <w:rFonts w:ascii="Bookman Old Style" w:hAnsi="Bookman Old Style"/>
          <w:b/>
          <w:bCs/>
          <w:sz w:val="24"/>
          <w:szCs w:val="24"/>
        </w:rPr>
        <w:t>s</w:t>
      </w:r>
      <w:r w:rsidR="0050584B" w:rsidRPr="0030393A">
        <w:rPr>
          <w:rFonts w:ascii="Bookman Old Style" w:hAnsi="Bookman Old Style"/>
          <w:b/>
          <w:bCs/>
          <w:sz w:val="24"/>
          <w:szCs w:val="24"/>
        </w:rPr>
        <w:t xml:space="preserve">in necesidad de </w:t>
      </w:r>
      <w:r w:rsidR="008E43AA" w:rsidRPr="0030393A">
        <w:rPr>
          <w:rFonts w:ascii="Bookman Old Style" w:hAnsi="Bookman Old Style"/>
          <w:b/>
          <w:bCs/>
          <w:sz w:val="24"/>
          <w:szCs w:val="24"/>
        </w:rPr>
        <w:t xml:space="preserve">que ni el vendedor ni el comprador declaren la información </w:t>
      </w:r>
      <w:r w:rsidR="00F62383" w:rsidRPr="0030393A">
        <w:rPr>
          <w:rFonts w:ascii="Bookman Old Style" w:hAnsi="Bookman Old Style"/>
          <w:b/>
          <w:bCs/>
          <w:sz w:val="24"/>
          <w:szCs w:val="24"/>
        </w:rPr>
        <w:t xml:space="preserve">que se </w:t>
      </w:r>
      <w:r w:rsidR="003D67D7" w:rsidRPr="0030393A">
        <w:rPr>
          <w:rFonts w:ascii="Bookman Old Style" w:hAnsi="Bookman Old Style"/>
          <w:b/>
          <w:bCs/>
          <w:sz w:val="24"/>
          <w:szCs w:val="24"/>
        </w:rPr>
        <w:t>establece al respecto</w:t>
      </w:r>
      <w:r w:rsidR="00E140E1" w:rsidRPr="0030393A">
        <w:rPr>
          <w:rFonts w:ascii="Bookman Old Style" w:hAnsi="Bookman Old Style"/>
          <w:b/>
          <w:bCs/>
          <w:sz w:val="24"/>
          <w:szCs w:val="24"/>
        </w:rPr>
        <w:t xml:space="preserve"> </w:t>
      </w:r>
      <w:r w:rsidR="00F62383" w:rsidRPr="0030393A">
        <w:rPr>
          <w:rFonts w:ascii="Bookman Old Style" w:hAnsi="Bookman Old Style"/>
          <w:b/>
          <w:bCs/>
          <w:sz w:val="24"/>
          <w:szCs w:val="24"/>
        </w:rPr>
        <w:t xml:space="preserve">en </w:t>
      </w:r>
      <w:r w:rsidR="006D7D66" w:rsidRPr="0030393A">
        <w:rPr>
          <w:rFonts w:ascii="Bookman Old Style" w:hAnsi="Bookman Old Style"/>
          <w:b/>
          <w:bCs/>
          <w:sz w:val="24"/>
          <w:szCs w:val="24"/>
        </w:rPr>
        <w:t>los literales a.</w:t>
      </w:r>
      <w:r w:rsidR="00203F3A" w:rsidRPr="0030393A">
        <w:rPr>
          <w:rFonts w:ascii="Bookman Old Style" w:hAnsi="Bookman Old Style"/>
          <w:b/>
          <w:bCs/>
          <w:sz w:val="24"/>
          <w:szCs w:val="24"/>
        </w:rPr>
        <w:t>,</w:t>
      </w:r>
      <w:r w:rsidR="006D7D66" w:rsidRPr="0030393A">
        <w:rPr>
          <w:rFonts w:ascii="Bookman Old Style" w:hAnsi="Bookman Old Style"/>
          <w:b/>
          <w:bCs/>
          <w:sz w:val="24"/>
          <w:szCs w:val="24"/>
        </w:rPr>
        <w:t xml:space="preserve"> c.</w:t>
      </w:r>
      <w:r w:rsidR="00203F3A" w:rsidRPr="0030393A">
        <w:rPr>
          <w:rFonts w:ascii="Bookman Old Style" w:hAnsi="Bookman Old Style"/>
          <w:b/>
          <w:bCs/>
          <w:sz w:val="24"/>
          <w:szCs w:val="24"/>
        </w:rPr>
        <w:t xml:space="preserve"> y e.</w:t>
      </w:r>
      <w:r w:rsidR="006D7D66" w:rsidRPr="0030393A">
        <w:rPr>
          <w:rFonts w:ascii="Bookman Old Style" w:hAnsi="Bookman Old Style"/>
          <w:b/>
          <w:bCs/>
          <w:sz w:val="24"/>
          <w:szCs w:val="24"/>
        </w:rPr>
        <w:t xml:space="preserve"> d</w:t>
      </w:r>
      <w:r w:rsidR="00E140E1" w:rsidRPr="0030393A">
        <w:rPr>
          <w:rFonts w:ascii="Bookman Old Style" w:hAnsi="Bookman Old Style"/>
          <w:b/>
          <w:bCs/>
          <w:sz w:val="24"/>
          <w:szCs w:val="24"/>
        </w:rPr>
        <w:t xml:space="preserve">el </w:t>
      </w:r>
      <w:r w:rsidR="00E25A56">
        <w:rPr>
          <w:rFonts w:ascii="Bookman Old Style" w:hAnsi="Bookman Old Style"/>
          <w:b/>
          <w:bCs/>
          <w:sz w:val="24"/>
          <w:szCs w:val="24"/>
        </w:rPr>
        <w:t>a</w:t>
      </w:r>
      <w:r w:rsidR="00E140E1" w:rsidRPr="0030393A">
        <w:rPr>
          <w:rFonts w:ascii="Bookman Old Style" w:hAnsi="Bookman Old Style"/>
          <w:b/>
          <w:bCs/>
          <w:sz w:val="24"/>
          <w:szCs w:val="24"/>
        </w:rPr>
        <w:t>rtículo 21 de la presente res</w:t>
      </w:r>
      <w:r w:rsidR="006D7D66" w:rsidRPr="0030393A">
        <w:rPr>
          <w:rFonts w:ascii="Bookman Old Style" w:hAnsi="Bookman Old Style"/>
          <w:b/>
          <w:bCs/>
          <w:sz w:val="24"/>
          <w:szCs w:val="24"/>
        </w:rPr>
        <w:t>o</w:t>
      </w:r>
      <w:r w:rsidR="00E140E1" w:rsidRPr="0030393A">
        <w:rPr>
          <w:rFonts w:ascii="Bookman Old Style" w:hAnsi="Bookman Old Style"/>
          <w:b/>
          <w:bCs/>
          <w:sz w:val="24"/>
          <w:szCs w:val="24"/>
        </w:rPr>
        <w:t>lución</w:t>
      </w:r>
      <w:r w:rsidR="0050584B" w:rsidRPr="0030393A">
        <w:rPr>
          <w:rFonts w:ascii="Bookman Old Style" w:hAnsi="Bookman Old Style"/>
          <w:b/>
          <w:bCs/>
          <w:sz w:val="24"/>
          <w:szCs w:val="24"/>
        </w:rPr>
        <w:t>.</w:t>
      </w:r>
      <w:r w:rsidRPr="0030393A">
        <w:rPr>
          <w:rFonts w:ascii="Bookman Old Style" w:hAnsi="Bookman Old Style"/>
          <w:b/>
          <w:bCs/>
          <w:sz w:val="24"/>
          <w:szCs w:val="24"/>
        </w:rPr>
        <w:t xml:space="preserve"> </w:t>
      </w:r>
      <w:r w:rsidR="00FB3A93" w:rsidRPr="0030393A">
        <w:rPr>
          <w:rFonts w:ascii="Bookman Old Style" w:hAnsi="Bookman Old Style"/>
          <w:b/>
          <w:bCs/>
          <w:sz w:val="24"/>
          <w:szCs w:val="24"/>
        </w:rPr>
        <w:t xml:space="preserve"> </w:t>
      </w:r>
    </w:p>
    <w:p w14:paraId="294AA2B1" w14:textId="77777777" w:rsidR="00FF2E8F" w:rsidRPr="0030393A" w:rsidRDefault="00FF2E8F" w:rsidP="00FF2E8F">
      <w:pPr>
        <w:pStyle w:val="Prrafodelista"/>
        <w:rPr>
          <w:rFonts w:ascii="Bookman Old Style" w:hAnsi="Bookman Old Style"/>
          <w:b/>
          <w:bCs/>
          <w:sz w:val="24"/>
          <w:szCs w:val="24"/>
        </w:rPr>
      </w:pPr>
    </w:p>
    <w:p w14:paraId="2D080F95" w14:textId="60FFF53A" w:rsidR="00FF2E8F" w:rsidRPr="0030393A" w:rsidRDefault="00C957CC" w:rsidP="009E133F">
      <w:pPr>
        <w:pStyle w:val="Prrafodelista"/>
        <w:numPr>
          <w:ilvl w:val="0"/>
          <w:numId w:val="103"/>
        </w:numPr>
        <w:ind w:left="567" w:hanging="425"/>
        <w:jc w:val="both"/>
        <w:rPr>
          <w:rFonts w:ascii="Bookman Old Style" w:hAnsi="Bookman Old Style"/>
          <w:b/>
          <w:bCs/>
          <w:sz w:val="24"/>
          <w:szCs w:val="24"/>
        </w:rPr>
      </w:pPr>
      <w:r w:rsidRPr="0030393A">
        <w:rPr>
          <w:rFonts w:ascii="Bookman Old Style" w:hAnsi="Bookman Old Style"/>
          <w:b/>
          <w:bCs/>
          <w:sz w:val="24"/>
          <w:szCs w:val="24"/>
        </w:rPr>
        <w:t>A partir de la publicación de la presente resolución, e</w:t>
      </w:r>
      <w:r w:rsidR="00915502" w:rsidRPr="0030393A">
        <w:rPr>
          <w:rFonts w:ascii="Bookman Old Style" w:hAnsi="Bookman Old Style"/>
          <w:b/>
          <w:bCs/>
          <w:sz w:val="24"/>
          <w:szCs w:val="24"/>
        </w:rPr>
        <w:t>l plazo de ejecución de u</w:t>
      </w:r>
      <w:r w:rsidR="00FF2E8F" w:rsidRPr="0030393A">
        <w:rPr>
          <w:rFonts w:ascii="Bookman Old Style" w:hAnsi="Bookman Old Style"/>
          <w:b/>
          <w:bCs/>
          <w:sz w:val="24"/>
          <w:szCs w:val="24"/>
        </w:rPr>
        <w:t xml:space="preserve">n contrato </w:t>
      </w:r>
      <w:r w:rsidR="00B777DA">
        <w:rPr>
          <w:rFonts w:ascii="Bookman Old Style" w:hAnsi="Bookman Old Style"/>
          <w:b/>
          <w:bCs/>
          <w:sz w:val="24"/>
          <w:szCs w:val="24"/>
        </w:rPr>
        <w:t>que</w:t>
      </w:r>
      <w:r w:rsidRPr="0030393A">
        <w:rPr>
          <w:rFonts w:ascii="Bookman Old Style" w:hAnsi="Bookman Old Style"/>
          <w:b/>
          <w:bCs/>
          <w:sz w:val="24"/>
          <w:szCs w:val="24"/>
        </w:rPr>
        <w:t xml:space="preserve"> esté </w:t>
      </w:r>
      <w:r w:rsidR="0027496C" w:rsidRPr="0030393A">
        <w:rPr>
          <w:rFonts w:ascii="Bookman Old Style" w:hAnsi="Bookman Old Style"/>
          <w:b/>
          <w:bCs/>
          <w:sz w:val="24"/>
          <w:szCs w:val="24"/>
        </w:rPr>
        <w:t xml:space="preserve">vigente </w:t>
      </w:r>
      <w:r w:rsidR="00FF2E8F" w:rsidRPr="0030393A">
        <w:rPr>
          <w:rFonts w:ascii="Bookman Old Style" w:hAnsi="Bookman Old Style"/>
          <w:b/>
          <w:bCs/>
          <w:sz w:val="24"/>
          <w:szCs w:val="24"/>
        </w:rPr>
        <w:t xml:space="preserve">no podrá ser adicionado </w:t>
      </w:r>
      <w:r w:rsidR="00915502" w:rsidRPr="0030393A">
        <w:rPr>
          <w:rFonts w:ascii="Bookman Old Style" w:hAnsi="Bookman Old Style"/>
          <w:b/>
          <w:bCs/>
          <w:sz w:val="24"/>
          <w:szCs w:val="24"/>
        </w:rPr>
        <w:t>o prorrogado</w:t>
      </w:r>
      <w:r w:rsidRPr="0030393A">
        <w:rPr>
          <w:rFonts w:ascii="Bookman Old Style" w:hAnsi="Bookman Old Style"/>
          <w:b/>
          <w:bCs/>
          <w:sz w:val="24"/>
          <w:szCs w:val="24"/>
        </w:rPr>
        <w:t xml:space="preserve"> y</w:t>
      </w:r>
      <w:r w:rsidR="0027496C" w:rsidRPr="0030393A">
        <w:rPr>
          <w:rFonts w:ascii="Bookman Old Style" w:hAnsi="Bookman Old Style"/>
          <w:b/>
          <w:bCs/>
          <w:sz w:val="24"/>
          <w:szCs w:val="24"/>
        </w:rPr>
        <w:t xml:space="preserve"> deberá darse por terminado una vez cumplido el plazo inicial de ejecución, sin excepción ninguna</w:t>
      </w:r>
      <w:r w:rsidR="005B1477" w:rsidRPr="0030393A">
        <w:rPr>
          <w:rFonts w:ascii="Bookman Old Style" w:hAnsi="Bookman Old Style"/>
          <w:b/>
          <w:bCs/>
          <w:sz w:val="24"/>
          <w:szCs w:val="24"/>
        </w:rPr>
        <w:t>.</w:t>
      </w:r>
    </w:p>
    <w:p w14:paraId="62DCCDAA" w14:textId="77777777" w:rsidR="0006302B" w:rsidRPr="0030393A" w:rsidRDefault="0006302B" w:rsidP="002D5416">
      <w:pPr>
        <w:ind w:left="0"/>
        <w:jc w:val="both"/>
        <w:outlineLvl w:val="0"/>
        <w:rPr>
          <w:rFonts w:ascii="Bookman Old Style" w:hAnsi="Bookman Old Style"/>
        </w:rPr>
      </w:pPr>
    </w:p>
    <w:p w14:paraId="4BCAF06A" w14:textId="566F95F3" w:rsidR="0006302B" w:rsidRPr="0030393A" w:rsidRDefault="0006302B" w:rsidP="0006302B">
      <w:pPr>
        <w:ind w:left="0"/>
        <w:jc w:val="both"/>
        <w:rPr>
          <w:rFonts w:ascii="Bookman Old Style" w:hAnsi="Bookman Old Style"/>
          <w:b/>
          <w:lang w:val="es-CO"/>
        </w:rPr>
      </w:pPr>
      <w:r w:rsidRPr="0030393A">
        <w:rPr>
          <w:rFonts w:ascii="Bookman Old Style" w:hAnsi="Bookman Old Style"/>
          <w:b/>
          <w:lang w:val="es-CO"/>
        </w:rPr>
        <w:t xml:space="preserve">Parágrafo </w:t>
      </w:r>
      <w:r w:rsidR="00533DCB" w:rsidRPr="0030393A">
        <w:rPr>
          <w:rFonts w:ascii="Bookman Old Style" w:hAnsi="Bookman Old Style"/>
          <w:b/>
          <w:lang w:val="es-CO"/>
        </w:rPr>
        <w:t>1</w:t>
      </w:r>
      <w:r w:rsidRPr="0030393A">
        <w:rPr>
          <w:rFonts w:ascii="Bookman Old Style" w:hAnsi="Bookman Old Style"/>
          <w:b/>
          <w:lang w:val="es-CO"/>
        </w:rPr>
        <w:t>. Los Vendedores del Mercado Primario serán los responsables en cualquier momento de ejecución de la totalidad de los contratos suscritos que requieren Respaldo Físico, que las cantidades totales comprometidas</w:t>
      </w:r>
      <w:r w:rsidR="00851EBD" w:rsidRPr="0030393A">
        <w:rPr>
          <w:rFonts w:ascii="Bookman Old Style" w:hAnsi="Bookman Old Style"/>
          <w:b/>
          <w:lang w:val="es-CO"/>
        </w:rPr>
        <w:t xml:space="preserve"> en firme o con garantía de firmeza </w:t>
      </w:r>
      <w:r w:rsidRPr="0030393A">
        <w:rPr>
          <w:rFonts w:ascii="Bookman Old Style" w:hAnsi="Bookman Old Style"/>
          <w:b/>
          <w:lang w:val="es-CO"/>
        </w:rPr>
        <w:t>desde sus Fuentes de Suministro</w:t>
      </w:r>
      <w:r w:rsidR="00476883" w:rsidRPr="0030393A">
        <w:rPr>
          <w:rFonts w:ascii="Bookman Old Style" w:hAnsi="Bookman Old Style"/>
          <w:b/>
          <w:lang w:val="es-CO"/>
        </w:rPr>
        <w:t xml:space="preserve">, </w:t>
      </w:r>
      <w:r w:rsidRPr="0030393A">
        <w:rPr>
          <w:rFonts w:ascii="Bookman Old Style" w:hAnsi="Bookman Old Style"/>
          <w:b/>
          <w:lang w:val="es-CO"/>
        </w:rPr>
        <w:t>no sean superiores al valor del Potencial de Producción declarado para la totalidad de las Fuentes de Suministro</w:t>
      </w:r>
      <w:r>
        <w:rPr>
          <w:rFonts w:ascii="Bookman Old Style" w:hAnsi="Bookman Old Style"/>
          <w:b/>
          <w:lang w:val="es-CO"/>
        </w:rPr>
        <w:t>, ni tampoco de manera individual para cada una de ellas, en todos y cada uno de los meses comprometidos en la duración del Contrato de Suministro</w:t>
      </w:r>
      <w:r w:rsidRPr="009B01DE">
        <w:rPr>
          <w:rFonts w:ascii="Bookman Old Style" w:hAnsi="Bookman Old Style"/>
          <w:b/>
          <w:lang w:val="es-CO"/>
        </w:rPr>
        <w:t xml:space="preserve">, de acuerdo con la declaración que se </w:t>
      </w:r>
      <w:r w:rsidRPr="0030393A">
        <w:rPr>
          <w:rFonts w:ascii="Bookman Old Style" w:hAnsi="Bookman Old Style"/>
          <w:b/>
          <w:lang w:val="es-CO"/>
        </w:rPr>
        <w:t xml:space="preserve">encuentre vigente, presentada en cumplimiento del </w:t>
      </w:r>
      <w:r w:rsidR="00231E06">
        <w:rPr>
          <w:rFonts w:ascii="Bookman Old Style" w:hAnsi="Bookman Old Style"/>
          <w:b/>
          <w:lang w:val="es-CO"/>
        </w:rPr>
        <w:t>a</w:t>
      </w:r>
      <w:r w:rsidRPr="0030393A">
        <w:rPr>
          <w:rFonts w:ascii="Bookman Old Style" w:hAnsi="Bookman Old Style"/>
          <w:b/>
          <w:lang w:val="es-CO"/>
        </w:rPr>
        <w:t>rtículo 2.2.2.2.29 del Decreto 1073 de 2015, o aquel que lo modifique o sustituya.</w:t>
      </w:r>
    </w:p>
    <w:p w14:paraId="4375DD70" w14:textId="77777777" w:rsidR="0006302B" w:rsidRPr="0030393A" w:rsidRDefault="0006302B" w:rsidP="0006302B">
      <w:pPr>
        <w:ind w:left="0"/>
        <w:jc w:val="both"/>
        <w:rPr>
          <w:rFonts w:ascii="Bookman Old Style" w:hAnsi="Bookman Old Style"/>
          <w:b/>
          <w:lang w:val="es-CO"/>
        </w:rPr>
      </w:pPr>
    </w:p>
    <w:p w14:paraId="1BBCDDBE" w14:textId="4F658277" w:rsidR="0006302B" w:rsidRPr="0030393A" w:rsidRDefault="0006302B" w:rsidP="0006302B">
      <w:pPr>
        <w:ind w:left="0"/>
        <w:jc w:val="both"/>
        <w:rPr>
          <w:rFonts w:ascii="Bookman Old Style" w:hAnsi="Bookman Old Style"/>
          <w:b/>
          <w:lang w:val="es-CO"/>
        </w:rPr>
      </w:pPr>
      <w:r w:rsidRPr="0030393A">
        <w:rPr>
          <w:rFonts w:ascii="Bookman Old Style" w:hAnsi="Bookman Old Style"/>
          <w:b/>
          <w:lang w:val="es-CO"/>
        </w:rPr>
        <w:t xml:space="preserve">Parágrafo </w:t>
      </w:r>
      <w:r w:rsidR="00533DCB" w:rsidRPr="0030393A">
        <w:rPr>
          <w:rFonts w:ascii="Bookman Old Style" w:hAnsi="Bookman Old Style"/>
          <w:b/>
          <w:lang w:val="es-CO"/>
        </w:rPr>
        <w:t>2</w:t>
      </w:r>
      <w:r w:rsidRPr="0030393A">
        <w:rPr>
          <w:rFonts w:ascii="Bookman Old Style" w:hAnsi="Bookman Old Style"/>
          <w:b/>
          <w:lang w:val="es-CO"/>
        </w:rPr>
        <w:t>. Para efectos de cumplimiento de lo establecido en el artículo 5 del Decreto 2100 de 2011, o aquel que lo modifique o sustituya, los Contratos de Suministro de las modalidades Opción de Compra de gas, Opción de Compra de Gas contra Exportaciones y de Firmeza Condicionada</w:t>
      </w:r>
      <w:r w:rsidR="00EF0CC5" w:rsidRPr="0030393A">
        <w:rPr>
          <w:rFonts w:ascii="Bookman Old Style" w:hAnsi="Bookman Old Style"/>
          <w:b/>
          <w:lang w:val="es-CO"/>
        </w:rPr>
        <w:t>,</w:t>
      </w:r>
      <w:r w:rsidRPr="0030393A">
        <w:rPr>
          <w:rFonts w:ascii="Bookman Old Style" w:hAnsi="Bookman Old Style"/>
          <w:b/>
          <w:lang w:val="es-CO"/>
        </w:rPr>
        <w:t xml:space="preserve"> se contarán como contratos que </w:t>
      </w:r>
      <w:r w:rsidR="00030C5B">
        <w:rPr>
          <w:rFonts w:ascii="Bookman Old Style" w:hAnsi="Bookman Old Style"/>
          <w:b/>
          <w:lang w:val="es-CO"/>
        </w:rPr>
        <w:t>garantizan firmeza</w:t>
      </w:r>
      <w:r w:rsidRPr="0030393A">
        <w:rPr>
          <w:rFonts w:ascii="Bookman Old Style" w:hAnsi="Bookman Old Style"/>
          <w:b/>
          <w:lang w:val="es-CO"/>
        </w:rPr>
        <w:t xml:space="preserve"> en las cantidades correspondientes a las contratadas y se considera</w:t>
      </w:r>
      <w:r w:rsidR="00DA3076" w:rsidRPr="0030393A">
        <w:rPr>
          <w:rFonts w:ascii="Bookman Old Style" w:hAnsi="Bookman Old Style"/>
          <w:b/>
          <w:lang w:val="es-CO"/>
        </w:rPr>
        <w:t>rá</w:t>
      </w:r>
      <w:r w:rsidRPr="0030393A">
        <w:rPr>
          <w:rFonts w:ascii="Bookman Old Style" w:hAnsi="Bookman Old Style"/>
          <w:b/>
          <w:lang w:val="es-CO"/>
        </w:rPr>
        <w:t>n complementarios</w:t>
      </w:r>
      <w:r w:rsidR="00597646" w:rsidRPr="0030393A">
        <w:rPr>
          <w:rFonts w:ascii="Bookman Old Style" w:hAnsi="Bookman Old Style"/>
          <w:b/>
          <w:lang w:val="es-CO"/>
        </w:rPr>
        <w:t xml:space="preserve"> entre sí</w:t>
      </w:r>
      <w:r w:rsidRPr="0030393A">
        <w:rPr>
          <w:rFonts w:ascii="Bookman Old Style" w:hAnsi="Bookman Old Style"/>
          <w:b/>
          <w:lang w:val="es-CO"/>
        </w:rPr>
        <w:t xml:space="preserve">. </w:t>
      </w:r>
    </w:p>
    <w:p w14:paraId="37938383" w14:textId="77777777" w:rsidR="0006302B" w:rsidRPr="0030393A" w:rsidRDefault="0006302B" w:rsidP="0006302B">
      <w:pPr>
        <w:pStyle w:val="ARTICULOS"/>
        <w:numPr>
          <w:ilvl w:val="0"/>
          <w:numId w:val="0"/>
        </w:numPr>
      </w:pPr>
    </w:p>
    <w:p w14:paraId="50E08225" w14:textId="77777777" w:rsidR="00915502" w:rsidRPr="0030393A" w:rsidRDefault="00915502" w:rsidP="00915502">
      <w:pPr>
        <w:pStyle w:val="ARTICULOS"/>
        <w:outlineLvl w:val="0"/>
        <w:rPr>
          <w:lang w:val="es-CO"/>
        </w:rPr>
      </w:pPr>
      <w:bookmarkStart w:id="65" w:name="_Ref452106017"/>
      <w:bookmarkStart w:id="66" w:name="_Ref448333944"/>
      <w:r w:rsidRPr="0030393A">
        <w:rPr>
          <w:b/>
          <w:bCs w:val="0"/>
          <w:lang w:val="es-CO"/>
        </w:rPr>
        <w:t>Condición de precio de los contratos.</w:t>
      </w:r>
      <w:r w:rsidRPr="0030393A">
        <w:rPr>
          <w:lang w:val="es-CO"/>
        </w:rPr>
        <w:t xml:space="preserve"> El precio de los contratos de suministro de gas natural negociados estará sujeto a las siguientes condiciones:</w:t>
      </w:r>
    </w:p>
    <w:p w14:paraId="4FEDB35C" w14:textId="77777777" w:rsidR="00915502" w:rsidRPr="0030393A" w:rsidRDefault="00915502" w:rsidP="00915502">
      <w:pPr>
        <w:pStyle w:val="ARTICULOS"/>
        <w:numPr>
          <w:ilvl w:val="0"/>
          <w:numId w:val="0"/>
        </w:numPr>
        <w:outlineLvl w:val="0"/>
        <w:rPr>
          <w:strike/>
          <w:lang w:val="es-CO"/>
        </w:rPr>
      </w:pPr>
    </w:p>
    <w:p w14:paraId="6D06BC2B" w14:textId="7C551485" w:rsidR="00915502" w:rsidRPr="0030393A" w:rsidRDefault="00915502" w:rsidP="00915502">
      <w:pPr>
        <w:pStyle w:val="ARTICULOS"/>
        <w:numPr>
          <w:ilvl w:val="1"/>
          <w:numId w:val="56"/>
        </w:numPr>
        <w:ind w:left="567" w:hanging="567"/>
        <w:rPr>
          <w:color w:val="000000" w:themeColor="text1"/>
          <w:lang w:val="es-CO"/>
        </w:rPr>
      </w:pPr>
      <w:r w:rsidRPr="0030393A">
        <w:rPr>
          <w:color w:val="000000" w:themeColor="text1"/>
          <w:lang w:val="es-CO"/>
        </w:rPr>
        <w:t xml:space="preserve">En el caso de </w:t>
      </w:r>
      <w:r w:rsidR="002B6DC1" w:rsidRPr="0030393A">
        <w:rPr>
          <w:b/>
          <w:bCs w:val="0"/>
          <w:color w:val="000000" w:themeColor="text1"/>
          <w:lang w:val="es-CO"/>
        </w:rPr>
        <w:t>aplicación del mecanismo de</w:t>
      </w:r>
      <w:r w:rsidRPr="0030393A">
        <w:rPr>
          <w:color w:val="000000" w:themeColor="text1"/>
          <w:lang w:val="es-CO"/>
        </w:rPr>
        <w:t xml:space="preserve"> negociaciones directas, el precio será el que acuerden las partes.</w:t>
      </w:r>
    </w:p>
    <w:p w14:paraId="366D9F1B" w14:textId="77777777" w:rsidR="00915502" w:rsidRPr="0030393A" w:rsidRDefault="00915502" w:rsidP="00915502">
      <w:pPr>
        <w:pStyle w:val="ARTICULOS"/>
        <w:numPr>
          <w:ilvl w:val="0"/>
          <w:numId w:val="0"/>
        </w:numPr>
        <w:ind w:left="567"/>
        <w:rPr>
          <w:color w:val="000000" w:themeColor="text1"/>
          <w:sz w:val="22"/>
          <w:szCs w:val="22"/>
          <w:lang w:val="es-CO"/>
        </w:rPr>
      </w:pPr>
    </w:p>
    <w:p w14:paraId="267D8E6D" w14:textId="044AFB5B" w:rsidR="00915502" w:rsidRPr="0030393A" w:rsidRDefault="00915502" w:rsidP="00915502">
      <w:pPr>
        <w:pStyle w:val="ARTICULOS"/>
        <w:numPr>
          <w:ilvl w:val="1"/>
          <w:numId w:val="56"/>
        </w:numPr>
        <w:ind w:left="567" w:hanging="567"/>
        <w:rPr>
          <w:color w:val="000000" w:themeColor="text1"/>
          <w:lang w:val="es-CO"/>
        </w:rPr>
      </w:pPr>
      <w:r w:rsidRPr="0030393A">
        <w:rPr>
          <w:color w:val="000000" w:themeColor="text1"/>
          <w:lang w:val="es-CO"/>
        </w:rPr>
        <w:t xml:space="preserve">En el caso de las negociaciones de contratos a </w:t>
      </w:r>
      <w:r w:rsidR="00A266DE" w:rsidRPr="0030393A">
        <w:rPr>
          <w:color w:val="000000" w:themeColor="text1"/>
          <w:lang w:val="es-CO"/>
        </w:rPr>
        <w:t xml:space="preserve">las </w:t>
      </w:r>
      <w:r w:rsidRPr="0030393A">
        <w:rPr>
          <w:color w:val="000000" w:themeColor="text1"/>
          <w:lang w:val="es-CO"/>
        </w:rPr>
        <w:t xml:space="preserve">que se hace referencia en el </w:t>
      </w:r>
      <w:r w:rsidR="001D52ED">
        <w:rPr>
          <w:color w:val="000000" w:themeColor="text1"/>
          <w:lang w:val="es-CO"/>
        </w:rPr>
        <w:t>a</w:t>
      </w:r>
      <w:r w:rsidRPr="0030393A">
        <w:rPr>
          <w:color w:val="000000" w:themeColor="text1"/>
          <w:lang w:val="es-CO"/>
        </w:rPr>
        <w:t xml:space="preserve">rtículo </w:t>
      </w:r>
      <w:r w:rsidRPr="0030393A">
        <w:rPr>
          <w:b/>
          <w:bCs w:val="0"/>
          <w:color w:val="000000" w:themeColor="text1"/>
          <w:lang w:val="es-CO"/>
        </w:rPr>
        <w:t>22</w:t>
      </w:r>
      <w:r w:rsidRPr="0030393A">
        <w:rPr>
          <w:color w:val="000000" w:themeColor="text1"/>
          <w:lang w:val="es-CO"/>
        </w:rPr>
        <w:t xml:space="preserve"> de esta Resolución, el precio será el </w:t>
      </w:r>
      <w:r w:rsidRPr="0030393A">
        <w:rPr>
          <w:b/>
          <w:bCs w:val="0"/>
          <w:color w:val="000000" w:themeColor="text1"/>
          <w:lang w:val="es-CO"/>
        </w:rPr>
        <w:t>que surja de la aplicación de mecanismos de comercialización en los que haya procesos de concurrencia de interesados.</w:t>
      </w:r>
      <w:r w:rsidR="00A266DE" w:rsidRPr="0030393A">
        <w:rPr>
          <w:b/>
          <w:bCs w:val="0"/>
          <w:color w:val="000000" w:themeColor="text1"/>
          <w:lang w:val="es-CO"/>
        </w:rPr>
        <w:t xml:space="preserve"> Si el precio resultante se aplicará a un período de ejecución que inicia después de transcurrido un año calendario de la fecha del registro del contrato, se aplicará la actualización de precios establecida en el contrato.</w:t>
      </w:r>
      <w:r w:rsidR="00A266DE" w:rsidRPr="0030393A">
        <w:rPr>
          <w:color w:val="000000" w:themeColor="text1"/>
          <w:lang w:val="es-CO"/>
        </w:rPr>
        <w:t xml:space="preserve">  </w:t>
      </w:r>
    </w:p>
    <w:p w14:paraId="39CDA73E" w14:textId="77777777" w:rsidR="00915502" w:rsidRPr="0030393A" w:rsidRDefault="00915502" w:rsidP="00915502">
      <w:pPr>
        <w:pStyle w:val="Prrafodelista"/>
        <w:rPr>
          <w:b/>
        </w:rPr>
      </w:pPr>
    </w:p>
    <w:p w14:paraId="2195BF7B" w14:textId="4B9989A8" w:rsidR="00915502" w:rsidRPr="0030393A" w:rsidRDefault="00915502" w:rsidP="00915502">
      <w:pPr>
        <w:pStyle w:val="ARTICULOS"/>
        <w:numPr>
          <w:ilvl w:val="1"/>
          <w:numId w:val="56"/>
        </w:numPr>
        <w:ind w:left="567" w:hanging="567"/>
        <w:rPr>
          <w:color w:val="FF0000"/>
          <w:lang w:val="es-CO"/>
        </w:rPr>
      </w:pPr>
      <w:r w:rsidRPr="000B5C30">
        <w:rPr>
          <w:b/>
        </w:rPr>
        <w:t xml:space="preserve">El precio en </w:t>
      </w:r>
      <w:r w:rsidRPr="000B5C30">
        <w:rPr>
          <w:b/>
          <w:lang w:val="es-CO"/>
        </w:rPr>
        <w:t xml:space="preserve">el contrato </w:t>
      </w:r>
      <w:r w:rsidRPr="000B5C30">
        <w:rPr>
          <w:b/>
        </w:rPr>
        <w:t xml:space="preserve">que se suscriba y registre, deberá ser igual </w:t>
      </w:r>
      <w:r w:rsidRPr="0030393A">
        <w:rPr>
          <w:b/>
          <w:lang w:val="es-CO"/>
        </w:rPr>
        <w:t xml:space="preserve">entre </w:t>
      </w:r>
      <w:r w:rsidRPr="0030393A">
        <w:rPr>
          <w:b/>
        </w:rPr>
        <w:t xml:space="preserve">cada Trimestre Estándar </w:t>
      </w:r>
      <w:r w:rsidRPr="0030393A">
        <w:rPr>
          <w:b/>
          <w:lang w:val="es-CO"/>
        </w:rPr>
        <w:t xml:space="preserve">de ejecución del contrato </w:t>
      </w:r>
      <w:r w:rsidRPr="0030393A">
        <w:rPr>
          <w:b/>
        </w:rPr>
        <w:t xml:space="preserve">en los casos resultantes de negociaciones directas, y podrá ser diferente en aquellos casos en que el suministro en un Trimestre Estándar haya sido asignado mediante </w:t>
      </w:r>
      <w:r w:rsidR="00B04003" w:rsidRPr="0030393A">
        <w:rPr>
          <w:b/>
          <w:lang w:val="es-CO"/>
        </w:rPr>
        <w:t xml:space="preserve">la </w:t>
      </w:r>
      <w:r w:rsidRPr="0030393A">
        <w:rPr>
          <w:b/>
        </w:rPr>
        <w:t xml:space="preserve">subasta </w:t>
      </w:r>
      <w:r w:rsidR="00B04003" w:rsidRPr="0030393A">
        <w:rPr>
          <w:b/>
          <w:lang w:val="es-CO"/>
        </w:rPr>
        <w:t xml:space="preserve">reglamentada en el Anexo 7 de la presente resolución, </w:t>
      </w:r>
      <w:r w:rsidRPr="0030393A">
        <w:rPr>
          <w:b/>
        </w:rPr>
        <w:t>o el mecanismo de mercado utilizado cuando hay oferta comercial deficitaria.</w:t>
      </w:r>
      <w:r w:rsidRPr="0030393A">
        <w:rPr>
          <w:b/>
          <w:lang w:val="es-CO"/>
        </w:rPr>
        <w:t xml:space="preserve"> Tal precio podrá variar como resultado de la aplicación de las ecuaciones de actualización periódica de precios que se haya pactado</w:t>
      </w:r>
      <w:r w:rsidR="006B77A4" w:rsidRPr="0030393A">
        <w:rPr>
          <w:b/>
          <w:lang w:val="es-CO"/>
        </w:rPr>
        <w:t>, para lo cual se deberá tener en cuenta lo establecido en el numeral 6 del Anexo 3 de la presente resolución cuando se haya utilizado el mecanismo de subasta reglamentado en dicho Anexo.</w:t>
      </w:r>
      <w:r w:rsidRPr="0030393A">
        <w:rPr>
          <w:b/>
          <w:lang w:val="es-CO"/>
        </w:rPr>
        <w:t xml:space="preserve"> </w:t>
      </w:r>
      <w:r w:rsidR="006B77A4" w:rsidRPr="0030393A">
        <w:rPr>
          <w:b/>
          <w:lang w:val="es-CO"/>
        </w:rPr>
        <w:t>También podrá variar el preci</w:t>
      </w:r>
      <w:r w:rsidRPr="0030393A">
        <w:rPr>
          <w:b/>
          <w:lang w:val="es-CO"/>
        </w:rPr>
        <w:t>o como resultado de lo establecido en el numeral 6 del presente artículo.</w:t>
      </w:r>
    </w:p>
    <w:p w14:paraId="08DF8FE1" w14:textId="77777777" w:rsidR="00915502" w:rsidRPr="0030393A" w:rsidRDefault="00915502" w:rsidP="00915502">
      <w:pPr>
        <w:pStyle w:val="Prrafodelista"/>
        <w:rPr>
          <w:b/>
        </w:rPr>
      </w:pPr>
    </w:p>
    <w:p w14:paraId="039F5514" w14:textId="67C6318D" w:rsidR="00915502" w:rsidRPr="0030393A" w:rsidRDefault="00915502" w:rsidP="00915502">
      <w:pPr>
        <w:pStyle w:val="ARTICULOS"/>
        <w:numPr>
          <w:ilvl w:val="1"/>
          <w:numId w:val="56"/>
        </w:numPr>
        <w:ind w:left="567" w:hanging="567"/>
        <w:rPr>
          <w:color w:val="000000" w:themeColor="text1"/>
          <w:lang w:val="es-CO"/>
        </w:rPr>
      </w:pPr>
      <w:r w:rsidRPr="0030393A">
        <w:rPr>
          <w:b/>
        </w:rPr>
        <w:t xml:space="preserve">En cualquier caso, el precio del gas </w:t>
      </w:r>
      <w:r w:rsidRPr="0030393A">
        <w:rPr>
          <w:b/>
          <w:lang w:val="es-CO"/>
        </w:rPr>
        <w:t xml:space="preserve">cuando se dé inicio </w:t>
      </w:r>
      <w:r w:rsidRPr="0030393A">
        <w:rPr>
          <w:b/>
        </w:rPr>
        <w:t>el suministro</w:t>
      </w:r>
      <w:r w:rsidRPr="0030393A">
        <w:rPr>
          <w:b/>
          <w:lang w:val="es-CO"/>
        </w:rPr>
        <w:t>,</w:t>
      </w:r>
      <w:r w:rsidRPr="0030393A">
        <w:rPr>
          <w:b/>
        </w:rPr>
        <w:t xml:space="preserve"> deberá corresponder al precio pactado </w:t>
      </w:r>
      <w:r w:rsidRPr="0030393A">
        <w:rPr>
          <w:b/>
          <w:lang w:val="es-CO"/>
        </w:rPr>
        <w:t>para dicho inicio</w:t>
      </w:r>
      <w:r w:rsidRPr="0030393A">
        <w:rPr>
          <w:b/>
        </w:rPr>
        <w:t xml:space="preserve"> por las partes </w:t>
      </w:r>
      <w:r w:rsidRPr="0030393A">
        <w:rPr>
          <w:b/>
        </w:rPr>
        <w:lastRenderedPageBreak/>
        <w:t xml:space="preserve">al momento </w:t>
      </w:r>
      <w:r w:rsidRPr="0030393A">
        <w:rPr>
          <w:b/>
          <w:lang w:val="es-CO"/>
        </w:rPr>
        <w:t xml:space="preserve">del registro </w:t>
      </w:r>
      <w:r w:rsidRPr="0030393A">
        <w:rPr>
          <w:b/>
        </w:rPr>
        <w:t>del contrato</w:t>
      </w:r>
      <w:r w:rsidRPr="0030393A">
        <w:rPr>
          <w:b/>
          <w:lang w:val="es-CO"/>
        </w:rPr>
        <w:t xml:space="preserve"> ante el </w:t>
      </w:r>
      <w:r w:rsidR="004000FA" w:rsidRPr="0030393A">
        <w:rPr>
          <w:b/>
          <w:lang w:val="es-CO"/>
        </w:rPr>
        <w:t>G</w:t>
      </w:r>
      <w:r w:rsidRPr="0030393A">
        <w:rPr>
          <w:b/>
          <w:lang w:val="es-CO"/>
        </w:rPr>
        <w:t>estor del Mercado</w:t>
      </w:r>
      <w:r w:rsidRPr="0030393A">
        <w:rPr>
          <w:b/>
        </w:rPr>
        <w:t>.</w:t>
      </w:r>
    </w:p>
    <w:p w14:paraId="128F856F" w14:textId="77777777" w:rsidR="00915502" w:rsidRPr="0030393A" w:rsidRDefault="00915502" w:rsidP="00915502">
      <w:pPr>
        <w:pStyle w:val="Prrafodelista"/>
        <w:rPr>
          <w:color w:val="000000" w:themeColor="text1"/>
        </w:rPr>
      </w:pPr>
    </w:p>
    <w:p w14:paraId="12DBD1F1" w14:textId="4B3FCB42" w:rsidR="00915502" w:rsidRPr="0030393A" w:rsidRDefault="00915502" w:rsidP="00915502">
      <w:pPr>
        <w:pStyle w:val="ARTICULOS"/>
        <w:numPr>
          <w:ilvl w:val="1"/>
          <w:numId w:val="56"/>
        </w:numPr>
        <w:ind w:left="567" w:hanging="567"/>
        <w:rPr>
          <w:b/>
          <w:bCs w:val="0"/>
          <w:color w:val="000000" w:themeColor="text1"/>
          <w:lang w:val="es-CO"/>
        </w:rPr>
      </w:pPr>
      <w:r w:rsidRPr="0030393A">
        <w:rPr>
          <w:b/>
          <w:bCs w:val="0"/>
          <w:color w:val="000000" w:themeColor="text1"/>
          <w:lang w:val="es-CO"/>
        </w:rPr>
        <w:t>En el caso de los contratos resultantes de las negociaciones directas en que no se utilice como mecanismo de comercialización un proceso de concurrencia de interesados, el precio al inicio de suministro de un contrato podrá ser un precio fijo determinado al momento de registro del contrato ante el Gestor del Mercado, o un precio variable que utilice como referencia uno o vario</w:t>
      </w:r>
      <w:r w:rsidR="00A87850" w:rsidRPr="0030393A">
        <w:rPr>
          <w:b/>
          <w:bCs w:val="0"/>
          <w:color w:val="000000" w:themeColor="text1"/>
          <w:lang w:val="es-CO"/>
        </w:rPr>
        <w:t xml:space="preserve">s </w:t>
      </w:r>
      <w:r w:rsidRPr="0030393A">
        <w:rPr>
          <w:b/>
          <w:bCs w:val="0"/>
          <w:color w:val="000000" w:themeColor="text1"/>
          <w:lang w:val="es-CO"/>
        </w:rPr>
        <w:t xml:space="preserve">índices de referencia nacionales o internacionales, acordados por las partes.  </w:t>
      </w:r>
    </w:p>
    <w:p w14:paraId="1611B796" w14:textId="77777777" w:rsidR="00915502" w:rsidRPr="0030393A" w:rsidRDefault="00915502" w:rsidP="00915502">
      <w:pPr>
        <w:pStyle w:val="ARTICULOS"/>
        <w:numPr>
          <w:ilvl w:val="0"/>
          <w:numId w:val="0"/>
        </w:numPr>
        <w:rPr>
          <w:b/>
          <w:bCs w:val="0"/>
          <w:color w:val="000000" w:themeColor="text1"/>
          <w:lang w:val="es-CO"/>
        </w:rPr>
      </w:pPr>
    </w:p>
    <w:p w14:paraId="219F58C6" w14:textId="5E69261E" w:rsidR="00915502" w:rsidRPr="0030393A" w:rsidRDefault="00915502" w:rsidP="00915502">
      <w:pPr>
        <w:pStyle w:val="ARTICULOS"/>
        <w:numPr>
          <w:ilvl w:val="1"/>
          <w:numId w:val="56"/>
        </w:numPr>
        <w:ind w:left="567" w:hanging="567"/>
        <w:rPr>
          <w:color w:val="000000" w:themeColor="text1"/>
          <w:lang w:val="es-CO"/>
        </w:rPr>
      </w:pPr>
      <w:r w:rsidRPr="0030393A">
        <w:rPr>
          <w:b/>
        </w:rPr>
        <w:t>Las partes de los contratos podrán acordar modificaciones al precio inicial del contrato</w:t>
      </w:r>
      <w:r w:rsidRPr="0030393A">
        <w:rPr>
          <w:b/>
          <w:lang w:val="es-CO"/>
        </w:rPr>
        <w:t xml:space="preserve"> registrado ante el Gestor del Mercado, o a las ecuaciones para la actualización de los precios en forma periódica, siempre y cuando </w:t>
      </w:r>
      <w:r w:rsidR="00A955B9" w:rsidRPr="0030393A">
        <w:rPr>
          <w:b/>
          <w:bCs w:val="0"/>
          <w:szCs w:val="20"/>
          <w:lang w:val="es-CO"/>
        </w:rPr>
        <w:t>la</w:t>
      </w:r>
      <w:r w:rsidRPr="0030393A">
        <w:rPr>
          <w:b/>
          <w:bCs w:val="0"/>
          <w:szCs w:val="20"/>
          <w:lang w:val="es-CO"/>
        </w:rPr>
        <w:t xml:space="preserve"> modificación </w:t>
      </w:r>
      <w:r w:rsidR="00A955B9" w:rsidRPr="0030393A">
        <w:rPr>
          <w:b/>
          <w:bCs w:val="0"/>
          <w:szCs w:val="20"/>
          <w:lang w:val="es-CO"/>
        </w:rPr>
        <w:t>del</w:t>
      </w:r>
      <w:r w:rsidRPr="0030393A">
        <w:rPr>
          <w:b/>
          <w:bCs w:val="0"/>
          <w:szCs w:val="20"/>
          <w:lang w:val="es-CO"/>
        </w:rPr>
        <w:t xml:space="preserve"> contrato registrado ante el Gestor del Mercado </w:t>
      </w:r>
      <w:r w:rsidR="00A01657">
        <w:rPr>
          <w:b/>
          <w:bCs w:val="0"/>
          <w:szCs w:val="20"/>
          <w:lang w:val="es-CO"/>
        </w:rPr>
        <w:t xml:space="preserve">no </w:t>
      </w:r>
      <w:r w:rsidR="00A87850" w:rsidRPr="0030393A">
        <w:rPr>
          <w:b/>
          <w:bCs w:val="0"/>
          <w:szCs w:val="20"/>
          <w:lang w:val="es-CO"/>
        </w:rPr>
        <w:t>tenga</w:t>
      </w:r>
      <w:r w:rsidRPr="0030393A">
        <w:rPr>
          <w:b/>
          <w:bCs w:val="0"/>
          <w:szCs w:val="20"/>
          <w:lang w:val="es-CO"/>
        </w:rPr>
        <w:t xml:space="preserve"> la capacidad, el propósito o el efecto de ir en detrimento de los derechos e intereses de los usuarios, así como alterar los propósitos y principios establecidos en esta resolución</w:t>
      </w:r>
      <w:r w:rsidRPr="0030393A">
        <w:rPr>
          <w:b/>
          <w:lang w:val="es-CO"/>
        </w:rPr>
        <w:t xml:space="preserve">. </w:t>
      </w:r>
    </w:p>
    <w:p w14:paraId="577FB3D7" w14:textId="77777777" w:rsidR="00DF3A94" w:rsidRPr="0030393A" w:rsidRDefault="00DF3A94" w:rsidP="002D5416">
      <w:pPr>
        <w:pStyle w:val="ARTICULOS"/>
        <w:numPr>
          <w:ilvl w:val="0"/>
          <w:numId w:val="0"/>
        </w:numPr>
        <w:ind w:left="567"/>
        <w:rPr>
          <w:color w:val="000000" w:themeColor="text1"/>
          <w:lang w:val="es-CO"/>
        </w:rPr>
      </w:pPr>
    </w:p>
    <w:p w14:paraId="3E7A2848" w14:textId="149F94BA" w:rsidR="00DF3A94" w:rsidRPr="0030393A" w:rsidRDefault="004000FA" w:rsidP="00915502">
      <w:pPr>
        <w:pStyle w:val="ARTICULOS"/>
        <w:numPr>
          <w:ilvl w:val="1"/>
          <w:numId w:val="56"/>
        </w:numPr>
        <w:ind w:left="567" w:hanging="567"/>
        <w:rPr>
          <w:b/>
          <w:bCs w:val="0"/>
          <w:color w:val="000000" w:themeColor="text1"/>
          <w:lang w:val="es-CO"/>
        </w:rPr>
      </w:pPr>
      <w:r w:rsidRPr="0030393A">
        <w:rPr>
          <w:b/>
          <w:bCs w:val="0"/>
          <w:color w:val="000000" w:themeColor="text1"/>
          <w:lang w:val="es-CO"/>
        </w:rPr>
        <w:t>El vendedor</w:t>
      </w:r>
      <w:r w:rsidR="00DF3A94" w:rsidRPr="0030393A">
        <w:rPr>
          <w:b/>
          <w:bCs w:val="0"/>
          <w:color w:val="000000" w:themeColor="text1"/>
          <w:lang w:val="es-CO"/>
        </w:rPr>
        <w:t xml:space="preserve"> debe ofrecer a todos los compradores que suscribieron contratos de un mismo proceso de concurrencia, </w:t>
      </w:r>
      <w:r w:rsidRPr="0030393A">
        <w:rPr>
          <w:b/>
          <w:bCs w:val="0"/>
          <w:color w:val="000000" w:themeColor="text1"/>
          <w:lang w:val="es-CO"/>
        </w:rPr>
        <w:t xml:space="preserve">cualquier propuesta de </w:t>
      </w:r>
      <w:r w:rsidR="00DF3A94" w:rsidRPr="0030393A">
        <w:rPr>
          <w:b/>
          <w:bCs w:val="0"/>
          <w:color w:val="000000" w:themeColor="text1"/>
          <w:lang w:val="es-CO"/>
        </w:rPr>
        <w:t>cambio de fórmulas de actualización de precios</w:t>
      </w:r>
      <w:r w:rsidRPr="0030393A">
        <w:rPr>
          <w:b/>
          <w:bCs w:val="0"/>
          <w:color w:val="000000" w:themeColor="text1"/>
          <w:lang w:val="es-CO"/>
        </w:rPr>
        <w:t>,</w:t>
      </w:r>
      <w:r w:rsidR="005219DB" w:rsidRPr="0030393A">
        <w:rPr>
          <w:b/>
          <w:bCs w:val="0"/>
          <w:color w:val="000000" w:themeColor="text1"/>
          <w:lang w:val="es-CO"/>
        </w:rPr>
        <w:t xml:space="preserve"> </w:t>
      </w:r>
      <w:r w:rsidR="00EE622C" w:rsidRPr="0030393A">
        <w:rPr>
          <w:b/>
          <w:bCs w:val="0"/>
          <w:color w:val="000000" w:themeColor="text1"/>
          <w:lang w:val="es-CO"/>
        </w:rPr>
        <w:t xml:space="preserve">la </w:t>
      </w:r>
      <w:r w:rsidR="005219DB" w:rsidRPr="0030393A">
        <w:rPr>
          <w:b/>
          <w:bCs w:val="0"/>
          <w:color w:val="000000" w:themeColor="text1"/>
          <w:lang w:val="es-CO"/>
        </w:rPr>
        <w:t>que p</w:t>
      </w:r>
      <w:r w:rsidRPr="0030393A">
        <w:rPr>
          <w:b/>
          <w:bCs w:val="0"/>
          <w:color w:val="000000" w:themeColor="text1"/>
          <w:lang w:val="es-CO"/>
        </w:rPr>
        <w:t>odrá</w:t>
      </w:r>
      <w:r w:rsidR="005219DB" w:rsidRPr="0030393A">
        <w:rPr>
          <w:b/>
          <w:bCs w:val="0"/>
          <w:color w:val="000000" w:themeColor="text1"/>
          <w:lang w:val="es-CO"/>
        </w:rPr>
        <w:t xml:space="preserve"> ser aceptad</w:t>
      </w:r>
      <w:r w:rsidR="00EE622C" w:rsidRPr="0030393A">
        <w:rPr>
          <w:b/>
          <w:bCs w:val="0"/>
          <w:color w:val="000000" w:themeColor="text1"/>
          <w:lang w:val="es-CO"/>
        </w:rPr>
        <w:t>a</w:t>
      </w:r>
      <w:r w:rsidR="005219DB" w:rsidRPr="0030393A">
        <w:rPr>
          <w:b/>
          <w:bCs w:val="0"/>
          <w:color w:val="000000" w:themeColor="text1"/>
          <w:lang w:val="es-CO"/>
        </w:rPr>
        <w:t xml:space="preserve"> por uno o varios de los compradores, </w:t>
      </w:r>
      <w:r w:rsidRPr="0030393A">
        <w:rPr>
          <w:b/>
          <w:bCs w:val="0"/>
          <w:color w:val="000000" w:themeColor="text1"/>
          <w:lang w:val="es-CO"/>
        </w:rPr>
        <w:t>sin que ello obligue a su aplicación con</w:t>
      </w:r>
      <w:r w:rsidR="005219DB" w:rsidRPr="0030393A">
        <w:rPr>
          <w:b/>
          <w:bCs w:val="0"/>
          <w:color w:val="000000" w:themeColor="text1"/>
          <w:lang w:val="es-CO"/>
        </w:rPr>
        <w:t xml:space="preserve"> los demás compradores</w:t>
      </w:r>
      <w:r w:rsidR="00DF3A94" w:rsidRPr="0030393A">
        <w:rPr>
          <w:b/>
          <w:bCs w:val="0"/>
          <w:color w:val="000000" w:themeColor="text1"/>
          <w:lang w:val="es-CO"/>
        </w:rPr>
        <w:t>.</w:t>
      </w:r>
    </w:p>
    <w:p w14:paraId="33DDB664" w14:textId="77777777" w:rsidR="00DF3A94" w:rsidRPr="0030393A" w:rsidRDefault="00DF3A94" w:rsidP="002D5416">
      <w:pPr>
        <w:pStyle w:val="ARTICULOS"/>
        <w:numPr>
          <w:ilvl w:val="0"/>
          <w:numId w:val="0"/>
        </w:numPr>
        <w:ind w:left="567"/>
        <w:rPr>
          <w:color w:val="000000" w:themeColor="text1"/>
          <w:lang w:val="es-CO"/>
        </w:rPr>
      </w:pPr>
    </w:p>
    <w:p w14:paraId="7A9CE9AD" w14:textId="77777777" w:rsidR="00915502" w:rsidRPr="0030393A" w:rsidRDefault="00915502" w:rsidP="00915502">
      <w:pPr>
        <w:pStyle w:val="ARTICULOS"/>
        <w:numPr>
          <w:ilvl w:val="1"/>
          <w:numId w:val="56"/>
        </w:numPr>
        <w:ind w:left="567" w:hanging="567"/>
        <w:rPr>
          <w:color w:val="000000" w:themeColor="text1"/>
          <w:lang w:val="es-CO"/>
        </w:rPr>
      </w:pPr>
      <w:r w:rsidRPr="0030393A">
        <w:rPr>
          <w:b/>
        </w:rPr>
        <w:t>Los descuentos que se realicen se considerarán como una modificación al precio inicial del contrato.</w:t>
      </w:r>
    </w:p>
    <w:p w14:paraId="70BD8B9A" w14:textId="77777777" w:rsidR="00915502" w:rsidRPr="0030393A" w:rsidRDefault="00915502" w:rsidP="00915502">
      <w:pPr>
        <w:pStyle w:val="Prrafodelista"/>
        <w:rPr>
          <w:b/>
          <w:color w:val="000000" w:themeColor="text1"/>
        </w:rPr>
      </w:pPr>
    </w:p>
    <w:p w14:paraId="32A19998" w14:textId="77777777" w:rsidR="00915502" w:rsidRPr="0030393A" w:rsidRDefault="00915502" w:rsidP="00915502">
      <w:pPr>
        <w:pStyle w:val="ARTICULOS"/>
        <w:numPr>
          <w:ilvl w:val="0"/>
          <w:numId w:val="0"/>
        </w:numPr>
        <w:rPr>
          <w:b/>
          <w:bCs w:val="0"/>
          <w:color w:val="000000" w:themeColor="text1"/>
          <w:lang w:val="es-CO"/>
        </w:rPr>
      </w:pPr>
      <w:r w:rsidRPr="0030393A">
        <w:rPr>
          <w:b/>
          <w:bCs w:val="0"/>
          <w:szCs w:val="20"/>
          <w:lang w:val="es-CO"/>
        </w:rPr>
        <w:t xml:space="preserve">Parágrafo. </w:t>
      </w:r>
      <w:r w:rsidRPr="0030393A">
        <w:rPr>
          <w:b/>
          <w:bCs w:val="0"/>
          <w:color w:val="000000" w:themeColor="text1"/>
          <w:lang w:val="es-CO"/>
        </w:rPr>
        <w:t>En Resolución aparte la CREG definirá a los comercializadores que atienden la demanda regulada, las condiciones de traslado de los costos incurridos en la contratación del suministro de gas, derivados de los precios pactados y/o de las ecuaciones de actualización de los precios pactados en los contratos registrados ante el Gestor del Mercado.</w:t>
      </w:r>
    </w:p>
    <w:p w14:paraId="0C47C41E" w14:textId="77777777" w:rsidR="00915502" w:rsidRPr="0030393A" w:rsidRDefault="00915502" w:rsidP="002D5416">
      <w:pPr>
        <w:pStyle w:val="ARTICULOS"/>
        <w:numPr>
          <w:ilvl w:val="0"/>
          <w:numId w:val="0"/>
        </w:numPr>
        <w:rPr>
          <w:b/>
          <w:bCs w:val="0"/>
        </w:rPr>
      </w:pPr>
    </w:p>
    <w:p w14:paraId="312908FD" w14:textId="17517DF1" w:rsidR="0006302B" w:rsidRPr="0030393A" w:rsidRDefault="0006302B" w:rsidP="0006302B">
      <w:pPr>
        <w:pStyle w:val="ARTICULOS"/>
        <w:rPr>
          <w:b/>
          <w:bCs w:val="0"/>
        </w:rPr>
      </w:pPr>
      <w:r w:rsidRPr="0030393A">
        <w:rPr>
          <w:b/>
          <w:bCs w:val="0"/>
        </w:rPr>
        <w:t xml:space="preserve">Comercialización conjunta de la producción de Fuentes de Suministro </w:t>
      </w:r>
      <w:r w:rsidR="00915502" w:rsidRPr="0030393A">
        <w:rPr>
          <w:b/>
          <w:bCs w:val="0"/>
          <w:lang w:val="es-CO"/>
        </w:rPr>
        <w:t xml:space="preserve">nuevas </w:t>
      </w:r>
      <w:r w:rsidRPr="0030393A">
        <w:rPr>
          <w:b/>
          <w:bCs w:val="0"/>
        </w:rPr>
        <w:t>costa afuera</w:t>
      </w:r>
      <w:r w:rsidR="00094288" w:rsidRPr="0030393A">
        <w:rPr>
          <w:b/>
          <w:bCs w:val="0"/>
          <w:lang w:val="es-CO"/>
        </w:rPr>
        <w:t xml:space="preserve"> y YNC</w:t>
      </w:r>
      <w:r w:rsidRPr="0030393A">
        <w:rPr>
          <w:b/>
          <w:bCs w:val="0"/>
        </w:rPr>
        <w:t xml:space="preserve">. Los socios de </w:t>
      </w:r>
      <w:r w:rsidRPr="0030393A">
        <w:rPr>
          <w:b/>
          <w:bCs w:val="0"/>
          <w:lang w:val="es-ES"/>
        </w:rPr>
        <w:t>un contrato de Asociación o</w:t>
      </w:r>
      <w:r w:rsidRPr="0030393A">
        <w:rPr>
          <w:b/>
          <w:bCs w:val="0"/>
        </w:rPr>
        <w:t xml:space="preserve"> </w:t>
      </w:r>
      <w:r w:rsidRPr="0030393A">
        <w:rPr>
          <w:b/>
          <w:bCs w:val="0"/>
          <w:lang w:val="es-ES"/>
        </w:rPr>
        <w:t xml:space="preserve">los </w:t>
      </w:r>
      <w:r w:rsidR="00616C92" w:rsidRPr="0030393A">
        <w:rPr>
          <w:b/>
          <w:bCs w:val="0"/>
          <w:lang w:val="es-ES"/>
        </w:rPr>
        <w:t>Participante</w:t>
      </w:r>
      <w:r w:rsidRPr="0030393A">
        <w:rPr>
          <w:b/>
          <w:bCs w:val="0"/>
          <w:lang w:val="es-ES"/>
        </w:rPr>
        <w:t xml:space="preserve">s </w:t>
      </w:r>
      <w:r w:rsidRPr="0030393A">
        <w:rPr>
          <w:b/>
          <w:bCs w:val="0"/>
        </w:rPr>
        <w:t>de un contrato de exploración y producción</w:t>
      </w:r>
      <w:r w:rsidR="00136324" w:rsidRPr="0030393A">
        <w:rPr>
          <w:b/>
          <w:bCs w:val="0"/>
          <w:lang w:val="es-CO"/>
        </w:rPr>
        <w:t xml:space="preserve"> de hidrocarburos</w:t>
      </w:r>
      <w:r w:rsidRPr="0030393A">
        <w:rPr>
          <w:b/>
          <w:bCs w:val="0"/>
          <w:lang w:val="es-ES"/>
        </w:rPr>
        <w:t>,</w:t>
      </w:r>
      <w:r w:rsidRPr="0030393A">
        <w:rPr>
          <w:b/>
          <w:bCs w:val="0"/>
        </w:rPr>
        <w:t xml:space="preserve"> </w:t>
      </w:r>
      <w:r w:rsidRPr="0030393A">
        <w:rPr>
          <w:b/>
          <w:bCs w:val="0"/>
          <w:lang w:val="es-ES"/>
        </w:rPr>
        <w:t xml:space="preserve">que cuenten con </w:t>
      </w:r>
      <w:r w:rsidRPr="0030393A">
        <w:rPr>
          <w:b/>
          <w:bCs w:val="0"/>
        </w:rPr>
        <w:t>una Fuente de Suministro ubicada costa afuera</w:t>
      </w:r>
      <w:r w:rsidRPr="0030393A">
        <w:rPr>
          <w:b/>
          <w:bCs w:val="0"/>
          <w:lang w:val="es-ES"/>
        </w:rPr>
        <w:t xml:space="preserve"> o que sea un Yacimiento no Convencional</w:t>
      </w:r>
      <w:r w:rsidR="000F760E" w:rsidRPr="0030393A">
        <w:rPr>
          <w:b/>
          <w:bCs w:val="0"/>
          <w:lang w:val="es-ES"/>
        </w:rPr>
        <w:t xml:space="preserve"> </w:t>
      </w:r>
      <w:r w:rsidR="00136324" w:rsidRPr="0030393A">
        <w:rPr>
          <w:b/>
          <w:bCs w:val="0"/>
          <w:lang w:val="es-ES"/>
        </w:rPr>
        <w:t>y que a la fecha de publicación de la presente resolución no hayan declarado la comercialidad de dicha fuente ante la ANH</w:t>
      </w:r>
      <w:r w:rsidRPr="0030393A">
        <w:rPr>
          <w:b/>
          <w:bCs w:val="0"/>
        </w:rPr>
        <w:t xml:space="preserve">, podrán comercializar la producción de gas natural de dicha fuente o de dicho contrato mediante la comercialización conjunta definida en la Resolución CREG 093 de 2006 o aquella que la modifique o sustituya, </w:t>
      </w:r>
      <w:r w:rsidRPr="0030393A">
        <w:rPr>
          <w:b/>
          <w:bCs w:val="0"/>
          <w:lang w:val="es-ES"/>
        </w:rPr>
        <w:t xml:space="preserve">sin necesidad de la autorización a la que se refiere el </w:t>
      </w:r>
      <w:r w:rsidR="001002E0">
        <w:rPr>
          <w:b/>
          <w:bCs w:val="0"/>
          <w:lang w:val="es-ES"/>
        </w:rPr>
        <w:t>a</w:t>
      </w:r>
      <w:r w:rsidRPr="0030393A">
        <w:rPr>
          <w:b/>
          <w:bCs w:val="0"/>
          <w:lang w:val="es-ES"/>
        </w:rPr>
        <w:t>rtículo 3 de</w:t>
      </w:r>
      <w:r w:rsidRPr="0030393A">
        <w:rPr>
          <w:b/>
          <w:bCs w:val="0"/>
        </w:rPr>
        <w:t xml:space="preserve"> la </w:t>
      </w:r>
      <w:r w:rsidRPr="0030393A">
        <w:rPr>
          <w:b/>
          <w:bCs w:val="0"/>
          <w:lang w:val="es-ES"/>
        </w:rPr>
        <w:t>misma Resolución</w:t>
      </w:r>
      <w:r w:rsidRPr="0030393A">
        <w:rPr>
          <w:b/>
          <w:bCs w:val="0"/>
        </w:rPr>
        <w:t xml:space="preserve"> o aquella que la modifique o sustituya.</w:t>
      </w:r>
    </w:p>
    <w:p w14:paraId="0E4AA7EE" w14:textId="77777777" w:rsidR="0006302B" w:rsidRPr="0030393A" w:rsidRDefault="0006302B" w:rsidP="0006302B">
      <w:pPr>
        <w:pStyle w:val="ARTICULOS"/>
        <w:numPr>
          <w:ilvl w:val="0"/>
          <w:numId w:val="0"/>
        </w:numPr>
        <w:rPr>
          <w:b/>
          <w:bCs w:val="0"/>
        </w:rPr>
      </w:pPr>
    </w:p>
    <w:bookmarkEnd w:id="65"/>
    <w:bookmarkEnd w:id="66"/>
    <w:p w14:paraId="40A1FDC7" w14:textId="7D1DE0B2" w:rsidR="00B152D1" w:rsidRPr="0030393A" w:rsidRDefault="00B152D1" w:rsidP="00765474">
      <w:pPr>
        <w:tabs>
          <w:tab w:val="left" w:pos="284"/>
        </w:tabs>
        <w:ind w:left="0"/>
        <w:jc w:val="both"/>
        <w:rPr>
          <w:rFonts w:ascii="Bookman Old Style" w:hAnsi="Bookman Old Style"/>
          <w:b/>
          <w:bCs/>
          <w:szCs w:val="20"/>
          <w:lang w:val="es-CO"/>
        </w:rPr>
      </w:pPr>
    </w:p>
    <w:p w14:paraId="63EE022E" w14:textId="77777777" w:rsidR="00872782" w:rsidRPr="0030393A" w:rsidRDefault="00872782" w:rsidP="0006302B">
      <w:pPr>
        <w:pStyle w:val="ARTICULOS"/>
        <w:numPr>
          <w:ilvl w:val="0"/>
          <w:numId w:val="0"/>
        </w:numPr>
        <w:rPr>
          <w:rFonts w:cs="Arial"/>
          <w:color w:val="000000" w:themeColor="text1"/>
          <w:lang w:val="es-CO"/>
        </w:rPr>
      </w:pPr>
    </w:p>
    <w:p w14:paraId="2FCFB99F" w14:textId="77777777" w:rsidR="0006302B" w:rsidRPr="0030393A" w:rsidRDefault="0006302B" w:rsidP="0006302B">
      <w:pPr>
        <w:pStyle w:val="ARTICULOS"/>
        <w:numPr>
          <w:ilvl w:val="0"/>
          <w:numId w:val="0"/>
        </w:numPr>
        <w:jc w:val="center"/>
        <w:rPr>
          <w:rFonts w:cs="Arial"/>
          <w:b/>
          <w:color w:val="000000" w:themeColor="text1"/>
          <w:lang w:val="es-CO"/>
        </w:rPr>
      </w:pPr>
      <w:r w:rsidRPr="0030393A">
        <w:rPr>
          <w:rFonts w:cs="Arial"/>
          <w:b/>
          <w:color w:val="000000" w:themeColor="text1"/>
          <w:lang w:val="es-CO"/>
        </w:rPr>
        <w:t>Título IV</w:t>
      </w:r>
    </w:p>
    <w:p w14:paraId="4F10E5BF" w14:textId="77777777" w:rsidR="0006302B" w:rsidRPr="0030393A" w:rsidRDefault="0006302B" w:rsidP="0006302B">
      <w:pPr>
        <w:keepNext/>
        <w:ind w:left="0"/>
        <w:jc w:val="center"/>
        <w:rPr>
          <w:rFonts w:ascii="Bookman Old Style" w:hAnsi="Bookman Old Style" w:cs="Arial"/>
          <w:b/>
          <w:bCs/>
          <w:color w:val="000000" w:themeColor="text1"/>
          <w:lang w:val="es-CO"/>
        </w:rPr>
      </w:pPr>
      <w:r w:rsidRPr="0030393A">
        <w:rPr>
          <w:rFonts w:ascii="Bookman Old Style" w:hAnsi="Bookman Old Style" w:cs="Arial"/>
          <w:b/>
          <w:bCs/>
          <w:color w:val="000000" w:themeColor="text1"/>
          <w:lang w:val="es-CO"/>
        </w:rPr>
        <w:t>Aspectos comerciales del mercado secundario</w:t>
      </w:r>
    </w:p>
    <w:p w14:paraId="564ABA2F" w14:textId="77777777" w:rsidR="0006302B" w:rsidRPr="0030393A" w:rsidRDefault="0006302B" w:rsidP="0006302B">
      <w:pPr>
        <w:pStyle w:val="ARTICULOS"/>
        <w:numPr>
          <w:ilvl w:val="0"/>
          <w:numId w:val="0"/>
        </w:numPr>
        <w:tabs>
          <w:tab w:val="clear" w:pos="1559"/>
          <w:tab w:val="left" w:pos="1560"/>
        </w:tabs>
        <w:rPr>
          <w:rFonts w:cs="Arial"/>
          <w:b/>
          <w:color w:val="000000" w:themeColor="text1"/>
          <w:sz w:val="20"/>
          <w:lang w:val="es-CO"/>
        </w:rPr>
      </w:pPr>
    </w:p>
    <w:p w14:paraId="0BD58933" w14:textId="77777777" w:rsidR="0006302B" w:rsidRPr="0030393A" w:rsidRDefault="0006302B" w:rsidP="0006302B">
      <w:pPr>
        <w:keepNext/>
        <w:ind w:left="0"/>
        <w:jc w:val="center"/>
        <w:rPr>
          <w:rFonts w:cs="Arial"/>
          <w:b/>
          <w:color w:val="000000" w:themeColor="text1"/>
          <w:lang w:val="es-CO"/>
        </w:rPr>
      </w:pPr>
      <w:r w:rsidRPr="0030393A">
        <w:rPr>
          <w:rFonts w:ascii="Bookman Old Style" w:hAnsi="Bookman Old Style" w:cs="Arial"/>
          <w:b/>
          <w:bCs/>
          <w:color w:val="000000" w:themeColor="text1"/>
          <w:lang w:val="es-CO"/>
        </w:rPr>
        <w:lastRenderedPageBreak/>
        <w:t>Capítulo I</w:t>
      </w:r>
    </w:p>
    <w:p w14:paraId="19FD2120" w14:textId="77777777" w:rsidR="0006302B" w:rsidRPr="0030393A" w:rsidRDefault="0006302B" w:rsidP="0006302B">
      <w:pPr>
        <w:pStyle w:val="ARTICULOS"/>
        <w:keepNext/>
        <w:widowControl/>
        <w:numPr>
          <w:ilvl w:val="0"/>
          <w:numId w:val="0"/>
        </w:numPr>
        <w:jc w:val="center"/>
        <w:rPr>
          <w:rFonts w:cs="Arial"/>
          <w:b/>
          <w:color w:val="000000" w:themeColor="text1"/>
          <w:lang w:val="es-CO" w:eastAsia="es-ES"/>
        </w:rPr>
      </w:pPr>
      <w:r w:rsidRPr="0030393A">
        <w:rPr>
          <w:rFonts w:cs="Arial"/>
          <w:b/>
          <w:color w:val="000000" w:themeColor="text1"/>
          <w:lang w:val="es-CO" w:eastAsia="es-ES"/>
        </w:rPr>
        <w:t xml:space="preserve">Modalidades y requisitos mínimos de contratos de suministro </w:t>
      </w:r>
    </w:p>
    <w:p w14:paraId="1EEC99ED" w14:textId="77777777" w:rsidR="0006302B" w:rsidRPr="0030393A" w:rsidRDefault="0006302B" w:rsidP="0006302B">
      <w:pPr>
        <w:pStyle w:val="ARTICULOS"/>
        <w:numPr>
          <w:ilvl w:val="0"/>
          <w:numId w:val="0"/>
        </w:numPr>
        <w:rPr>
          <w:rFonts w:cs="Arial"/>
          <w:color w:val="000000" w:themeColor="text1"/>
          <w:lang w:val="es-CO"/>
        </w:rPr>
      </w:pPr>
      <w:bookmarkStart w:id="67" w:name="_Ref442867687"/>
    </w:p>
    <w:p w14:paraId="75D9CFA4" w14:textId="77777777" w:rsidR="0006302B" w:rsidRPr="0030393A" w:rsidRDefault="0006302B" w:rsidP="0006302B">
      <w:pPr>
        <w:pStyle w:val="ARTICULOS"/>
        <w:tabs>
          <w:tab w:val="clear" w:pos="1559"/>
          <w:tab w:val="left" w:pos="1560"/>
        </w:tabs>
        <w:outlineLvl w:val="0"/>
        <w:rPr>
          <w:rFonts w:cs="Arial"/>
          <w:color w:val="000000" w:themeColor="text1"/>
          <w:lang w:val="es-CO"/>
        </w:rPr>
      </w:pPr>
      <w:bookmarkStart w:id="68" w:name="_Ref329189777"/>
      <w:r w:rsidRPr="0030393A">
        <w:rPr>
          <w:rFonts w:cs="Arial"/>
          <w:b/>
          <w:color w:val="000000" w:themeColor="text1"/>
          <w:lang w:val="es-CO"/>
        </w:rPr>
        <w:t>Modalidades de contratos permitidos en el mercado secundario.</w:t>
      </w:r>
      <w:r w:rsidRPr="0030393A">
        <w:rPr>
          <w:rFonts w:cs="Arial"/>
          <w:color w:val="000000" w:themeColor="text1"/>
          <w:lang w:val="es-CO"/>
        </w:rPr>
        <w:t xml:space="preserve"> En el mercado secundario sólo podrán pactarse las siguientes modalidades de contratos </w:t>
      </w:r>
      <w:r w:rsidRPr="0030393A">
        <w:rPr>
          <w:rFonts w:cs="Arial"/>
          <w:b/>
          <w:bCs w:val="0"/>
          <w:color w:val="000000" w:themeColor="text1"/>
          <w:lang w:val="es-CO"/>
        </w:rPr>
        <w:t>para negociar los derechos de suministro adquiridos por los compradores del Mercado Primario</w:t>
      </w:r>
      <w:r w:rsidRPr="0030393A">
        <w:rPr>
          <w:rFonts w:cs="Arial"/>
          <w:color w:val="000000" w:themeColor="text1"/>
          <w:lang w:val="es-CO"/>
        </w:rPr>
        <w:t>:</w:t>
      </w:r>
      <w:bookmarkEnd w:id="68"/>
    </w:p>
    <w:p w14:paraId="3FFFCFC6" w14:textId="77777777" w:rsidR="0006302B" w:rsidRPr="0030393A" w:rsidRDefault="0006302B" w:rsidP="0006302B">
      <w:pPr>
        <w:pStyle w:val="ARTICULOS"/>
        <w:numPr>
          <w:ilvl w:val="0"/>
          <w:numId w:val="0"/>
        </w:numPr>
        <w:rPr>
          <w:rFonts w:cs="Arial"/>
          <w:color w:val="000000" w:themeColor="text1"/>
          <w:lang w:val="es-CO"/>
        </w:rPr>
      </w:pPr>
    </w:p>
    <w:p w14:paraId="53D2A8E2" w14:textId="6BBCD10D" w:rsidR="0006302B" w:rsidRPr="0030393A" w:rsidRDefault="0006302B" w:rsidP="0006302B">
      <w:pPr>
        <w:pStyle w:val="ARTICULOS"/>
        <w:numPr>
          <w:ilvl w:val="1"/>
          <w:numId w:val="17"/>
        </w:numPr>
        <w:ind w:left="567" w:hanging="567"/>
        <w:rPr>
          <w:color w:val="000000" w:themeColor="text1"/>
          <w:lang w:val="es-CO"/>
        </w:rPr>
      </w:pPr>
      <w:bookmarkStart w:id="69" w:name="_Ref334537212"/>
      <w:r w:rsidRPr="0030393A">
        <w:rPr>
          <w:color w:val="000000" w:themeColor="text1"/>
          <w:lang w:val="es-CO"/>
        </w:rPr>
        <w:t>Contrato firme o que garantiza firmeza</w:t>
      </w:r>
      <w:bookmarkEnd w:id="69"/>
      <w:r w:rsidR="004F1269" w:rsidRPr="0030393A">
        <w:rPr>
          <w:b/>
          <w:bCs w:val="0"/>
          <w:color w:val="000000" w:themeColor="text1"/>
          <w:lang w:val="es-CO"/>
        </w:rPr>
        <w:t>, CF</w:t>
      </w:r>
      <w:r w:rsidRPr="0030393A">
        <w:rPr>
          <w:color w:val="000000" w:themeColor="text1"/>
          <w:lang w:val="es-CO"/>
        </w:rPr>
        <w:t>.</w:t>
      </w:r>
    </w:p>
    <w:p w14:paraId="53A5CAA8" w14:textId="77777777" w:rsidR="0006302B" w:rsidRPr="0030393A" w:rsidRDefault="0006302B" w:rsidP="0006302B">
      <w:pPr>
        <w:pStyle w:val="ARTICULOS"/>
        <w:numPr>
          <w:ilvl w:val="0"/>
          <w:numId w:val="0"/>
        </w:numPr>
        <w:ind w:left="567"/>
        <w:rPr>
          <w:color w:val="000000" w:themeColor="text1"/>
          <w:lang w:val="es-CO"/>
        </w:rPr>
      </w:pPr>
    </w:p>
    <w:p w14:paraId="1A5C5FBB" w14:textId="69561731" w:rsidR="0006302B" w:rsidRPr="0030393A" w:rsidRDefault="0006302B" w:rsidP="0006302B">
      <w:pPr>
        <w:pStyle w:val="ARTICULOS"/>
        <w:numPr>
          <w:ilvl w:val="1"/>
          <w:numId w:val="17"/>
        </w:numPr>
        <w:ind w:left="567" w:hanging="567"/>
        <w:rPr>
          <w:color w:val="000000" w:themeColor="text1"/>
          <w:lang w:val="es-CO"/>
        </w:rPr>
      </w:pPr>
      <w:bookmarkStart w:id="70" w:name="_Ref334537216"/>
      <w:r w:rsidRPr="0030393A">
        <w:rPr>
          <w:color w:val="000000" w:themeColor="text1"/>
          <w:lang w:val="es-CO"/>
        </w:rPr>
        <w:t>Contrato de suministro con firmeza condicionada</w:t>
      </w:r>
      <w:r w:rsidR="004F1269" w:rsidRPr="0030393A">
        <w:rPr>
          <w:b/>
          <w:bCs w:val="0"/>
          <w:color w:val="000000" w:themeColor="text1"/>
          <w:lang w:val="es-CO"/>
        </w:rPr>
        <w:t>, CFC</w:t>
      </w:r>
      <w:r w:rsidRPr="0030393A">
        <w:rPr>
          <w:color w:val="000000" w:themeColor="text1"/>
          <w:lang w:val="es-CO"/>
        </w:rPr>
        <w:t>.</w:t>
      </w:r>
      <w:bookmarkEnd w:id="70"/>
    </w:p>
    <w:p w14:paraId="64D15476" w14:textId="77777777" w:rsidR="0006302B" w:rsidRPr="0030393A" w:rsidRDefault="0006302B" w:rsidP="0006302B">
      <w:pPr>
        <w:pStyle w:val="ARTICULOS"/>
        <w:numPr>
          <w:ilvl w:val="0"/>
          <w:numId w:val="0"/>
        </w:numPr>
        <w:rPr>
          <w:color w:val="000000" w:themeColor="text1"/>
          <w:lang w:val="es-CO"/>
        </w:rPr>
      </w:pPr>
    </w:p>
    <w:p w14:paraId="4DA2104D" w14:textId="615BE081" w:rsidR="0006302B" w:rsidRPr="0030393A" w:rsidRDefault="0006302B" w:rsidP="0006302B">
      <w:pPr>
        <w:pStyle w:val="ARTICULOS"/>
        <w:numPr>
          <w:ilvl w:val="1"/>
          <w:numId w:val="17"/>
        </w:numPr>
        <w:ind w:left="567" w:hanging="567"/>
        <w:rPr>
          <w:color w:val="000000" w:themeColor="text1"/>
          <w:lang w:val="es-CO"/>
        </w:rPr>
      </w:pPr>
      <w:r w:rsidRPr="0030393A">
        <w:rPr>
          <w:color w:val="000000" w:themeColor="text1"/>
          <w:lang w:val="es-CO"/>
        </w:rPr>
        <w:t>Contrato de opción de compra de gas</w:t>
      </w:r>
      <w:r w:rsidR="004F1269" w:rsidRPr="0030393A">
        <w:rPr>
          <w:b/>
          <w:bCs w:val="0"/>
          <w:color w:val="000000" w:themeColor="text1"/>
          <w:lang w:val="es-CO"/>
        </w:rPr>
        <w:t>, OCG</w:t>
      </w:r>
      <w:r w:rsidRPr="0030393A">
        <w:rPr>
          <w:color w:val="000000" w:themeColor="text1"/>
          <w:lang w:val="es-CO"/>
        </w:rPr>
        <w:t>.</w:t>
      </w:r>
    </w:p>
    <w:p w14:paraId="5D584737" w14:textId="77777777" w:rsidR="0006302B" w:rsidRPr="0030393A" w:rsidRDefault="0006302B" w:rsidP="0006302B">
      <w:pPr>
        <w:pStyle w:val="ARTICULOS"/>
        <w:numPr>
          <w:ilvl w:val="0"/>
          <w:numId w:val="0"/>
        </w:numPr>
        <w:ind w:left="567"/>
        <w:rPr>
          <w:color w:val="000000" w:themeColor="text1"/>
          <w:lang w:val="es-CO"/>
        </w:rPr>
      </w:pPr>
    </w:p>
    <w:p w14:paraId="1EB102BE" w14:textId="6B55C747" w:rsidR="0006302B" w:rsidRPr="0030393A" w:rsidRDefault="0006302B" w:rsidP="0006302B">
      <w:pPr>
        <w:pStyle w:val="ARTICULOS"/>
        <w:numPr>
          <w:ilvl w:val="1"/>
          <w:numId w:val="17"/>
        </w:numPr>
        <w:ind w:left="567" w:hanging="567"/>
        <w:rPr>
          <w:color w:val="000000" w:themeColor="text1"/>
          <w:lang w:val="es-CO"/>
        </w:rPr>
      </w:pPr>
      <w:bookmarkStart w:id="71" w:name="_Ref334537222"/>
      <w:r w:rsidRPr="0030393A">
        <w:rPr>
          <w:color w:val="000000" w:themeColor="text1"/>
          <w:lang w:val="es-CO"/>
        </w:rPr>
        <w:t>Contrato de opción de compra de gas contra exportaciones</w:t>
      </w:r>
      <w:r w:rsidR="004F1269" w:rsidRPr="0030393A">
        <w:rPr>
          <w:b/>
          <w:bCs w:val="0"/>
          <w:color w:val="000000" w:themeColor="text1"/>
          <w:lang w:val="es-CO"/>
        </w:rPr>
        <w:t>, OCGX</w:t>
      </w:r>
      <w:r w:rsidRPr="0030393A">
        <w:rPr>
          <w:color w:val="000000" w:themeColor="text1"/>
          <w:lang w:val="es-CO"/>
        </w:rPr>
        <w:t>.</w:t>
      </w:r>
    </w:p>
    <w:bookmarkEnd w:id="71"/>
    <w:p w14:paraId="07C2ECDF" w14:textId="77777777" w:rsidR="0006302B" w:rsidRPr="0030393A" w:rsidRDefault="0006302B" w:rsidP="0006302B">
      <w:pPr>
        <w:pStyle w:val="ARTICULOS"/>
        <w:numPr>
          <w:ilvl w:val="0"/>
          <w:numId w:val="0"/>
        </w:numPr>
        <w:ind w:left="567"/>
        <w:rPr>
          <w:color w:val="000000" w:themeColor="text1"/>
          <w:lang w:val="es-CO"/>
        </w:rPr>
      </w:pPr>
    </w:p>
    <w:p w14:paraId="5C05E32E" w14:textId="4C5199A7" w:rsidR="0006302B" w:rsidRPr="0030393A" w:rsidRDefault="0006302B" w:rsidP="0006302B">
      <w:pPr>
        <w:pStyle w:val="ARTICULOS"/>
        <w:numPr>
          <w:ilvl w:val="1"/>
          <w:numId w:val="17"/>
        </w:numPr>
        <w:ind w:left="567" w:hanging="567"/>
        <w:rPr>
          <w:color w:val="000000" w:themeColor="text1"/>
          <w:lang w:val="es-CO"/>
        </w:rPr>
      </w:pPr>
      <w:r w:rsidRPr="0030393A">
        <w:rPr>
          <w:color w:val="000000" w:themeColor="text1"/>
          <w:lang w:val="es-CO"/>
        </w:rPr>
        <w:t>Contrato de suministro de contingencia</w:t>
      </w:r>
      <w:r w:rsidR="004F1269" w:rsidRPr="0030393A">
        <w:rPr>
          <w:b/>
          <w:bCs w:val="0"/>
          <w:color w:val="000000" w:themeColor="text1"/>
          <w:lang w:val="es-CO"/>
        </w:rPr>
        <w:t>, CSC</w:t>
      </w:r>
      <w:r w:rsidRPr="0030393A">
        <w:rPr>
          <w:color w:val="000000" w:themeColor="text1"/>
          <w:lang w:val="es-CO"/>
        </w:rPr>
        <w:t>.</w:t>
      </w:r>
    </w:p>
    <w:p w14:paraId="68E93014" w14:textId="77777777" w:rsidR="0006302B" w:rsidRPr="0030393A" w:rsidRDefault="0006302B" w:rsidP="0006302B">
      <w:pPr>
        <w:pStyle w:val="ARTICULOS"/>
        <w:numPr>
          <w:ilvl w:val="0"/>
          <w:numId w:val="0"/>
        </w:numPr>
        <w:ind w:left="567"/>
        <w:rPr>
          <w:color w:val="000000" w:themeColor="text1"/>
          <w:lang w:val="es-CO"/>
        </w:rPr>
      </w:pPr>
    </w:p>
    <w:p w14:paraId="54E65D56" w14:textId="0894C9E8" w:rsidR="0006302B" w:rsidRPr="0030393A" w:rsidRDefault="0006302B" w:rsidP="0006302B">
      <w:pPr>
        <w:pStyle w:val="ARTICULOS"/>
        <w:numPr>
          <w:ilvl w:val="1"/>
          <w:numId w:val="17"/>
        </w:numPr>
        <w:ind w:left="567" w:hanging="567"/>
        <w:rPr>
          <w:color w:val="000000" w:themeColor="text1"/>
          <w:lang w:val="es-CO"/>
        </w:rPr>
      </w:pPr>
      <w:r w:rsidRPr="0030393A">
        <w:rPr>
          <w:color w:val="000000" w:themeColor="text1"/>
          <w:lang w:val="es-CO"/>
        </w:rPr>
        <w:t>Contrato con interrupciones</w:t>
      </w:r>
      <w:r w:rsidR="004F1269" w:rsidRPr="0030393A">
        <w:rPr>
          <w:b/>
          <w:bCs w:val="0"/>
          <w:color w:val="000000" w:themeColor="text1"/>
          <w:lang w:val="es-CO"/>
        </w:rPr>
        <w:t>, CI</w:t>
      </w:r>
      <w:r w:rsidRPr="0030393A">
        <w:rPr>
          <w:color w:val="000000" w:themeColor="text1"/>
          <w:lang w:val="es-CO"/>
        </w:rPr>
        <w:t>.</w:t>
      </w:r>
    </w:p>
    <w:p w14:paraId="24977F90" w14:textId="77777777" w:rsidR="0006302B" w:rsidRPr="0030393A" w:rsidRDefault="0006302B" w:rsidP="0006302B">
      <w:pPr>
        <w:pStyle w:val="ARTICULOS"/>
        <w:numPr>
          <w:ilvl w:val="0"/>
          <w:numId w:val="0"/>
        </w:numPr>
        <w:rPr>
          <w:color w:val="000000" w:themeColor="text1"/>
          <w:lang w:val="es-CO"/>
        </w:rPr>
      </w:pPr>
    </w:p>
    <w:p w14:paraId="6305908D" w14:textId="1093E9C4" w:rsidR="0006302B" w:rsidRPr="0013707D" w:rsidRDefault="0006302B" w:rsidP="0006302B">
      <w:pPr>
        <w:pStyle w:val="ARTICULOS"/>
        <w:numPr>
          <w:ilvl w:val="0"/>
          <w:numId w:val="0"/>
        </w:numPr>
        <w:rPr>
          <w:rFonts w:cs="Arial"/>
          <w:color w:val="000000" w:themeColor="text1"/>
          <w:lang w:val="es-CO"/>
        </w:rPr>
      </w:pPr>
      <w:r w:rsidRPr="0030393A">
        <w:rPr>
          <w:rFonts w:cs="Arial"/>
          <w:color w:val="000000" w:themeColor="text1"/>
          <w:lang w:val="es-CO"/>
        </w:rPr>
        <w:t>Con excepción de los contratos con interrupciones, los contratos señalados en este artículo deberán cumplir las condiciones</w:t>
      </w:r>
      <w:r w:rsidRPr="00387FFB">
        <w:rPr>
          <w:rFonts w:cs="Arial"/>
          <w:color w:val="000000" w:themeColor="text1"/>
          <w:lang w:val="es-CO"/>
        </w:rPr>
        <w:t xml:space="preserve"> establecidas en los </w:t>
      </w:r>
      <w:r w:rsidR="004B4BC6">
        <w:rPr>
          <w:rFonts w:cs="Arial"/>
          <w:color w:val="000000" w:themeColor="text1"/>
          <w:lang w:val="es-CO"/>
        </w:rPr>
        <w:t>a</w:t>
      </w:r>
      <w:r w:rsidRPr="00D66B65">
        <w:rPr>
          <w:rFonts w:cs="Arial"/>
          <w:color w:val="000000" w:themeColor="text1"/>
          <w:lang w:val="es-CO"/>
        </w:rPr>
        <w:t>rtículos 10, 11, 13, 14, 2</w:t>
      </w:r>
      <w:r>
        <w:rPr>
          <w:rFonts w:cs="Arial"/>
          <w:color w:val="000000" w:themeColor="text1"/>
          <w:lang w:val="es-CO"/>
        </w:rPr>
        <w:t>6</w:t>
      </w:r>
      <w:r w:rsidRPr="00D66B65">
        <w:rPr>
          <w:rFonts w:cs="Arial"/>
          <w:color w:val="000000" w:themeColor="text1"/>
          <w:lang w:val="es-CO"/>
        </w:rPr>
        <w:t xml:space="preserve"> y 2</w:t>
      </w:r>
      <w:r>
        <w:rPr>
          <w:rFonts w:cs="Arial"/>
          <w:color w:val="000000" w:themeColor="text1"/>
          <w:lang w:val="es-CO"/>
        </w:rPr>
        <w:t>7</w:t>
      </w:r>
      <w:r w:rsidRPr="00387FFB">
        <w:rPr>
          <w:rFonts w:cs="Arial"/>
          <w:color w:val="000000" w:themeColor="text1"/>
          <w:lang w:val="es-CO"/>
        </w:rPr>
        <w:t xml:space="preserve"> de esta Resolución</w:t>
      </w:r>
      <w:r w:rsidRPr="0011653C">
        <w:rPr>
          <w:rFonts w:cs="Arial"/>
          <w:color w:val="000000" w:themeColor="text1"/>
          <w:lang w:val="es-CO"/>
        </w:rPr>
        <w:t>.</w:t>
      </w:r>
    </w:p>
    <w:p w14:paraId="678757DF" w14:textId="77777777" w:rsidR="0006302B" w:rsidRPr="0013707D" w:rsidRDefault="0006302B" w:rsidP="0006302B">
      <w:pPr>
        <w:pStyle w:val="ARTICULOS"/>
        <w:numPr>
          <w:ilvl w:val="0"/>
          <w:numId w:val="0"/>
        </w:numPr>
        <w:rPr>
          <w:rFonts w:cs="Arial"/>
          <w:color w:val="000000" w:themeColor="text1"/>
          <w:lang w:val="es-CO"/>
        </w:rPr>
      </w:pPr>
    </w:p>
    <w:p w14:paraId="4E43005E" w14:textId="7F0DDB34"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Parágrafo 1.</w:t>
      </w:r>
      <w:r w:rsidRPr="0013707D">
        <w:rPr>
          <w:rFonts w:cs="Arial"/>
          <w:color w:val="000000" w:themeColor="text1"/>
          <w:lang w:val="es-CO"/>
        </w:rPr>
        <w:t xml:space="preserve"> Los contratos </w:t>
      </w:r>
      <w:r>
        <w:rPr>
          <w:rFonts w:cs="Arial"/>
          <w:color w:val="000000" w:themeColor="text1"/>
          <w:lang w:val="es-CO"/>
        </w:rPr>
        <w:t xml:space="preserve">de suministro </w:t>
      </w:r>
      <w:r w:rsidRPr="0013707D">
        <w:rPr>
          <w:rFonts w:cs="Arial"/>
          <w:color w:val="000000" w:themeColor="text1"/>
          <w:lang w:val="es-CO"/>
        </w:rPr>
        <w:t>del mercado secundario que estén en vigor a la entrada en vigencia de la presente Resolución continuarán rigiendo hasta la fecha de terminación pactada en los mismos. Sin embargo, las partes no podrán prorrogar su vigencia.</w:t>
      </w:r>
    </w:p>
    <w:p w14:paraId="7B7207BD" w14:textId="77777777" w:rsidR="0006302B" w:rsidRPr="0013707D" w:rsidRDefault="0006302B" w:rsidP="0006302B">
      <w:pPr>
        <w:pStyle w:val="ARTICULOS"/>
        <w:numPr>
          <w:ilvl w:val="0"/>
          <w:numId w:val="0"/>
        </w:numPr>
        <w:rPr>
          <w:rFonts w:cs="Arial"/>
          <w:color w:val="000000" w:themeColor="text1"/>
          <w:sz w:val="22"/>
          <w:lang w:val="es-CO"/>
        </w:rPr>
      </w:pPr>
    </w:p>
    <w:p w14:paraId="609FC596" w14:textId="13FC3DEC"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 xml:space="preserve">Parágrafo 2. </w:t>
      </w:r>
      <w:r w:rsidRPr="0013707D">
        <w:rPr>
          <w:rFonts w:cs="Arial"/>
          <w:color w:val="000000" w:themeColor="text1"/>
          <w:lang w:val="es-CO"/>
        </w:rPr>
        <w:t xml:space="preserve">Todos los contratos </w:t>
      </w:r>
      <w:r>
        <w:rPr>
          <w:rFonts w:cs="Arial"/>
          <w:b/>
          <w:bCs w:val="0"/>
          <w:color w:val="000000" w:themeColor="text1"/>
          <w:lang w:val="es-CO"/>
        </w:rPr>
        <w:t xml:space="preserve">de derechos de suministro de gas </w:t>
      </w:r>
      <w:r w:rsidRPr="0013707D">
        <w:rPr>
          <w:rFonts w:cs="Arial"/>
          <w:color w:val="000000" w:themeColor="text1"/>
          <w:lang w:val="es-CO"/>
        </w:rPr>
        <w:t xml:space="preserve">del mercado secundario serán de entrega física. </w:t>
      </w:r>
    </w:p>
    <w:p w14:paraId="6C6BE2EE" w14:textId="77777777" w:rsidR="0006302B" w:rsidRPr="0013707D" w:rsidRDefault="0006302B" w:rsidP="0006302B">
      <w:pPr>
        <w:pStyle w:val="ARTICULOS"/>
        <w:numPr>
          <w:ilvl w:val="0"/>
          <w:numId w:val="0"/>
        </w:numPr>
        <w:rPr>
          <w:rFonts w:cs="Arial"/>
          <w:b/>
          <w:color w:val="000000" w:themeColor="text1"/>
          <w:sz w:val="22"/>
          <w:lang w:val="es-CO"/>
        </w:rPr>
      </w:pPr>
    </w:p>
    <w:p w14:paraId="01EDC3B1" w14:textId="6E56BA44" w:rsidR="0006302B" w:rsidRPr="0013707D"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 xml:space="preserve">Parágrafo 3. </w:t>
      </w:r>
      <w:r>
        <w:rPr>
          <w:rFonts w:cs="Arial"/>
          <w:color w:val="000000" w:themeColor="text1"/>
          <w:lang w:val="es-CO"/>
        </w:rPr>
        <w:t xml:space="preserve">Los contratos </w:t>
      </w:r>
      <w:r w:rsidRPr="0013707D">
        <w:rPr>
          <w:rFonts w:cs="Arial"/>
          <w:color w:val="000000" w:themeColor="text1"/>
          <w:lang w:val="es-CO"/>
        </w:rPr>
        <w:t>que se suscriba</w:t>
      </w:r>
      <w:r>
        <w:rPr>
          <w:rFonts w:cs="Arial"/>
          <w:color w:val="000000" w:themeColor="text1"/>
          <w:lang w:val="es-CO"/>
        </w:rPr>
        <w:t>n</w:t>
      </w:r>
      <w:r w:rsidRPr="0013707D">
        <w:rPr>
          <w:rFonts w:cs="Arial"/>
          <w:color w:val="000000" w:themeColor="text1"/>
          <w:lang w:val="es-CO"/>
        </w:rPr>
        <w:t xml:space="preserve"> en el mercado secundario sólo </w:t>
      </w:r>
      <w:r w:rsidR="009B42E2" w:rsidRPr="0013707D">
        <w:rPr>
          <w:rFonts w:cs="Arial"/>
          <w:color w:val="000000" w:themeColor="text1"/>
          <w:lang w:val="es-CO"/>
        </w:rPr>
        <w:t>podrán</w:t>
      </w:r>
      <w:r w:rsidR="009B42E2">
        <w:rPr>
          <w:rFonts w:cs="Arial"/>
          <w:color w:val="000000" w:themeColor="text1"/>
          <w:lang w:val="es-CO"/>
        </w:rPr>
        <w:t xml:space="preserve"> </w:t>
      </w:r>
      <w:r w:rsidRPr="0013707D">
        <w:rPr>
          <w:rFonts w:cs="Arial"/>
          <w:color w:val="000000" w:themeColor="text1"/>
          <w:lang w:val="es-CO"/>
        </w:rPr>
        <w:t xml:space="preserve">adoptar una de las modalidades contractuales establecidas en este artículo y no podrá contrariar, en forma alguna, la definición establecida en el </w:t>
      </w:r>
      <w:r w:rsidRPr="0011653C">
        <w:rPr>
          <w:rFonts w:cs="Arial"/>
          <w:color w:val="000000" w:themeColor="text1"/>
          <w:lang w:val="es-CO"/>
        </w:rPr>
        <w:fldChar w:fldCharType="begin"/>
      </w:r>
      <w:r w:rsidRPr="0011653C">
        <w:rPr>
          <w:rFonts w:cs="Arial"/>
          <w:color w:val="000000" w:themeColor="text1"/>
          <w:lang w:val="es-CO"/>
        </w:rPr>
        <w:instrText xml:space="preserve"> REF _Ref330309266 \r \h  \* MERGEFORMAT </w:instrText>
      </w:r>
      <w:r w:rsidRPr="0011653C">
        <w:rPr>
          <w:rFonts w:cs="Arial"/>
          <w:color w:val="000000" w:themeColor="text1"/>
          <w:lang w:val="es-CO"/>
        </w:rPr>
      </w:r>
      <w:r w:rsidRPr="0011653C">
        <w:rPr>
          <w:rFonts w:cs="Arial"/>
          <w:color w:val="000000" w:themeColor="text1"/>
          <w:lang w:val="es-CO"/>
        </w:rPr>
        <w:fldChar w:fldCharType="separate"/>
      </w:r>
      <w:r w:rsidR="00636B6A">
        <w:rPr>
          <w:rFonts w:cs="Arial"/>
          <w:color w:val="000000" w:themeColor="text1"/>
          <w:lang w:val="es-CO"/>
        </w:rPr>
        <w:t>Artículo 3</w:t>
      </w:r>
      <w:r w:rsidRPr="0011653C">
        <w:rPr>
          <w:rFonts w:cs="Arial"/>
          <w:color w:val="000000" w:themeColor="text1"/>
          <w:lang w:val="es-CO"/>
        </w:rPr>
        <w:fldChar w:fldCharType="end"/>
      </w:r>
      <w:r w:rsidRPr="0013707D">
        <w:rPr>
          <w:rFonts w:cs="Arial"/>
          <w:color w:val="000000" w:themeColor="text1"/>
          <w:lang w:val="es-CO"/>
        </w:rPr>
        <w:t xml:space="preserve"> de la presente Resolución para la respectiva modalidad contractual. Dicha definición deberá estar </w:t>
      </w:r>
      <w:r>
        <w:rPr>
          <w:rFonts w:cs="Arial"/>
          <w:b/>
          <w:bCs w:val="0"/>
          <w:color w:val="000000" w:themeColor="text1"/>
          <w:lang w:val="es-CO"/>
        </w:rPr>
        <w:t xml:space="preserve">en la denominación y </w:t>
      </w:r>
      <w:r w:rsidRPr="0013707D">
        <w:rPr>
          <w:rFonts w:cs="Arial"/>
          <w:color w:val="000000" w:themeColor="text1"/>
          <w:lang w:val="es-CO"/>
        </w:rPr>
        <w:t>en el objeto del contrato, así como en sus cláusulas, según su modalidad.</w:t>
      </w:r>
    </w:p>
    <w:p w14:paraId="19792143" w14:textId="77777777" w:rsidR="0006302B" w:rsidRPr="0013707D" w:rsidRDefault="0006302B" w:rsidP="0006302B">
      <w:pPr>
        <w:pStyle w:val="ARTICULOS"/>
        <w:numPr>
          <w:ilvl w:val="0"/>
          <w:numId w:val="0"/>
        </w:numPr>
        <w:rPr>
          <w:rFonts w:cs="Arial"/>
          <w:color w:val="000000" w:themeColor="text1"/>
          <w:sz w:val="22"/>
          <w:lang w:val="es-CO"/>
        </w:rPr>
      </w:pPr>
    </w:p>
    <w:p w14:paraId="56FDD784" w14:textId="77777777" w:rsidR="0006302B"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Parágrafo 4.</w:t>
      </w:r>
      <w:r w:rsidRPr="0013707D">
        <w:rPr>
          <w:rFonts w:cs="Arial"/>
          <w:color w:val="000000" w:themeColor="text1"/>
          <w:lang w:val="es-CO"/>
        </w:rPr>
        <w:t xml:space="preserve"> Con excepción de los </w:t>
      </w:r>
      <w:r>
        <w:rPr>
          <w:rFonts w:cs="Arial"/>
          <w:color w:val="000000" w:themeColor="text1"/>
          <w:lang w:val="es-CO"/>
        </w:rPr>
        <w:t>contratos con interrupciones</w:t>
      </w:r>
      <w:r w:rsidRPr="0013707D">
        <w:rPr>
          <w:rFonts w:cs="Arial"/>
          <w:color w:val="000000" w:themeColor="text1"/>
          <w:lang w:val="es-CO"/>
        </w:rPr>
        <w:t xml:space="preserve">, durante la vigencia de los contratos señalados en este artículo, las obligaciones de dichos contratos se considerarán permanentes y por el 100% del gas </w:t>
      </w:r>
      <w:r w:rsidRPr="005D2954">
        <w:rPr>
          <w:rFonts w:cs="Arial"/>
          <w:color w:val="000000" w:themeColor="text1"/>
          <w:lang w:val="es-CO"/>
        </w:rPr>
        <w:t>natural contratado</w:t>
      </w:r>
      <w:r>
        <w:rPr>
          <w:rFonts w:cs="Arial"/>
          <w:color w:val="000000" w:themeColor="text1"/>
          <w:lang w:val="es-CO"/>
        </w:rPr>
        <w:t>.</w:t>
      </w:r>
      <w:r w:rsidRPr="0013707D">
        <w:rPr>
          <w:rFonts w:cs="Arial"/>
          <w:color w:val="000000" w:themeColor="text1"/>
          <w:lang w:val="es-CO"/>
        </w:rPr>
        <w:t xml:space="preserve"> </w:t>
      </w:r>
    </w:p>
    <w:p w14:paraId="6341BB11" w14:textId="77777777" w:rsidR="0006302B" w:rsidRPr="0013707D" w:rsidRDefault="0006302B" w:rsidP="0006302B">
      <w:pPr>
        <w:pStyle w:val="ARTICULOS"/>
        <w:numPr>
          <w:ilvl w:val="0"/>
          <w:numId w:val="0"/>
        </w:numPr>
        <w:rPr>
          <w:rFonts w:cs="Arial"/>
          <w:color w:val="000000" w:themeColor="text1"/>
          <w:sz w:val="22"/>
          <w:lang w:val="es-CO"/>
        </w:rPr>
      </w:pPr>
    </w:p>
    <w:p w14:paraId="6BB26C64" w14:textId="024986B1" w:rsidR="0006302B" w:rsidRPr="0030393A"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 xml:space="preserve">Parágrafo </w:t>
      </w:r>
      <w:r>
        <w:rPr>
          <w:rFonts w:cs="Arial"/>
          <w:b/>
          <w:color w:val="000000" w:themeColor="text1"/>
          <w:lang w:val="es-CO"/>
        </w:rPr>
        <w:t>5</w:t>
      </w:r>
      <w:r w:rsidRPr="0013707D">
        <w:rPr>
          <w:rFonts w:cs="Arial"/>
          <w:b/>
          <w:color w:val="000000" w:themeColor="text1"/>
          <w:lang w:val="es-CO"/>
        </w:rPr>
        <w:t>.</w:t>
      </w:r>
      <w:r w:rsidRPr="0013707D">
        <w:rPr>
          <w:rFonts w:cs="Arial"/>
          <w:color w:val="000000" w:themeColor="text1"/>
          <w:lang w:val="es-CO"/>
        </w:rPr>
        <w:t xml:space="preserve"> La duración permisible para labores programadas para reparaciones técnicas o mantenimientos periódicos serán las acordadas por las partes del contrato, sin que se superen </w:t>
      </w:r>
      <w:r w:rsidRPr="00A8592C">
        <w:rPr>
          <w:rFonts w:cs="Arial"/>
          <w:color w:val="000000" w:themeColor="text1"/>
          <w:lang w:val="es-CO"/>
        </w:rPr>
        <w:t xml:space="preserve">las establecidas en el </w:t>
      </w:r>
      <w:r w:rsidRPr="00D66B65">
        <w:rPr>
          <w:rFonts w:cs="Arial"/>
          <w:color w:val="000000" w:themeColor="text1"/>
          <w:lang w:val="es-CO"/>
        </w:rPr>
        <w:fldChar w:fldCharType="begin"/>
      </w:r>
      <w:r w:rsidRPr="00D66B65">
        <w:rPr>
          <w:rFonts w:cs="Arial"/>
          <w:color w:val="000000" w:themeColor="text1"/>
          <w:lang w:val="es-CO"/>
        </w:rPr>
        <w:instrText xml:space="preserve"> REF _Ref330309707 \r \h  \* MERGEFORMAT </w:instrText>
      </w:r>
      <w:r w:rsidRPr="00D66B65">
        <w:rPr>
          <w:rFonts w:cs="Arial"/>
          <w:color w:val="000000" w:themeColor="text1"/>
          <w:lang w:val="es-CO"/>
        </w:rPr>
      </w:r>
      <w:r w:rsidRPr="00D66B65">
        <w:rPr>
          <w:rFonts w:cs="Arial"/>
          <w:color w:val="000000" w:themeColor="text1"/>
          <w:lang w:val="es-CO"/>
        </w:rPr>
        <w:fldChar w:fldCharType="separate"/>
      </w:r>
      <w:r w:rsidR="00636B6A">
        <w:rPr>
          <w:rFonts w:cs="Arial"/>
          <w:color w:val="000000" w:themeColor="text1"/>
          <w:lang w:val="es-CO"/>
        </w:rPr>
        <w:t>Artículo 12</w:t>
      </w:r>
      <w:r w:rsidRPr="00D66B65">
        <w:rPr>
          <w:rFonts w:cs="Arial"/>
          <w:color w:val="000000" w:themeColor="text1"/>
          <w:lang w:val="es-CO"/>
        </w:rPr>
        <w:fldChar w:fldCharType="end"/>
      </w:r>
      <w:r w:rsidRPr="00A8592C">
        <w:rPr>
          <w:rFonts w:cs="Arial"/>
          <w:color w:val="000000" w:themeColor="text1"/>
          <w:lang w:val="es-CO"/>
        </w:rPr>
        <w:t xml:space="preserve"> de esta Resolución.</w:t>
      </w:r>
    </w:p>
    <w:p w14:paraId="0A6783B0" w14:textId="77777777" w:rsidR="0006302B" w:rsidRPr="0030393A" w:rsidRDefault="0006302B" w:rsidP="0006302B">
      <w:pPr>
        <w:pStyle w:val="ARTICULOS"/>
        <w:numPr>
          <w:ilvl w:val="0"/>
          <w:numId w:val="0"/>
        </w:numPr>
        <w:rPr>
          <w:rFonts w:cs="Arial"/>
          <w:color w:val="000000" w:themeColor="text1"/>
          <w:lang w:val="es-CO"/>
        </w:rPr>
      </w:pPr>
    </w:p>
    <w:p w14:paraId="4033A206" w14:textId="0C83B4AA" w:rsidR="0006302B" w:rsidRPr="0030393A" w:rsidRDefault="0006302B" w:rsidP="0006302B">
      <w:pPr>
        <w:pStyle w:val="ARTICULOS"/>
        <w:tabs>
          <w:tab w:val="clear" w:pos="1559"/>
          <w:tab w:val="left" w:pos="1560"/>
        </w:tabs>
        <w:outlineLvl w:val="0"/>
        <w:rPr>
          <w:rFonts w:cs="Arial"/>
          <w:b/>
          <w:color w:val="000000" w:themeColor="text1"/>
          <w:lang w:val="es-CO"/>
        </w:rPr>
      </w:pPr>
      <w:bookmarkStart w:id="72" w:name="_Ref327342457"/>
      <w:bookmarkStart w:id="73" w:name="_Ref329183053"/>
      <w:bookmarkStart w:id="74" w:name="_Ref330310537"/>
      <w:r w:rsidRPr="0030393A">
        <w:rPr>
          <w:rFonts w:cs="Arial"/>
          <w:b/>
          <w:color w:val="000000" w:themeColor="text1"/>
          <w:lang w:val="es-CO"/>
        </w:rPr>
        <w:t xml:space="preserve">Duración </w:t>
      </w:r>
      <w:bookmarkEnd w:id="72"/>
      <w:r w:rsidRPr="0030393A">
        <w:rPr>
          <w:rFonts w:cs="Arial"/>
          <w:b/>
          <w:color w:val="000000" w:themeColor="text1"/>
          <w:lang w:val="es-CO"/>
        </w:rPr>
        <w:t>de los contratos</w:t>
      </w:r>
      <w:bookmarkEnd w:id="73"/>
      <w:r w:rsidRPr="0030393A">
        <w:rPr>
          <w:rFonts w:cs="Arial"/>
          <w:b/>
          <w:color w:val="000000" w:themeColor="text1"/>
          <w:lang w:val="es-CO"/>
        </w:rPr>
        <w:t>.</w:t>
      </w:r>
      <w:r w:rsidRPr="0030393A">
        <w:rPr>
          <w:rFonts w:cs="Arial"/>
          <w:color w:val="000000" w:themeColor="text1"/>
          <w:lang w:val="es-CO"/>
        </w:rPr>
        <w:t xml:space="preserve"> </w:t>
      </w:r>
      <w:r w:rsidRPr="0030393A">
        <w:rPr>
          <w:color w:val="000000"/>
          <w:lang w:val="es-CO"/>
        </w:rPr>
        <w:t xml:space="preserve">Los contratos </w:t>
      </w:r>
      <w:r w:rsidRPr="0030393A">
        <w:rPr>
          <w:b/>
          <w:bCs w:val="0"/>
          <w:color w:val="000000"/>
          <w:lang w:val="es-CO"/>
        </w:rPr>
        <w:t xml:space="preserve">de </w:t>
      </w:r>
      <w:r w:rsidR="009651CB" w:rsidRPr="0030393A">
        <w:rPr>
          <w:b/>
          <w:bCs w:val="0"/>
          <w:color w:val="000000"/>
          <w:lang w:val="es-CO"/>
        </w:rPr>
        <w:t xml:space="preserve">derechos de </w:t>
      </w:r>
      <w:r w:rsidRPr="0030393A">
        <w:rPr>
          <w:color w:val="000000"/>
          <w:lang w:val="es-CO"/>
        </w:rPr>
        <w:t xml:space="preserve">suministro de gas que se pacten en el mercado secundario tendrán la duración que acuerden las partes, siempre y cuando la fecha de </w:t>
      </w:r>
      <w:r w:rsidR="000B2AE6" w:rsidRPr="0030393A">
        <w:rPr>
          <w:b/>
          <w:bCs w:val="0"/>
          <w:color w:val="000000"/>
          <w:lang w:val="es-CO"/>
        </w:rPr>
        <w:t>la ejecución</w:t>
      </w:r>
      <w:r w:rsidR="000B2AE6" w:rsidRPr="0030393A">
        <w:rPr>
          <w:color w:val="000000"/>
          <w:lang w:val="es-CO"/>
        </w:rPr>
        <w:t xml:space="preserve"> del </w:t>
      </w:r>
      <w:r w:rsidRPr="0030393A">
        <w:rPr>
          <w:color w:val="000000"/>
          <w:lang w:val="es-CO"/>
        </w:rPr>
        <w:lastRenderedPageBreak/>
        <w:t xml:space="preserve">suministro inicie </w:t>
      </w:r>
      <w:r w:rsidR="000B2AE6" w:rsidRPr="0030393A">
        <w:rPr>
          <w:b/>
          <w:bCs w:val="0"/>
          <w:color w:val="000000"/>
          <w:lang w:val="es-CO"/>
        </w:rPr>
        <w:t>como máximo</w:t>
      </w:r>
      <w:r w:rsidR="000B2AE6" w:rsidRPr="0030393A">
        <w:rPr>
          <w:color w:val="000000"/>
          <w:lang w:val="es-CO"/>
        </w:rPr>
        <w:t xml:space="preserve"> </w:t>
      </w:r>
      <w:r w:rsidRPr="0030393A">
        <w:rPr>
          <w:color w:val="000000"/>
          <w:lang w:val="es-CO"/>
        </w:rPr>
        <w:t xml:space="preserve">durante el año de gas </w:t>
      </w:r>
      <w:r w:rsidR="000B2AE6" w:rsidRPr="0030393A">
        <w:rPr>
          <w:b/>
          <w:bCs w:val="0"/>
          <w:color w:val="000000"/>
          <w:lang w:val="es-CO"/>
        </w:rPr>
        <w:t>siguiente al año de gas</w:t>
      </w:r>
      <w:r w:rsidR="000B2AE6" w:rsidRPr="0030393A">
        <w:rPr>
          <w:color w:val="000000"/>
          <w:lang w:val="es-CO"/>
        </w:rPr>
        <w:t xml:space="preserve"> </w:t>
      </w:r>
      <w:r w:rsidRPr="0030393A">
        <w:rPr>
          <w:color w:val="000000"/>
          <w:lang w:val="es-CO"/>
        </w:rPr>
        <w:t>en que se realizó el registro del correspondiente contrato.</w:t>
      </w:r>
      <w:bookmarkEnd w:id="74"/>
    </w:p>
    <w:p w14:paraId="17DB84AB" w14:textId="77777777" w:rsidR="0006302B" w:rsidRPr="0030393A" w:rsidRDefault="0006302B" w:rsidP="0006302B">
      <w:pPr>
        <w:pStyle w:val="ARTICULOS"/>
        <w:numPr>
          <w:ilvl w:val="0"/>
          <w:numId w:val="0"/>
        </w:numPr>
        <w:tabs>
          <w:tab w:val="clear" w:pos="1559"/>
          <w:tab w:val="left" w:pos="1560"/>
        </w:tabs>
        <w:outlineLvl w:val="0"/>
        <w:rPr>
          <w:rFonts w:cs="Arial"/>
          <w:b/>
          <w:color w:val="000000" w:themeColor="text1"/>
          <w:lang w:val="es-CO"/>
        </w:rPr>
      </w:pPr>
    </w:p>
    <w:p w14:paraId="5B7D4858" w14:textId="38BE0EBA" w:rsidR="0006302B" w:rsidRPr="0030393A" w:rsidRDefault="0006302B" w:rsidP="0006302B">
      <w:pPr>
        <w:ind w:left="0"/>
        <w:jc w:val="both"/>
        <w:rPr>
          <w:rFonts w:ascii="Bookman Old Style" w:hAnsi="Bookman Old Style"/>
          <w:strike/>
          <w:color w:val="000000" w:themeColor="text1"/>
          <w:lang w:val="es-CO"/>
        </w:rPr>
      </w:pPr>
      <w:r w:rsidRPr="0030393A">
        <w:rPr>
          <w:rFonts w:ascii="Bookman Old Style" w:hAnsi="Bookman Old Style" w:cs="Arial"/>
          <w:b/>
          <w:color w:val="000000"/>
          <w:lang w:val="es-CO"/>
        </w:rPr>
        <w:t>Parágrafo.</w:t>
      </w:r>
      <w:r w:rsidRPr="0030393A">
        <w:rPr>
          <w:rFonts w:ascii="Bookman Old Style" w:hAnsi="Bookman Old Style" w:cs="Arial"/>
          <w:color w:val="000000"/>
          <w:lang w:val="es-CO"/>
        </w:rPr>
        <w:t xml:space="preserve"> </w:t>
      </w:r>
      <w:r w:rsidRPr="0030393A">
        <w:rPr>
          <w:rFonts w:ascii="Bookman Old Style" w:hAnsi="Bookman Old Style" w:cs="Arial"/>
          <w:b/>
          <w:bCs/>
          <w:color w:val="000000"/>
          <w:lang w:val="es-CO"/>
        </w:rPr>
        <w:t xml:space="preserve">Los Participantes del Mercado Mayorista que actúen en el mercado secundario deberán efectuar la declaración de la información de que trata el numeral </w:t>
      </w:r>
      <w:r w:rsidRPr="0030393A">
        <w:rPr>
          <w:rFonts w:ascii="Bookman Old Style" w:hAnsi="Bookman Old Style" w:cs="Arial"/>
          <w:b/>
          <w:bCs/>
          <w:color w:val="000000" w:themeColor="text1"/>
          <w:lang w:val="es-CO"/>
        </w:rPr>
        <w:fldChar w:fldCharType="begin"/>
      </w:r>
      <w:r w:rsidRPr="0030393A">
        <w:rPr>
          <w:rFonts w:ascii="Bookman Old Style" w:hAnsi="Bookman Old Style" w:cs="Arial"/>
          <w:b/>
          <w:bCs/>
          <w:color w:val="000000" w:themeColor="text1"/>
          <w:lang w:val="es-CO"/>
        </w:rPr>
        <w:instrText xml:space="preserve"> REF _Ref359823705 \n \h  \* MERGEFORMAT </w:instrText>
      </w:r>
      <w:r w:rsidRPr="0030393A">
        <w:rPr>
          <w:rFonts w:ascii="Bookman Old Style" w:hAnsi="Bookman Old Style" w:cs="Arial"/>
          <w:b/>
          <w:bCs/>
          <w:color w:val="000000" w:themeColor="text1"/>
          <w:lang w:val="es-CO"/>
        </w:rPr>
      </w:r>
      <w:r w:rsidRPr="0030393A">
        <w:rPr>
          <w:rFonts w:ascii="Bookman Old Style" w:hAnsi="Bookman Old Style" w:cs="Arial"/>
          <w:b/>
          <w:bCs/>
          <w:color w:val="000000" w:themeColor="text1"/>
          <w:lang w:val="es-CO"/>
        </w:rPr>
        <w:fldChar w:fldCharType="separate"/>
      </w:r>
      <w:r w:rsidR="00636B6A">
        <w:rPr>
          <w:rFonts w:ascii="Bookman Old Style" w:hAnsi="Bookman Old Style" w:cs="Arial"/>
          <w:b/>
          <w:bCs/>
          <w:color w:val="000000" w:themeColor="text1"/>
          <w:lang w:val="es-CO"/>
        </w:rPr>
        <w:t>1.3</w:t>
      </w:r>
      <w:r w:rsidRPr="0030393A">
        <w:rPr>
          <w:rFonts w:ascii="Bookman Old Style" w:hAnsi="Bookman Old Style" w:cs="Arial"/>
          <w:b/>
          <w:bCs/>
          <w:color w:val="000000" w:themeColor="text1"/>
          <w:lang w:val="es-CO"/>
        </w:rPr>
        <w:fldChar w:fldCharType="end"/>
      </w:r>
      <w:r w:rsidRPr="0030393A">
        <w:rPr>
          <w:rFonts w:ascii="Bookman Old Style" w:hAnsi="Bookman Old Style" w:cs="Arial"/>
          <w:b/>
          <w:bCs/>
          <w:color w:val="000000" w:themeColor="text1"/>
          <w:lang w:val="es-CO"/>
        </w:rPr>
        <w:t xml:space="preserve">.1 del </w:t>
      </w:r>
      <w:r w:rsidRPr="0030393A">
        <w:rPr>
          <w:rFonts w:ascii="Bookman Old Style" w:hAnsi="Bookman Old Style" w:cs="Arial"/>
          <w:b/>
          <w:bCs/>
          <w:color w:val="000000" w:themeColor="text1"/>
          <w:lang w:val="es-CO"/>
        </w:rPr>
        <w:fldChar w:fldCharType="begin"/>
      </w:r>
      <w:r w:rsidRPr="0030393A">
        <w:rPr>
          <w:rFonts w:ascii="Bookman Old Style" w:hAnsi="Bookman Old Style" w:cs="Arial"/>
          <w:b/>
          <w:bCs/>
          <w:color w:val="000000" w:themeColor="text1"/>
          <w:lang w:val="es-CO"/>
        </w:rPr>
        <w:instrText xml:space="preserve"> REF _Ref55316068 \h  \* MERGEFORMAT </w:instrText>
      </w:r>
      <w:r w:rsidRPr="0030393A">
        <w:rPr>
          <w:rFonts w:ascii="Bookman Old Style" w:hAnsi="Bookman Old Style" w:cs="Arial"/>
          <w:b/>
          <w:bCs/>
          <w:color w:val="000000" w:themeColor="text1"/>
          <w:lang w:val="es-CO"/>
        </w:rPr>
      </w:r>
      <w:r w:rsidRPr="0030393A">
        <w:rPr>
          <w:rFonts w:ascii="Bookman Old Style" w:hAnsi="Bookman Old Style" w:cs="Arial"/>
          <w:b/>
          <w:bCs/>
          <w:color w:val="000000" w:themeColor="text1"/>
          <w:lang w:val="es-CO"/>
        </w:rPr>
        <w:fldChar w:fldCharType="separate"/>
      </w:r>
      <w:r w:rsidR="00636B6A" w:rsidRPr="00996A90">
        <w:rPr>
          <w:rFonts w:ascii="Bookman Old Style" w:hAnsi="Bookman Old Style"/>
          <w:b/>
          <w:bCs/>
          <w:color w:val="000000" w:themeColor="text1"/>
        </w:rPr>
        <w:t xml:space="preserve">Anexo </w:t>
      </w:r>
      <w:r w:rsidR="00636B6A" w:rsidRPr="00996A90">
        <w:rPr>
          <w:rFonts w:ascii="Bookman Old Style" w:hAnsi="Bookman Old Style"/>
          <w:b/>
          <w:bCs/>
          <w:noProof/>
          <w:color w:val="000000" w:themeColor="text1"/>
        </w:rPr>
        <w:t>1</w:t>
      </w:r>
      <w:r w:rsidRPr="0030393A">
        <w:rPr>
          <w:rFonts w:ascii="Bookman Old Style" w:hAnsi="Bookman Old Style" w:cs="Arial"/>
          <w:b/>
          <w:bCs/>
          <w:color w:val="000000" w:themeColor="text1"/>
          <w:lang w:val="es-CO"/>
        </w:rPr>
        <w:fldChar w:fldCharType="end"/>
      </w:r>
      <w:r w:rsidRPr="0030393A">
        <w:rPr>
          <w:rFonts w:ascii="Bookman Old Style" w:hAnsi="Bookman Old Style" w:cs="Arial"/>
          <w:b/>
          <w:bCs/>
          <w:color w:val="000000" w:themeColor="text1"/>
          <w:lang w:val="es-CO"/>
        </w:rPr>
        <w:t xml:space="preserve"> </w:t>
      </w:r>
      <w:r w:rsidRPr="0030393A">
        <w:rPr>
          <w:rFonts w:ascii="Bookman Old Style" w:hAnsi="Bookman Old Style" w:cs="Arial"/>
          <w:b/>
          <w:bCs/>
          <w:color w:val="000000"/>
          <w:lang w:val="es-CO"/>
        </w:rPr>
        <w:t>de esta Resolución.</w:t>
      </w:r>
    </w:p>
    <w:p w14:paraId="704D48F5" w14:textId="77777777" w:rsidR="0006302B" w:rsidRPr="0030393A" w:rsidRDefault="0006302B" w:rsidP="0006302B">
      <w:pPr>
        <w:ind w:left="0"/>
        <w:rPr>
          <w:rFonts w:ascii="Bookman Old Style" w:hAnsi="Bookman Old Style" w:cs="Arial"/>
          <w:color w:val="000000"/>
          <w:lang w:val="es-CO"/>
        </w:rPr>
      </w:pPr>
    </w:p>
    <w:p w14:paraId="5FF4DBE8" w14:textId="77777777" w:rsidR="0006302B" w:rsidRPr="0030393A" w:rsidRDefault="0006302B" w:rsidP="0006302B">
      <w:pPr>
        <w:pStyle w:val="ARTICULOS"/>
        <w:tabs>
          <w:tab w:val="clear" w:pos="1559"/>
          <w:tab w:val="left" w:pos="1560"/>
        </w:tabs>
        <w:outlineLvl w:val="0"/>
        <w:rPr>
          <w:rFonts w:cs="Arial"/>
          <w:color w:val="000000" w:themeColor="text1"/>
          <w:lang w:val="es-CO"/>
        </w:rPr>
      </w:pPr>
      <w:bookmarkStart w:id="75" w:name="_Ref329189793"/>
      <w:r w:rsidRPr="0030393A">
        <w:rPr>
          <w:rFonts w:cs="Arial"/>
          <w:b/>
          <w:color w:val="000000" w:themeColor="text1"/>
          <w:lang w:val="es-CO"/>
        </w:rPr>
        <w:t>Puntos Estándar de entrega e indicadores de formación de precios.</w:t>
      </w:r>
      <w:r w:rsidRPr="0030393A">
        <w:rPr>
          <w:rFonts w:cs="Arial"/>
          <w:color w:val="000000" w:themeColor="text1"/>
          <w:lang w:val="es-CO"/>
        </w:rPr>
        <w:t xml:space="preserve"> </w:t>
      </w:r>
      <w:bookmarkEnd w:id="75"/>
    </w:p>
    <w:p w14:paraId="4FA54BB1" w14:textId="77777777" w:rsidR="0006302B" w:rsidRPr="0030393A" w:rsidRDefault="0006302B" w:rsidP="0006302B">
      <w:pPr>
        <w:jc w:val="both"/>
        <w:rPr>
          <w:rFonts w:ascii="Bookman Old Style" w:hAnsi="Bookman Old Style"/>
          <w:lang w:val="es-CO"/>
        </w:rPr>
      </w:pPr>
    </w:p>
    <w:p w14:paraId="13559B2C" w14:textId="4CAA2056" w:rsidR="0006302B" w:rsidRPr="0030393A" w:rsidRDefault="0006302B" w:rsidP="00A4790E">
      <w:pPr>
        <w:pStyle w:val="Prrafodelista"/>
        <w:numPr>
          <w:ilvl w:val="0"/>
          <w:numId w:val="61"/>
        </w:numPr>
        <w:ind w:left="426" w:hanging="426"/>
        <w:jc w:val="both"/>
        <w:rPr>
          <w:rFonts w:ascii="Bookman Old Style" w:hAnsi="Bookman Old Style"/>
          <w:sz w:val="24"/>
          <w:szCs w:val="24"/>
        </w:rPr>
      </w:pPr>
      <w:r w:rsidRPr="0030393A">
        <w:rPr>
          <w:rFonts w:ascii="Bookman Old Style" w:hAnsi="Bookman Old Style"/>
          <w:b/>
          <w:sz w:val="24"/>
          <w:szCs w:val="24"/>
        </w:rPr>
        <w:t>Puntos Estándar de entrega.</w:t>
      </w:r>
      <w:r w:rsidRPr="0030393A">
        <w:rPr>
          <w:rFonts w:ascii="Bookman Old Style" w:hAnsi="Bookman Old Style"/>
          <w:sz w:val="24"/>
          <w:szCs w:val="24"/>
        </w:rPr>
        <w:t xml:space="preserve"> En los contratos </w:t>
      </w:r>
      <w:r w:rsidRPr="0030393A">
        <w:rPr>
          <w:rFonts w:ascii="Bookman Old Style" w:hAnsi="Bookman Old Style"/>
          <w:b/>
          <w:bCs/>
          <w:sz w:val="24"/>
          <w:szCs w:val="24"/>
        </w:rPr>
        <w:t xml:space="preserve">de </w:t>
      </w:r>
      <w:r w:rsidR="009651CB" w:rsidRPr="0030393A">
        <w:rPr>
          <w:rFonts w:ascii="Bookman Old Style" w:hAnsi="Bookman Old Style"/>
          <w:b/>
          <w:bCs/>
          <w:sz w:val="24"/>
          <w:szCs w:val="24"/>
        </w:rPr>
        <w:t>derechos</w:t>
      </w:r>
      <w:r w:rsidR="009651CB" w:rsidRPr="0030393A">
        <w:rPr>
          <w:rFonts w:ascii="Bookman Old Style" w:hAnsi="Bookman Old Style"/>
          <w:sz w:val="24"/>
          <w:szCs w:val="24"/>
        </w:rPr>
        <w:t xml:space="preserve"> de </w:t>
      </w:r>
      <w:r w:rsidRPr="0030393A">
        <w:rPr>
          <w:rFonts w:ascii="Bookman Old Style" w:hAnsi="Bookman Old Style"/>
          <w:sz w:val="24"/>
          <w:szCs w:val="24"/>
        </w:rPr>
        <w:t xml:space="preserve">suministro de gas natural que se suscriban en el mercado secundario, se deberá pactar el Punto Estándar de entrega, de acuerdo con el listado </w:t>
      </w:r>
      <w:r w:rsidR="00F161BB" w:rsidRPr="00295053">
        <w:rPr>
          <w:rFonts w:ascii="Bookman Old Style" w:hAnsi="Bookman Old Style"/>
          <w:b/>
          <w:bCs/>
          <w:sz w:val="24"/>
          <w:szCs w:val="24"/>
        </w:rPr>
        <w:t>adoptado por</w:t>
      </w:r>
      <w:r w:rsidRPr="0030393A">
        <w:rPr>
          <w:rFonts w:ascii="Bookman Old Style" w:hAnsi="Bookman Old Style"/>
          <w:sz w:val="24"/>
          <w:szCs w:val="24"/>
        </w:rPr>
        <w:t xml:space="preserve"> la CREG en circular de la Dirección Ejecutiva. </w:t>
      </w:r>
    </w:p>
    <w:p w14:paraId="562EA09A" w14:textId="77777777" w:rsidR="0006302B" w:rsidRPr="0013707D" w:rsidRDefault="0006302B" w:rsidP="0006302B">
      <w:pPr>
        <w:jc w:val="both"/>
        <w:rPr>
          <w:rFonts w:ascii="Bookman Old Style" w:hAnsi="Bookman Old Style"/>
          <w:lang w:val="es-CO"/>
        </w:rPr>
      </w:pPr>
    </w:p>
    <w:p w14:paraId="55D427EF" w14:textId="2DFB50B9" w:rsidR="0006302B" w:rsidRPr="0013707D" w:rsidRDefault="0006302B" w:rsidP="0006302B">
      <w:pPr>
        <w:pStyle w:val="Prrafodelista"/>
        <w:ind w:left="426"/>
        <w:jc w:val="both"/>
        <w:rPr>
          <w:rFonts w:ascii="Bookman Old Style" w:hAnsi="Bookman Old Style"/>
          <w:sz w:val="24"/>
          <w:szCs w:val="24"/>
        </w:rPr>
      </w:pPr>
      <w:r w:rsidRPr="0013707D">
        <w:rPr>
          <w:rFonts w:ascii="Bookman Old Style" w:hAnsi="Bookman Old Style"/>
          <w:sz w:val="24"/>
          <w:szCs w:val="24"/>
        </w:rPr>
        <w:t xml:space="preserve">En todo caso, dichos </w:t>
      </w:r>
      <w:r w:rsidR="00BC2534" w:rsidRPr="0013707D">
        <w:rPr>
          <w:rFonts w:ascii="Bookman Old Style" w:hAnsi="Bookman Old Style"/>
          <w:sz w:val="24"/>
          <w:szCs w:val="24"/>
        </w:rPr>
        <w:t xml:space="preserve">Puntos </w:t>
      </w:r>
      <w:r>
        <w:rPr>
          <w:rFonts w:ascii="Bookman Old Style" w:hAnsi="Bookman Old Style"/>
          <w:sz w:val="24"/>
          <w:szCs w:val="24"/>
        </w:rPr>
        <w:t xml:space="preserve">estándar </w:t>
      </w:r>
      <w:r w:rsidRPr="0013707D">
        <w:rPr>
          <w:rFonts w:ascii="Bookman Old Style" w:hAnsi="Bookman Old Style"/>
          <w:sz w:val="24"/>
          <w:szCs w:val="24"/>
        </w:rPr>
        <w:t xml:space="preserve">de entrega deben corresponder a:  i) un punto de transferencia de custodia entre el comercializador y el transportador cuando </w:t>
      </w:r>
      <w:r>
        <w:rPr>
          <w:rFonts w:ascii="Bookman Old Style" w:hAnsi="Bookman Old Style"/>
          <w:b/>
          <w:bCs/>
          <w:sz w:val="24"/>
          <w:szCs w:val="24"/>
        </w:rPr>
        <w:t>el</w:t>
      </w:r>
      <w:r w:rsidR="00BC2534">
        <w:rPr>
          <w:rFonts w:ascii="Bookman Old Style" w:hAnsi="Bookman Old Style"/>
          <w:b/>
          <w:bCs/>
          <w:sz w:val="24"/>
          <w:szCs w:val="24"/>
        </w:rPr>
        <w:t xml:space="preserve"> Punto de Entrega</w:t>
      </w:r>
      <w:r>
        <w:rPr>
          <w:rFonts w:ascii="Bookman Old Style" w:hAnsi="Bookman Old Style"/>
          <w:b/>
          <w:bCs/>
          <w:sz w:val="24"/>
          <w:szCs w:val="24"/>
        </w:rPr>
        <w:t xml:space="preserve"> también corresponda a Puntos de Importación o </w:t>
      </w:r>
      <w:r w:rsidRPr="00C7396E">
        <w:rPr>
          <w:rFonts w:ascii="Bookman Old Style" w:hAnsi="Bookman Old Style"/>
          <w:sz w:val="24"/>
          <w:szCs w:val="24"/>
        </w:rPr>
        <w:t>P</w:t>
      </w:r>
      <w:r>
        <w:rPr>
          <w:rFonts w:ascii="Bookman Old Style" w:hAnsi="Bookman Old Style"/>
          <w:sz w:val="24"/>
          <w:szCs w:val="24"/>
        </w:rPr>
        <w:t>u</w:t>
      </w:r>
      <w:r w:rsidRPr="00C7396E">
        <w:rPr>
          <w:rFonts w:ascii="Bookman Old Style" w:hAnsi="Bookman Old Style"/>
          <w:sz w:val="24"/>
          <w:szCs w:val="24"/>
        </w:rPr>
        <w:t>ntos</w:t>
      </w:r>
      <w:r w:rsidRPr="0013707D">
        <w:rPr>
          <w:rFonts w:ascii="Bookman Old Style" w:hAnsi="Bookman Old Style"/>
          <w:sz w:val="24"/>
          <w:szCs w:val="24"/>
        </w:rPr>
        <w:t xml:space="preserve"> de entrada al </w:t>
      </w:r>
      <w:r w:rsidR="0064165C">
        <w:rPr>
          <w:rFonts w:ascii="Bookman Old Style" w:hAnsi="Bookman Old Style"/>
          <w:sz w:val="24"/>
          <w:szCs w:val="24"/>
        </w:rPr>
        <w:t>S</w:t>
      </w:r>
      <w:r w:rsidR="0064165C" w:rsidRPr="0013707D">
        <w:rPr>
          <w:rFonts w:ascii="Bookman Old Style" w:hAnsi="Bookman Old Style"/>
          <w:sz w:val="24"/>
          <w:szCs w:val="24"/>
        </w:rPr>
        <w:t xml:space="preserve">istema </w:t>
      </w:r>
      <w:r w:rsidR="0064165C">
        <w:rPr>
          <w:rFonts w:ascii="Bookman Old Style" w:hAnsi="Bookman Old Style"/>
          <w:sz w:val="24"/>
          <w:szCs w:val="24"/>
        </w:rPr>
        <w:t xml:space="preserve">Nacional </w:t>
      </w:r>
      <w:r w:rsidRPr="0013707D">
        <w:rPr>
          <w:rFonts w:ascii="Bookman Old Style" w:hAnsi="Bookman Old Style"/>
          <w:sz w:val="24"/>
          <w:szCs w:val="24"/>
        </w:rPr>
        <w:t xml:space="preserve">de </w:t>
      </w:r>
      <w:r w:rsidR="0064165C">
        <w:rPr>
          <w:rFonts w:ascii="Bookman Old Style" w:hAnsi="Bookman Old Style"/>
          <w:sz w:val="24"/>
          <w:szCs w:val="24"/>
        </w:rPr>
        <w:t>T</w:t>
      </w:r>
      <w:r w:rsidR="0064165C" w:rsidRPr="0013707D">
        <w:rPr>
          <w:rFonts w:ascii="Bookman Old Style" w:hAnsi="Bookman Old Style"/>
          <w:sz w:val="24"/>
          <w:szCs w:val="24"/>
        </w:rPr>
        <w:t>ransporte</w:t>
      </w:r>
      <w:r w:rsidRPr="0013707D">
        <w:rPr>
          <w:rFonts w:ascii="Bookman Old Style" w:hAnsi="Bookman Old Style"/>
          <w:sz w:val="24"/>
          <w:szCs w:val="24"/>
        </w:rPr>
        <w:t xml:space="preserve">; ii) un punto de transferencia de custodia entre el transportador y el vendedor del mercado secundario cuando se trate de puntos de salida del </w:t>
      </w:r>
      <w:r w:rsidR="0064165C">
        <w:rPr>
          <w:rFonts w:ascii="Bookman Old Style" w:hAnsi="Bookman Old Style"/>
          <w:sz w:val="24"/>
          <w:szCs w:val="24"/>
        </w:rPr>
        <w:t>S</w:t>
      </w:r>
      <w:r w:rsidR="0064165C" w:rsidRPr="0013707D">
        <w:rPr>
          <w:rFonts w:ascii="Bookman Old Style" w:hAnsi="Bookman Old Style"/>
          <w:sz w:val="24"/>
          <w:szCs w:val="24"/>
        </w:rPr>
        <w:t xml:space="preserve">istema </w:t>
      </w:r>
      <w:r w:rsidR="0064165C">
        <w:rPr>
          <w:rFonts w:ascii="Bookman Old Style" w:hAnsi="Bookman Old Style"/>
          <w:sz w:val="24"/>
          <w:szCs w:val="24"/>
        </w:rPr>
        <w:t xml:space="preserve">Nacional </w:t>
      </w:r>
      <w:r w:rsidRPr="0013707D">
        <w:rPr>
          <w:rFonts w:ascii="Bookman Old Style" w:hAnsi="Bookman Old Style"/>
          <w:sz w:val="24"/>
          <w:szCs w:val="24"/>
        </w:rPr>
        <w:t xml:space="preserve">de </w:t>
      </w:r>
      <w:r w:rsidR="0064165C">
        <w:rPr>
          <w:rFonts w:ascii="Bookman Old Style" w:hAnsi="Bookman Old Style"/>
          <w:sz w:val="24"/>
          <w:szCs w:val="24"/>
        </w:rPr>
        <w:t>T</w:t>
      </w:r>
      <w:r w:rsidR="0064165C" w:rsidRPr="0013707D">
        <w:rPr>
          <w:rFonts w:ascii="Bookman Old Style" w:hAnsi="Bookman Old Style"/>
          <w:sz w:val="24"/>
          <w:szCs w:val="24"/>
        </w:rPr>
        <w:t>ransporte</w:t>
      </w:r>
      <w:r w:rsidRPr="0013707D">
        <w:rPr>
          <w:rFonts w:ascii="Bookman Old Style" w:hAnsi="Bookman Old Style"/>
          <w:sz w:val="24"/>
          <w:szCs w:val="24"/>
        </w:rPr>
        <w:t>; iii) un punto de transferencia entre transportadores; o iv) un punto de inicio o terminación del servicio de transporte.</w:t>
      </w:r>
    </w:p>
    <w:p w14:paraId="470CDC8E" w14:textId="77777777" w:rsidR="0006302B" w:rsidRPr="0013707D" w:rsidRDefault="0006302B" w:rsidP="0006302B">
      <w:pPr>
        <w:jc w:val="both"/>
        <w:rPr>
          <w:rFonts w:ascii="Bookman Old Style" w:hAnsi="Bookman Old Style"/>
          <w:lang w:val="es-CO"/>
        </w:rPr>
      </w:pPr>
    </w:p>
    <w:p w14:paraId="53762088" w14:textId="1D548AFF" w:rsidR="0006302B" w:rsidRPr="0013707D" w:rsidRDefault="0006302B" w:rsidP="00A4790E">
      <w:pPr>
        <w:pStyle w:val="Prrafodelista"/>
        <w:numPr>
          <w:ilvl w:val="0"/>
          <w:numId w:val="61"/>
        </w:numPr>
        <w:ind w:left="426" w:hanging="426"/>
        <w:jc w:val="both"/>
        <w:rPr>
          <w:rFonts w:ascii="Bookman Old Style" w:hAnsi="Bookman Old Style"/>
          <w:sz w:val="24"/>
          <w:szCs w:val="24"/>
        </w:rPr>
      </w:pPr>
      <w:r w:rsidRPr="0013707D">
        <w:rPr>
          <w:rFonts w:ascii="Bookman Old Style" w:hAnsi="Bookman Old Style"/>
          <w:b/>
          <w:sz w:val="24"/>
          <w:szCs w:val="24"/>
        </w:rPr>
        <w:t>Indicadores de formación de precios</w:t>
      </w:r>
      <w:r>
        <w:rPr>
          <w:rFonts w:ascii="Bookman Old Style" w:hAnsi="Bookman Old Style"/>
          <w:b/>
          <w:sz w:val="24"/>
          <w:szCs w:val="24"/>
        </w:rPr>
        <w:t xml:space="preserve"> de Intermediación</w:t>
      </w:r>
      <w:r w:rsidRPr="0013707D">
        <w:rPr>
          <w:rFonts w:ascii="Bookman Old Style" w:hAnsi="Bookman Old Style"/>
          <w:b/>
          <w:sz w:val="24"/>
          <w:szCs w:val="24"/>
        </w:rPr>
        <w:t xml:space="preserve">: </w:t>
      </w:r>
      <w:r w:rsidRPr="0013707D">
        <w:rPr>
          <w:rFonts w:ascii="Bookman Old Style" w:hAnsi="Bookman Old Style"/>
          <w:sz w:val="24"/>
          <w:szCs w:val="24"/>
        </w:rPr>
        <w:t>Mediante circular</w:t>
      </w:r>
      <w:r w:rsidR="0064165C">
        <w:rPr>
          <w:rFonts w:ascii="Bookman Old Style" w:hAnsi="Bookman Old Style"/>
          <w:sz w:val="24"/>
          <w:szCs w:val="24"/>
        </w:rPr>
        <w:t>,</w:t>
      </w:r>
      <w:r w:rsidRPr="0013707D">
        <w:rPr>
          <w:rFonts w:ascii="Bookman Old Style" w:hAnsi="Bookman Old Style"/>
          <w:sz w:val="24"/>
          <w:szCs w:val="24"/>
        </w:rPr>
        <w:t xml:space="preserve"> la Dirección Ejecutiva de la CREG definirá el conjunto de puntos estándar de entrega que se utilizarán para cada indicador. </w:t>
      </w:r>
      <w:r w:rsidR="0064165C">
        <w:rPr>
          <w:rFonts w:ascii="Bookman Old Style" w:hAnsi="Bookman Old Style"/>
          <w:sz w:val="24"/>
          <w:szCs w:val="24"/>
        </w:rPr>
        <w:t xml:space="preserve">Así </w:t>
      </w:r>
      <w:r w:rsidRPr="0013707D">
        <w:rPr>
          <w:rFonts w:ascii="Bookman Old Style" w:hAnsi="Bookman Old Style"/>
          <w:sz w:val="24"/>
          <w:szCs w:val="24"/>
        </w:rPr>
        <w:t>mismo, se definirá la metodología que se debe utilizar para el cálculo de los indicadores.</w:t>
      </w:r>
    </w:p>
    <w:p w14:paraId="75CADF4A" w14:textId="77777777" w:rsidR="0006302B" w:rsidRPr="0013707D" w:rsidRDefault="0006302B" w:rsidP="0006302B">
      <w:pPr>
        <w:pStyle w:val="Prrafodelista"/>
        <w:ind w:left="1134"/>
        <w:jc w:val="both"/>
        <w:rPr>
          <w:rFonts w:ascii="Bookman Old Style" w:hAnsi="Bookman Old Style"/>
          <w:sz w:val="24"/>
          <w:szCs w:val="24"/>
        </w:rPr>
      </w:pPr>
    </w:p>
    <w:p w14:paraId="02E50A94" w14:textId="00EDDF52" w:rsidR="0006302B" w:rsidRPr="0013707D" w:rsidRDefault="00F161BB" w:rsidP="0006302B">
      <w:pPr>
        <w:ind w:left="426"/>
        <w:jc w:val="both"/>
        <w:rPr>
          <w:rFonts w:ascii="Bookman Old Style" w:hAnsi="Bookman Old Style"/>
          <w:lang w:val="es-CO"/>
        </w:rPr>
      </w:pPr>
      <w:r>
        <w:rPr>
          <w:rFonts w:ascii="Bookman Old Style" w:hAnsi="Bookman Old Style"/>
          <w:lang w:val="es-CO"/>
        </w:rPr>
        <w:t>E</w:t>
      </w:r>
      <w:r w:rsidR="0006302B" w:rsidRPr="00BD550F">
        <w:rPr>
          <w:rFonts w:ascii="Bookman Old Style" w:hAnsi="Bookman Old Style"/>
          <w:lang w:val="es-CO"/>
        </w:rPr>
        <w:t xml:space="preserve">l </w:t>
      </w:r>
      <w:r w:rsidR="0022131A" w:rsidRPr="002D5416">
        <w:rPr>
          <w:rFonts w:ascii="Bookman Old Style" w:hAnsi="Bookman Old Style"/>
          <w:u w:color="FF0000"/>
          <w:lang w:val="es-CO"/>
        </w:rPr>
        <w:t>Gestor</w:t>
      </w:r>
      <w:r w:rsidR="0006302B" w:rsidRPr="00BD550F">
        <w:rPr>
          <w:rFonts w:ascii="Bookman Old Style" w:hAnsi="Bookman Old Style"/>
          <w:lang w:val="es-CO"/>
        </w:rPr>
        <w:t xml:space="preserve"> </w:t>
      </w:r>
      <w:r w:rsidR="0006302B">
        <w:rPr>
          <w:rFonts w:ascii="Bookman Old Style" w:hAnsi="Bookman Old Style"/>
          <w:lang w:val="es-CO"/>
        </w:rPr>
        <w:t>del Mercado</w:t>
      </w:r>
      <w:r w:rsidR="0006302B" w:rsidRPr="0013707D">
        <w:rPr>
          <w:rFonts w:ascii="Bookman Old Style" w:hAnsi="Bookman Old Style"/>
          <w:lang w:val="es-CO"/>
        </w:rPr>
        <w:t xml:space="preserve"> calculará y publicará en el BEC los indicadores de formación de precios, con base en la información registrada por los </w:t>
      </w:r>
      <w:r w:rsidR="00160277" w:rsidRPr="0013707D">
        <w:rPr>
          <w:rFonts w:ascii="Bookman Old Style" w:hAnsi="Bookman Old Style"/>
          <w:lang w:val="es-CO"/>
        </w:rPr>
        <w:t xml:space="preserve">Participantes </w:t>
      </w:r>
      <w:r w:rsidR="0006302B" w:rsidRPr="0013707D">
        <w:rPr>
          <w:rFonts w:ascii="Bookman Old Style" w:hAnsi="Bookman Old Style"/>
          <w:lang w:val="es-CO"/>
        </w:rPr>
        <w:t xml:space="preserve">del mercado para cada punto estándar de entrega. </w:t>
      </w:r>
    </w:p>
    <w:p w14:paraId="27D38A70" w14:textId="77777777" w:rsidR="0006302B" w:rsidRPr="0013707D" w:rsidRDefault="0006302B" w:rsidP="0006302B">
      <w:pPr>
        <w:jc w:val="both"/>
        <w:rPr>
          <w:rFonts w:ascii="Bookman Old Style" w:hAnsi="Bookman Old Style"/>
          <w:b/>
          <w:lang w:val="es-CO"/>
        </w:rPr>
      </w:pPr>
    </w:p>
    <w:p w14:paraId="7972A6C7" w14:textId="39967C97" w:rsidR="0006302B" w:rsidRPr="0030393A" w:rsidRDefault="0006302B" w:rsidP="0006302B">
      <w:pPr>
        <w:ind w:left="0"/>
        <w:jc w:val="both"/>
        <w:rPr>
          <w:rFonts w:ascii="Bookman Old Style" w:hAnsi="Bookman Old Style"/>
          <w:b/>
          <w:bCs/>
          <w:lang w:val="es-CO"/>
        </w:rPr>
      </w:pPr>
      <w:r w:rsidRPr="0013707D">
        <w:rPr>
          <w:rFonts w:ascii="Bookman Old Style" w:hAnsi="Bookman Old Style"/>
          <w:b/>
          <w:lang w:val="es-CO"/>
        </w:rPr>
        <w:t>Parágrafo 1.</w:t>
      </w:r>
      <w:r w:rsidRPr="0013707D">
        <w:rPr>
          <w:rFonts w:ascii="Bookman Old Style" w:hAnsi="Bookman Old Style"/>
          <w:lang w:val="es-CO"/>
        </w:rPr>
        <w:t xml:space="preserve"> </w:t>
      </w:r>
      <w:r w:rsidRPr="00190A11">
        <w:rPr>
          <w:rFonts w:ascii="Bookman Old Style" w:hAnsi="Bookman Old Style"/>
          <w:lang w:val="es-CO"/>
        </w:rPr>
        <w:t xml:space="preserve">El vendedor </w:t>
      </w:r>
      <w:r>
        <w:rPr>
          <w:rFonts w:ascii="Bookman Old Style" w:hAnsi="Bookman Old Style"/>
          <w:b/>
          <w:bCs/>
          <w:lang w:val="es-CO"/>
        </w:rPr>
        <w:t xml:space="preserve">del Mercado Secundario </w:t>
      </w:r>
      <w:r w:rsidRPr="00190A11">
        <w:rPr>
          <w:rFonts w:ascii="Bookman Old Style" w:hAnsi="Bookman Old Style"/>
          <w:lang w:val="es-CO"/>
        </w:rPr>
        <w:t>deberá entregar</w:t>
      </w:r>
      <w:r>
        <w:rPr>
          <w:rFonts w:ascii="Bookman Old Style" w:hAnsi="Bookman Old Style"/>
          <w:lang w:val="es-CO"/>
        </w:rPr>
        <w:t xml:space="preserve"> el gas</w:t>
      </w:r>
      <w:r w:rsidRPr="00190A11">
        <w:rPr>
          <w:rFonts w:ascii="Bookman Old Style" w:hAnsi="Bookman Old Style"/>
          <w:lang w:val="es-CO"/>
        </w:rPr>
        <w:t xml:space="preserve"> en el </w:t>
      </w:r>
      <w:r w:rsidR="00455944">
        <w:rPr>
          <w:rFonts w:ascii="Bookman Old Style" w:hAnsi="Bookman Old Style"/>
          <w:lang w:val="es-CO"/>
        </w:rPr>
        <w:t xml:space="preserve">Punto </w:t>
      </w:r>
      <w:r w:rsidR="00F161BB">
        <w:rPr>
          <w:rFonts w:ascii="Bookman Old Style" w:hAnsi="Bookman Old Style"/>
          <w:lang w:val="es-CO"/>
        </w:rPr>
        <w:t xml:space="preserve">estándar </w:t>
      </w:r>
      <w:r w:rsidR="00455944">
        <w:rPr>
          <w:rFonts w:ascii="Bookman Old Style" w:hAnsi="Bookman Old Style"/>
          <w:lang w:val="es-CO"/>
        </w:rPr>
        <w:t xml:space="preserve">de Entrega </w:t>
      </w:r>
      <w:r w:rsidRPr="00295053">
        <w:rPr>
          <w:rFonts w:ascii="Bookman Old Style" w:hAnsi="Bookman Old Style"/>
          <w:b/>
          <w:bCs/>
          <w:lang w:val="es-CO"/>
        </w:rPr>
        <w:t>pactado</w:t>
      </w:r>
      <w:r>
        <w:rPr>
          <w:rFonts w:ascii="Bookman Old Style" w:hAnsi="Bookman Old Style"/>
          <w:lang w:val="es-CO"/>
        </w:rPr>
        <w:t xml:space="preserve"> </w:t>
      </w:r>
      <w:r>
        <w:rPr>
          <w:rFonts w:ascii="Bookman Old Style" w:hAnsi="Bookman Old Style"/>
          <w:b/>
          <w:bCs/>
          <w:lang w:val="es-CO"/>
        </w:rPr>
        <w:t xml:space="preserve">en los contratos de </w:t>
      </w:r>
      <w:r w:rsidR="00160277">
        <w:rPr>
          <w:rFonts w:ascii="Bookman Old Style" w:hAnsi="Bookman Old Style"/>
          <w:b/>
          <w:bCs/>
          <w:lang w:val="es-CO"/>
        </w:rPr>
        <w:t xml:space="preserve">derechos de </w:t>
      </w:r>
      <w:r>
        <w:rPr>
          <w:rFonts w:ascii="Bookman Old Style" w:hAnsi="Bookman Old Style"/>
          <w:b/>
          <w:bCs/>
          <w:lang w:val="es-CO"/>
        </w:rPr>
        <w:t>suministro</w:t>
      </w:r>
      <w:r w:rsidRPr="00190A11">
        <w:rPr>
          <w:rFonts w:ascii="Bookman Old Style" w:hAnsi="Bookman Old Style"/>
          <w:lang w:val="es-CO"/>
        </w:rPr>
        <w:t xml:space="preserve">, el cual deberá corresponder a uno de los puntos estándar listados en la Circular que la CREG </w:t>
      </w:r>
      <w:r w:rsidR="00F161BB" w:rsidRPr="00295053">
        <w:rPr>
          <w:rFonts w:ascii="Bookman Old Style" w:hAnsi="Bookman Old Style"/>
          <w:b/>
          <w:bCs/>
          <w:lang w:val="es-CO"/>
        </w:rPr>
        <w:t>publicada</w:t>
      </w:r>
      <w:r w:rsidR="00F161BB" w:rsidRPr="00190A11">
        <w:rPr>
          <w:rFonts w:ascii="Bookman Old Style" w:hAnsi="Bookman Old Style"/>
          <w:lang w:val="es-CO"/>
        </w:rPr>
        <w:t xml:space="preserve"> </w:t>
      </w:r>
      <w:r w:rsidRPr="00190A11">
        <w:rPr>
          <w:rFonts w:ascii="Bookman Old Style" w:hAnsi="Bookman Old Style"/>
          <w:lang w:val="es-CO"/>
        </w:rPr>
        <w:t xml:space="preserve">para </w:t>
      </w:r>
      <w:r w:rsidRPr="0030393A">
        <w:rPr>
          <w:rFonts w:ascii="Bookman Old Style" w:hAnsi="Bookman Old Style"/>
          <w:lang w:val="es-CO"/>
        </w:rPr>
        <w:t>esos efectos</w:t>
      </w:r>
      <w:r w:rsidR="0064165C" w:rsidRPr="0030393A">
        <w:rPr>
          <w:rFonts w:ascii="Bookman Old Style" w:hAnsi="Bookman Old Style"/>
          <w:lang w:val="es-CO"/>
        </w:rPr>
        <w:t>,</w:t>
      </w:r>
      <w:r w:rsidRPr="0030393A">
        <w:rPr>
          <w:rFonts w:ascii="Bookman Old Style" w:hAnsi="Bookman Old Style"/>
          <w:lang w:val="es-CO"/>
        </w:rPr>
        <w:t xml:space="preserve"> y deberá asumir los costos para transportar</w:t>
      </w:r>
      <w:r w:rsidR="00F161BB">
        <w:rPr>
          <w:rFonts w:ascii="Bookman Old Style" w:hAnsi="Bookman Old Style"/>
          <w:lang w:val="es-CO"/>
        </w:rPr>
        <w:t xml:space="preserve"> el gas</w:t>
      </w:r>
      <w:r w:rsidRPr="0030393A">
        <w:rPr>
          <w:rFonts w:ascii="Bookman Old Style" w:hAnsi="Bookman Old Style"/>
          <w:lang w:val="es-CO"/>
        </w:rPr>
        <w:t xml:space="preserve"> hasta ese punto. </w:t>
      </w:r>
      <w:r w:rsidRPr="0030393A">
        <w:rPr>
          <w:rFonts w:ascii="Bookman Old Style" w:hAnsi="Bookman Old Style"/>
          <w:b/>
          <w:bCs/>
          <w:lang w:val="es-CO"/>
        </w:rPr>
        <w:t>La información de precios del gas natural que será comercializado en el mercado secundario y la de los costos de transporte que asumirá hasta el Punto Estándar de entrega deberá desagregarse</w:t>
      </w:r>
      <w:r w:rsidR="00F161BB">
        <w:rPr>
          <w:rFonts w:ascii="Bookman Old Style" w:hAnsi="Bookman Old Style"/>
          <w:b/>
          <w:bCs/>
          <w:lang w:val="es-CO"/>
        </w:rPr>
        <w:t xml:space="preserve"> </w:t>
      </w:r>
      <w:r w:rsidRPr="0030393A">
        <w:rPr>
          <w:rFonts w:ascii="Bookman Old Style" w:hAnsi="Bookman Old Style"/>
          <w:b/>
          <w:bCs/>
          <w:lang w:val="es-CO"/>
        </w:rPr>
        <w:t>en los contratos de</w:t>
      </w:r>
      <w:r w:rsidR="00160277" w:rsidRPr="0030393A">
        <w:rPr>
          <w:rFonts w:ascii="Bookman Old Style" w:hAnsi="Bookman Old Style"/>
          <w:b/>
          <w:bCs/>
          <w:lang w:val="es-CO"/>
        </w:rPr>
        <w:t xml:space="preserve"> derechos de</w:t>
      </w:r>
      <w:r w:rsidRPr="0030393A">
        <w:rPr>
          <w:rFonts w:ascii="Bookman Old Style" w:hAnsi="Bookman Old Style"/>
          <w:b/>
          <w:bCs/>
          <w:lang w:val="es-CO"/>
        </w:rPr>
        <w:t xml:space="preserve"> suministro</w:t>
      </w:r>
      <w:r w:rsidR="00F161BB">
        <w:rPr>
          <w:rFonts w:ascii="Bookman Old Style" w:hAnsi="Bookman Old Style"/>
          <w:b/>
          <w:bCs/>
          <w:lang w:val="es-CO"/>
        </w:rPr>
        <w:t xml:space="preserve"> y deberá</w:t>
      </w:r>
      <w:r w:rsidRPr="0030393A">
        <w:rPr>
          <w:rFonts w:ascii="Bookman Old Style" w:hAnsi="Bookman Old Style"/>
          <w:b/>
          <w:bCs/>
          <w:lang w:val="es-CO"/>
        </w:rPr>
        <w:t xml:space="preserve"> informarse al </w:t>
      </w:r>
      <w:r w:rsidR="0022131A" w:rsidRPr="0030393A">
        <w:rPr>
          <w:rFonts w:ascii="Bookman Old Style" w:hAnsi="Bookman Old Style"/>
          <w:b/>
          <w:u w:color="FF0000"/>
          <w:lang w:val="es-CO"/>
        </w:rPr>
        <w:t>Gestor</w:t>
      </w:r>
      <w:r w:rsidRPr="0030393A">
        <w:rPr>
          <w:rFonts w:ascii="Bookman Old Style" w:hAnsi="Bookman Old Style"/>
          <w:b/>
          <w:lang w:val="es-CO"/>
        </w:rPr>
        <w:t xml:space="preserve"> </w:t>
      </w:r>
      <w:r w:rsidR="00BD550F" w:rsidRPr="0030393A">
        <w:rPr>
          <w:rFonts w:ascii="Bookman Old Style" w:hAnsi="Bookman Old Style"/>
          <w:b/>
          <w:bCs/>
          <w:lang w:val="es-CO"/>
        </w:rPr>
        <w:t xml:space="preserve">del Mercado </w:t>
      </w:r>
      <w:r w:rsidRPr="0030393A">
        <w:rPr>
          <w:rFonts w:ascii="Bookman Old Style" w:hAnsi="Bookman Old Style"/>
          <w:b/>
          <w:bCs/>
          <w:lang w:val="es-CO"/>
        </w:rPr>
        <w:t xml:space="preserve">de </w:t>
      </w:r>
      <w:r w:rsidR="00F161BB">
        <w:rPr>
          <w:rFonts w:ascii="Bookman Old Style" w:hAnsi="Bookman Old Style"/>
          <w:b/>
          <w:bCs/>
          <w:lang w:val="es-CO"/>
        </w:rPr>
        <w:t xml:space="preserve">esa misma </w:t>
      </w:r>
      <w:r w:rsidRPr="0030393A">
        <w:rPr>
          <w:rFonts w:ascii="Bookman Old Style" w:hAnsi="Bookman Old Style"/>
          <w:b/>
          <w:bCs/>
          <w:lang w:val="es-CO"/>
        </w:rPr>
        <w:t>manera</w:t>
      </w:r>
      <w:r w:rsidR="0064165C" w:rsidRPr="0030393A">
        <w:rPr>
          <w:rFonts w:ascii="Bookman Old Style" w:hAnsi="Bookman Old Style"/>
          <w:b/>
          <w:bCs/>
          <w:lang w:val="es-CO"/>
        </w:rPr>
        <w:t>.</w:t>
      </w:r>
    </w:p>
    <w:p w14:paraId="3E752B10" w14:textId="77777777" w:rsidR="0006302B" w:rsidRPr="0030393A" w:rsidRDefault="0006302B" w:rsidP="0006302B">
      <w:pPr>
        <w:jc w:val="both"/>
        <w:rPr>
          <w:rFonts w:ascii="Bookman Old Style" w:hAnsi="Bookman Old Style"/>
          <w:b/>
          <w:lang w:val="es-CO"/>
        </w:rPr>
      </w:pPr>
    </w:p>
    <w:p w14:paraId="3001C793" w14:textId="7551A664" w:rsidR="0006302B" w:rsidRPr="0030393A" w:rsidRDefault="0006302B" w:rsidP="0006302B">
      <w:pPr>
        <w:ind w:left="0"/>
        <w:jc w:val="both"/>
        <w:rPr>
          <w:rFonts w:ascii="Bookman Old Style" w:hAnsi="Bookman Old Style"/>
          <w:strike/>
          <w:lang w:val="es-CO"/>
        </w:rPr>
      </w:pPr>
      <w:r w:rsidRPr="0030393A">
        <w:rPr>
          <w:rFonts w:ascii="Bookman Old Style" w:hAnsi="Bookman Old Style"/>
          <w:b/>
          <w:lang w:val="es-CO"/>
        </w:rPr>
        <w:t>Parágrafo 2.</w:t>
      </w:r>
      <w:r w:rsidRPr="0030393A">
        <w:rPr>
          <w:rFonts w:ascii="Bookman Old Style" w:hAnsi="Bookman Old Style"/>
          <w:lang w:val="es-CO"/>
        </w:rPr>
        <w:t xml:space="preserve"> La transferencia de propiedad del gas entre los Participantes del Mercado que actúan en el vendedor y el comprador del mercado secundario deberá corresponder a uno de los puntos estándar listados en la circular que la CREG publique para estos efectos.</w:t>
      </w:r>
    </w:p>
    <w:p w14:paraId="4F52262C" w14:textId="77777777" w:rsidR="0006302B" w:rsidRPr="0030393A" w:rsidRDefault="0006302B" w:rsidP="0006302B">
      <w:pPr>
        <w:jc w:val="both"/>
        <w:rPr>
          <w:rFonts w:ascii="Bookman Old Style" w:hAnsi="Bookman Old Style"/>
          <w:lang w:val="es-CO"/>
        </w:rPr>
      </w:pPr>
    </w:p>
    <w:p w14:paraId="1D8F42AC" w14:textId="5A90FE96" w:rsidR="0006302B" w:rsidRPr="0013707D" w:rsidRDefault="0006302B" w:rsidP="0006302B">
      <w:pPr>
        <w:ind w:left="0"/>
        <w:jc w:val="both"/>
        <w:rPr>
          <w:rFonts w:ascii="Bookman Old Style" w:hAnsi="Bookman Old Style"/>
          <w:lang w:val="es-CO"/>
        </w:rPr>
      </w:pPr>
      <w:r w:rsidRPr="0030393A">
        <w:rPr>
          <w:rFonts w:ascii="Bookman Old Style" w:hAnsi="Bookman Old Style"/>
          <w:b/>
          <w:lang w:val="es-CO"/>
        </w:rPr>
        <w:t>Parágrafo 3.</w:t>
      </w:r>
      <w:r w:rsidRPr="0030393A">
        <w:rPr>
          <w:rFonts w:ascii="Bookman Old Style" w:hAnsi="Bookman Old Style"/>
          <w:lang w:val="es-CO"/>
        </w:rPr>
        <w:t xml:space="preserve"> Se deberá</w:t>
      </w:r>
      <w:r w:rsidR="0064165C" w:rsidRPr="0030393A">
        <w:rPr>
          <w:rFonts w:ascii="Bookman Old Style" w:hAnsi="Bookman Old Style"/>
          <w:lang w:val="es-CO"/>
        </w:rPr>
        <w:t>n</w:t>
      </w:r>
      <w:r w:rsidRPr="0030393A">
        <w:rPr>
          <w:rFonts w:ascii="Bookman Old Style" w:hAnsi="Bookman Old Style"/>
          <w:lang w:val="es-CO"/>
        </w:rPr>
        <w:t xml:space="preserve"> reportar</w:t>
      </w:r>
      <w:r w:rsidRPr="0013707D">
        <w:rPr>
          <w:rFonts w:ascii="Bookman Old Style" w:hAnsi="Bookman Old Style"/>
          <w:lang w:val="es-CO"/>
        </w:rPr>
        <w:t xml:space="preserve"> </w:t>
      </w:r>
      <w:r w:rsidRPr="0003548A">
        <w:rPr>
          <w:rFonts w:ascii="Bookman Old Style" w:hAnsi="Bookman Old Style"/>
          <w:b/>
          <w:bCs/>
          <w:lang w:val="es-CO"/>
        </w:rPr>
        <w:t xml:space="preserve">al </w:t>
      </w:r>
      <w:r w:rsidR="0022131A" w:rsidRPr="002D5416">
        <w:rPr>
          <w:rFonts w:ascii="Bookman Old Style" w:hAnsi="Bookman Old Style"/>
          <w:b/>
          <w:u w:color="FF0000"/>
          <w:lang w:val="es-CO"/>
        </w:rPr>
        <w:t>Gestor</w:t>
      </w:r>
      <w:r w:rsidRPr="00BD550F">
        <w:rPr>
          <w:rFonts w:ascii="Bookman Old Style" w:hAnsi="Bookman Old Style"/>
          <w:b/>
          <w:lang w:val="es-CO"/>
        </w:rPr>
        <w:t xml:space="preserve"> </w:t>
      </w:r>
      <w:r w:rsidRPr="0003548A">
        <w:rPr>
          <w:rFonts w:ascii="Bookman Old Style" w:hAnsi="Bookman Old Style"/>
          <w:b/>
          <w:bCs/>
          <w:lang w:val="es-CO"/>
        </w:rPr>
        <w:t xml:space="preserve">del Mercado todos </w:t>
      </w:r>
      <w:r w:rsidRPr="00FA2430">
        <w:rPr>
          <w:rFonts w:ascii="Bookman Old Style" w:hAnsi="Bookman Old Style"/>
          <w:lang w:val="es-CO"/>
        </w:rPr>
        <w:t>los puntos</w:t>
      </w:r>
      <w:r w:rsidRPr="0013707D">
        <w:rPr>
          <w:rFonts w:ascii="Bookman Old Style" w:hAnsi="Bookman Old Style"/>
          <w:lang w:val="es-CO"/>
        </w:rPr>
        <w:t xml:space="preserve"> estándar de entrega </w:t>
      </w:r>
      <w:r>
        <w:rPr>
          <w:rFonts w:ascii="Bookman Old Style" w:hAnsi="Bookman Old Style"/>
          <w:b/>
          <w:bCs/>
          <w:lang w:val="es-CO"/>
        </w:rPr>
        <w:t xml:space="preserve">pactados en los Contratos de </w:t>
      </w:r>
      <w:r w:rsidR="00160277">
        <w:rPr>
          <w:rFonts w:ascii="Bookman Old Style" w:hAnsi="Bookman Old Style"/>
          <w:b/>
          <w:bCs/>
          <w:lang w:val="es-CO"/>
        </w:rPr>
        <w:t xml:space="preserve">derechos de </w:t>
      </w:r>
      <w:r>
        <w:rPr>
          <w:rFonts w:ascii="Bookman Old Style" w:hAnsi="Bookman Old Style"/>
          <w:b/>
          <w:bCs/>
          <w:lang w:val="es-CO"/>
        </w:rPr>
        <w:t xml:space="preserve">Suministro del Mercado Secundario asociado con </w:t>
      </w:r>
      <w:r w:rsidRPr="0013707D">
        <w:rPr>
          <w:rFonts w:ascii="Bookman Old Style" w:hAnsi="Bookman Old Style"/>
          <w:lang w:val="es-CO"/>
        </w:rPr>
        <w:t xml:space="preserve">el código de la División Político-administrativa, </w:t>
      </w:r>
      <w:proofErr w:type="spellStart"/>
      <w:r w:rsidRPr="0013707D">
        <w:rPr>
          <w:rFonts w:ascii="Bookman Old Style" w:hAnsi="Bookman Old Style"/>
          <w:lang w:val="es-CO"/>
        </w:rPr>
        <w:t>Divipola</w:t>
      </w:r>
      <w:proofErr w:type="spellEnd"/>
      <w:r w:rsidR="0064165C">
        <w:rPr>
          <w:rFonts w:ascii="Bookman Old Style" w:hAnsi="Bookman Old Style"/>
          <w:lang w:val="es-CO"/>
        </w:rPr>
        <w:t>,</w:t>
      </w:r>
      <w:r w:rsidRPr="0013707D">
        <w:rPr>
          <w:rFonts w:ascii="Bookman Old Style" w:hAnsi="Bookman Old Style"/>
          <w:lang w:val="es-CO"/>
        </w:rPr>
        <w:t xml:space="preserve"> vigente, publicado en la página web del Departamento </w:t>
      </w:r>
      <w:r w:rsidRPr="0013707D">
        <w:rPr>
          <w:rFonts w:ascii="Bookman Old Style" w:hAnsi="Bookman Old Style"/>
          <w:lang w:val="es-CO"/>
        </w:rPr>
        <w:lastRenderedPageBreak/>
        <w:t xml:space="preserve">Nacional de Estadística, DANE, del centro poblado en el que el </w:t>
      </w:r>
      <w:r w:rsidRPr="00F500B9">
        <w:rPr>
          <w:rFonts w:ascii="Bookman Old Style" w:hAnsi="Bookman Old Style"/>
          <w:b/>
          <w:bCs/>
          <w:lang w:val="es-CO"/>
        </w:rPr>
        <w:t xml:space="preserve">Comercializador </w:t>
      </w:r>
      <w:r w:rsidRPr="00191320">
        <w:rPr>
          <w:rFonts w:ascii="Bookman Old Style" w:hAnsi="Bookman Old Style"/>
          <w:b/>
          <w:bCs/>
          <w:lang w:val="es-CO"/>
        </w:rPr>
        <w:t>entregue el gas</w:t>
      </w:r>
      <w:r w:rsidR="0064165C">
        <w:rPr>
          <w:rFonts w:ascii="Bookman Old Style" w:hAnsi="Bookman Old Style"/>
          <w:b/>
          <w:bCs/>
          <w:lang w:val="es-CO"/>
        </w:rPr>
        <w:t>,</w:t>
      </w:r>
      <w:r w:rsidR="009E4E09" w:rsidRPr="00191320">
        <w:rPr>
          <w:rFonts w:ascii="Bookman Old Style" w:hAnsi="Bookman Old Style"/>
          <w:b/>
          <w:bCs/>
          <w:lang w:val="es-CO"/>
        </w:rPr>
        <w:t xml:space="preserve"> asociando la fuente de sum</w:t>
      </w:r>
      <w:r w:rsidR="009E1E55" w:rsidRPr="00191320">
        <w:rPr>
          <w:rFonts w:ascii="Bookman Old Style" w:hAnsi="Bookman Old Style"/>
          <w:b/>
          <w:bCs/>
          <w:lang w:val="es-CO"/>
        </w:rPr>
        <w:t>i</w:t>
      </w:r>
      <w:r w:rsidR="009E4E09" w:rsidRPr="00191320">
        <w:rPr>
          <w:rFonts w:ascii="Bookman Old Style" w:hAnsi="Bookman Old Style"/>
          <w:b/>
          <w:bCs/>
          <w:lang w:val="es-CO"/>
        </w:rPr>
        <w:t>nistro y el contrato o contratos del Mercado Primario del que sea titular de los derechos de suministro</w:t>
      </w:r>
      <w:r w:rsidRPr="0013707D">
        <w:rPr>
          <w:rFonts w:ascii="Bookman Old Style" w:hAnsi="Bookman Old Style"/>
          <w:lang w:val="es-CO"/>
        </w:rPr>
        <w:t>.</w:t>
      </w:r>
    </w:p>
    <w:p w14:paraId="1BFD8E6A" w14:textId="77777777" w:rsidR="0006302B" w:rsidRPr="0013707D" w:rsidRDefault="0006302B" w:rsidP="0006302B">
      <w:pPr>
        <w:jc w:val="both"/>
        <w:rPr>
          <w:rFonts w:ascii="Bookman Old Style" w:hAnsi="Bookman Old Style"/>
          <w:lang w:val="es-CO"/>
        </w:rPr>
      </w:pPr>
    </w:p>
    <w:p w14:paraId="694D2863" w14:textId="51579E90" w:rsidR="0006302B" w:rsidRDefault="0006302B" w:rsidP="0006302B">
      <w:pPr>
        <w:tabs>
          <w:tab w:val="center" w:pos="1134"/>
        </w:tabs>
        <w:suppressAutoHyphens/>
        <w:ind w:left="0" w:right="51"/>
        <w:jc w:val="both"/>
        <w:rPr>
          <w:rFonts w:ascii="Bookman Old Style" w:hAnsi="Bookman Old Style"/>
          <w:lang w:val="es-CO"/>
        </w:rPr>
      </w:pPr>
      <w:r w:rsidRPr="0013707D">
        <w:rPr>
          <w:rFonts w:ascii="Bookman Old Style" w:hAnsi="Bookman Old Style"/>
          <w:b/>
          <w:lang w:val="es-CO"/>
        </w:rPr>
        <w:t xml:space="preserve">Parágrafo </w:t>
      </w:r>
      <w:r>
        <w:rPr>
          <w:rFonts w:ascii="Bookman Old Style" w:hAnsi="Bookman Old Style"/>
          <w:b/>
          <w:lang w:val="es-CO"/>
        </w:rPr>
        <w:t>4</w:t>
      </w:r>
      <w:r w:rsidRPr="0013707D">
        <w:rPr>
          <w:rFonts w:ascii="Bookman Old Style" w:hAnsi="Bookman Old Style"/>
          <w:b/>
          <w:lang w:val="es-CO"/>
        </w:rPr>
        <w:t xml:space="preserve">. </w:t>
      </w:r>
      <w:r w:rsidRPr="0013707D">
        <w:rPr>
          <w:rFonts w:ascii="Bookman Old Style" w:hAnsi="Bookman Old Style"/>
          <w:lang w:val="es-CO"/>
        </w:rPr>
        <w:t>En la ejecución de los contratos con</w:t>
      </w:r>
      <w:r>
        <w:rPr>
          <w:rFonts w:ascii="Bookman Old Style" w:hAnsi="Bookman Old Style"/>
          <w:lang w:val="es-CO"/>
        </w:rPr>
        <w:t xml:space="preserve"> interrupciones</w:t>
      </w:r>
      <w:r w:rsidRPr="0013707D">
        <w:rPr>
          <w:rFonts w:ascii="Bookman Old Style" w:hAnsi="Bookman Old Style"/>
          <w:lang w:val="es-CO"/>
        </w:rPr>
        <w:t xml:space="preserve"> negociados bilateralmente, como se establece en </w:t>
      </w:r>
      <w:r w:rsidRPr="00D66B65">
        <w:rPr>
          <w:rFonts w:ascii="Bookman Old Style" w:hAnsi="Bookman Old Style"/>
          <w:lang w:val="es-CO"/>
        </w:rPr>
        <w:t>el</w:t>
      </w:r>
      <w:r w:rsidR="00DD53A4">
        <w:rPr>
          <w:rFonts w:ascii="Bookman Old Style" w:hAnsi="Bookman Old Style"/>
          <w:lang w:val="es-CO"/>
        </w:rPr>
        <w:t xml:space="preserve"> artículo </w:t>
      </w:r>
      <w:r w:rsidR="00DD53A4" w:rsidRPr="00996A90">
        <w:rPr>
          <w:rFonts w:ascii="Bookman Old Style" w:hAnsi="Bookman Old Style"/>
          <w:b/>
          <w:bCs/>
          <w:lang w:val="es-CO"/>
        </w:rPr>
        <w:t>37</w:t>
      </w:r>
      <w:r w:rsidR="008E7D39" w:rsidRPr="005B3C21">
        <w:rPr>
          <w:rFonts w:ascii="Bookman Old Style" w:hAnsi="Bookman Old Style"/>
          <w:lang w:val="es-CO"/>
        </w:rPr>
        <w:t xml:space="preserve"> </w:t>
      </w:r>
      <w:r w:rsidRPr="005B3C21">
        <w:rPr>
          <w:rFonts w:ascii="Bookman Old Style" w:hAnsi="Bookman Old Style"/>
          <w:lang w:val="es-CO"/>
        </w:rPr>
        <w:t>de</w:t>
      </w:r>
      <w:r w:rsidRPr="0011653C">
        <w:rPr>
          <w:rFonts w:ascii="Bookman Old Style" w:hAnsi="Bookman Old Style"/>
          <w:lang w:val="es-CO"/>
        </w:rPr>
        <w:t xml:space="preserve"> la presente Resolución, las partes</w:t>
      </w:r>
      <w:r w:rsidRPr="0013707D">
        <w:rPr>
          <w:rFonts w:ascii="Bookman Old Style" w:hAnsi="Bookman Old Style"/>
          <w:lang w:val="es-CO"/>
        </w:rPr>
        <w:t xml:space="preserve"> definirán </w:t>
      </w:r>
      <w:r>
        <w:rPr>
          <w:rFonts w:ascii="Bookman Old Style" w:hAnsi="Bookman Old Style"/>
          <w:lang w:val="es-CO"/>
        </w:rPr>
        <w:t xml:space="preserve">los puntos </w:t>
      </w:r>
      <w:r w:rsidRPr="00466204">
        <w:rPr>
          <w:rFonts w:ascii="Bookman Old Style" w:hAnsi="Bookman Old Style"/>
          <w:lang w:val="es-CO"/>
        </w:rPr>
        <w:t>estándar de entrega</w:t>
      </w:r>
      <w:r w:rsidRPr="0013707D">
        <w:rPr>
          <w:rFonts w:ascii="Bookman Old Style" w:hAnsi="Bookman Old Style"/>
          <w:lang w:val="es-CO"/>
        </w:rPr>
        <w:t xml:space="preserve">, </w:t>
      </w:r>
      <w:r>
        <w:rPr>
          <w:rFonts w:ascii="Bookman Old Style" w:hAnsi="Bookman Old Style"/>
          <w:lang w:val="es-CO"/>
        </w:rPr>
        <w:t xml:space="preserve">el cual </w:t>
      </w:r>
      <w:r w:rsidRPr="0013707D">
        <w:rPr>
          <w:rFonts w:ascii="Bookman Old Style" w:hAnsi="Bookman Old Style"/>
          <w:lang w:val="es-CO"/>
        </w:rPr>
        <w:t xml:space="preserve">deberá corresponder a </w:t>
      </w:r>
      <w:r>
        <w:rPr>
          <w:rFonts w:ascii="Bookman Old Style" w:hAnsi="Bookman Old Style"/>
          <w:lang w:val="es-CO"/>
        </w:rPr>
        <w:t xml:space="preserve">uno de </w:t>
      </w:r>
      <w:r w:rsidRPr="0013707D">
        <w:rPr>
          <w:rFonts w:ascii="Bookman Old Style" w:hAnsi="Bookman Old Style"/>
          <w:lang w:val="es-CO"/>
        </w:rPr>
        <w:t>los puntos estándar listados en la circular que la CREG publique para estos efectos.</w:t>
      </w:r>
    </w:p>
    <w:p w14:paraId="25AA4796" w14:textId="77777777" w:rsidR="0064165C" w:rsidRPr="0013707D" w:rsidRDefault="0064165C" w:rsidP="0006302B">
      <w:pPr>
        <w:tabs>
          <w:tab w:val="center" w:pos="1134"/>
        </w:tabs>
        <w:suppressAutoHyphens/>
        <w:ind w:left="0" w:right="51"/>
        <w:jc w:val="both"/>
        <w:rPr>
          <w:rFonts w:ascii="Bookman Old Style" w:hAnsi="Bookman Old Style" w:cs="Arial"/>
          <w:color w:val="000000"/>
          <w:lang w:val="es-CO"/>
        </w:rPr>
      </w:pPr>
    </w:p>
    <w:p w14:paraId="0CB546FC" w14:textId="77777777" w:rsidR="0006302B" w:rsidRDefault="0006302B" w:rsidP="0006302B">
      <w:pPr>
        <w:keepNext/>
        <w:ind w:left="0"/>
        <w:jc w:val="center"/>
        <w:rPr>
          <w:rFonts w:cs="Arial"/>
          <w:b/>
          <w:color w:val="000000" w:themeColor="text1"/>
          <w:lang w:val="es-CO"/>
        </w:rPr>
      </w:pPr>
      <w:r w:rsidRPr="0013707D">
        <w:rPr>
          <w:rFonts w:ascii="Bookman Old Style" w:hAnsi="Bookman Old Style" w:cs="Arial"/>
          <w:b/>
          <w:bCs/>
          <w:color w:val="000000" w:themeColor="text1"/>
          <w:lang w:val="es-CO"/>
        </w:rPr>
        <w:t>Capítulo I</w:t>
      </w:r>
      <w:r>
        <w:rPr>
          <w:rFonts w:ascii="Bookman Old Style" w:hAnsi="Bookman Old Style" w:cs="Arial"/>
          <w:b/>
          <w:bCs/>
          <w:color w:val="000000" w:themeColor="text1"/>
          <w:lang w:val="es-CO"/>
        </w:rPr>
        <w:t>I</w:t>
      </w:r>
    </w:p>
    <w:p w14:paraId="2170EDCB" w14:textId="46E6F219" w:rsidR="0006302B" w:rsidRDefault="0006302B" w:rsidP="0006302B">
      <w:pPr>
        <w:pStyle w:val="ARTICULOS"/>
        <w:keepNext/>
        <w:widowControl/>
        <w:numPr>
          <w:ilvl w:val="0"/>
          <w:numId w:val="0"/>
        </w:numPr>
        <w:jc w:val="center"/>
        <w:rPr>
          <w:rFonts w:cs="Arial"/>
          <w:b/>
          <w:color w:val="000000" w:themeColor="text1"/>
          <w:lang w:val="es-CO" w:eastAsia="es-ES"/>
        </w:rPr>
      </w:pPr>
      <w:r w:rsidRPr="0013707D">
        <w:rPr>
          <w:rFonts w:cs="Arial"/>
          <w:b/>
          <w:color w:val="000000" w:themeColor="text1"/>
          <w:lang w:val="es-CO" w:eastAsia="es-ES"/>
        </w:rPr>
        <w:t>Participantes en el mercado secundario</w:t>
      </w:r>
    </w:p>
    <w:p w14:paraId="24E28B17" w14:textId="77777777" w:rsidR="000B5C30" w:rsidRPr="0013707D" w:rsidRDefault="000B5C30" w:rsidP="0006302B">
      <w:pPr>
        <w:pStyle w:val="ARTICULOS"/>
        <w:keepNext/>
        <w:widowControl/>
        <w:numPr>
          <w:ilvl w:val="0"/>
          <w:numId w:val="0"/>
        </w:numPr>
        <w:jc w:val="center"/>
        <w:rPr>
          <w:rFonts w:cs="Arial"/>
          <w:b/>
          <w:color w:val="000000" w:themeColor="text1"/>
          <w:lang w:val="es-CO" w:eastAsia="es-ES"/>
        </w:rPr>
      </w:pPr>
    </w:p>
    <w:p w14:paraId="543631CB" w14:textId="77777777" w:rsidR="0006302B" w:rsidRPr="0013707D" w:rsidRDefault="0006302B" w:rsidP="0006302B">
      <w:pPr>
        <w:pStyle w:val="ARTICULOS"/>
        <w:keepNext/>
        <w:widowControl/>
        <w:numPr>
          <w:ilvl w:val="0"/>
          <w:numId w:val="0"/>
        </w:numPr>
        <w:rPr>
          <w:rFonts w:cs="Arial"/>
          <w:color w:val="000000" w:themeColor="text1"/>
          <w:sz w:val="12"/>
          <w:lang w:val="es-CO"/>
        </w:rPr>
      </w:pPr>
    </w:p>
    <w:p w14:paraId="3E210C71" w14:textId="734EDA70" w:rsidR="0006302B" w:rsidRPr="00FF2A6F" w:rsidRDefault="0006302B" w:rsidP="0006302B">
      <w:pPr>
        <w:pStyle w:val="ARTICULOS"/>
        <w:tabs>
          <w:tab w:val="clear" w:pos="1559"/>
          <w:tab w:val="left" w:pos="1560"/>
        </w:tabs>
        <w:outlineLvl w:val="0"/>
        <w:rPr>
          <w:rFonts w:cs="Arial"/>
          <w:b/>
          <w:color w:val="000000" w:themeColor="text1"/>
          <w:lang w:val="es-CO"/>
        </w:rPr>
      </w:pPr>
      <w:bookmarkStart w:id="76" w:name="_Ref361222167"/>
      <w:bookmarkStart w:id="77" w:name="_Ref334546690"/>
      <w:r w:rsidRPr="00E36A45">
        <w:rPr>
          <w:rFonts w:cs="Arial"/>
          <w:b/>
          <w:color w:val="000000" w:themeColor="text1"/>
          <w:lang w:val="es-CO"/>
        </w:rPr>
        <w:t>Vendedores de gas natural</w:t>
      </w:r>
      <w:r>
        <w:rPr>
          <w:rFonts w:cs="Arial"/>
          <w:b/>
          <w:color w:val="000000" w:themeColor="text1"/>
          <w:lang w:val="es-CO"/>
        </w:rPr>
        <w:t xml:space="preserve"> del Mercado Secundario</w:t>
      </w:r>
      <w:r w:rsidRPr="00E36A45">
        <w:rPr>
          <w:rFonts w:cs="Arial"/>
          <w:b/>
          <w:color w:val="000000" w:themeColor="text1"/>
          <w:lang w:val="es-CO"/>
        </w:rPr>
        <w:t>.</w:t>
      </w:r>
      <w:r w:rsidRPr="0013707D">
        <w:rPr>
          <w:rFonts w:cs="Arial"/>
          <w:b/>
          <w:color w:val="000000" w:themeColor="text1"/>
          <w:lang w:val="es-CO"/>
        </w:rPr>
        <w:t xml:space="preserve"> </w:t>
      </w:r>
      <w:r w:rsidRPr="0013707D">
        <w:rPr>
          <w:rFonts w:cs="Arial"/>
          <w:color w:val="000000" w:themeColor="text1"/>
          <w:lang w:val="es-CO"/>
        </w:rPr>
        <w:t xml:space="preserve">Los </w:t>
      </w:r>
      <w:r w:rsidR="005269FB" w:rsidRPr="00295053">
        <w:rPr>
          <w:rFonts w:cs="Arial"/>
          <w:color w:val="000000" w:themeColor="text1"/>
          <w:lang w:val="es-CO"/>
        </w:rPr>
        <w:t xml:space="preserve">comercializadores </w:t>
      </w:r>
      <w:r w:rsidRPr="007C068B">
        <w:rPr>
          <w:rFonts w:cs="Arial"/>
          <w:color w:val="000000" w:themeColor="text1"/>
          <w:lang w:val="es-CO"/>
        </w:rPr>
        <w:t xml:space="preserve">y los usuarios no regulados </w:t>
      </w:r>
      <w:r w:rsidRPr="0013707D">
        <w:rPr>
          <w:rFonts w:cs="Arial"/>
          <w:color w:val="000000" w:themeColor="text1"/>
          <w:lang w:val="es-CO"/>
        </w:rPr>
        <w:t xml:space="preserve">son los únicos </w:t>
      </w:r>
      <w:r>
        <w:rPr>
          <w:rFonts w:cs="Arial"/>
          <w:color w:val="000000" w:themeColor="text1"/>
          <w:lang w:val="es-CO"/>
        </w:rPr>
        <w:t>P</w:t>
      </w:r>
      <w:r w:rsidRPr="0013707D">
        <w:rPr>
          <w:rFonts w:cs="Arial"/>
          <w:color w:val="000000" w:themeColor="text1"/>
          <w:lang w:val="es-CO"/>
        </w:rPr>
        <w:t xml:space="preserve">articipantes del </w:t>
      </w:r>
      <w:r>
        <w:rPr>
          <w:rFonts w:cs="Arial"/>
          <w:color w:val="000000" w:themeColor="text1"/>
          <w:lang w:val="es-CO"/>
        </w:rPr>
        <w:t>M</w:t>
      </w:r>
      <w:r w:rsidRPr="0013707D">
        <w:rPr>
          <w:rFonts w:cs="Arial"/>
          <w:color w:val="000000" w:themeColor="text1"/>
          <w:lang w:val="es-CO"/>
        </w:rPr>
        <w:t xml:space="preserve">ercado que podrán </w:t>
      </w:r>
      <w:r>
        <w:rPr>
          <w:rFonts w:cs="Arial"/>
          <w:color w:val="000000" w:themeColor="text1"/>
          <w:lang w:val="es-CO"/>
        </w:rPr>
        <w:t xml:space="preserve">vender </w:t>
      </w:r>
      <w:r w:rsidRPr="0013707D">
        <w:rPr>
          <w:rFonts w:cs="Arial"/>
          <w:color w:val="000000" w:themeColor="text1"/>
          <w:lang w:val="es-CO"/>
        </w:rPr>
        <w:t xml:space="preserve">gas natural en </w:t>
      </w:r>
      <w:r w:rsidRPr="00FF2A6F">
        <w:rPr>
          <w:rFonts w:cs="Arial"/>
          <w:color w:val="000000" w:themeColor="text1"/>
          <w:lang w:val="es-CO"/>
        </w:rPr>
        <w:t xml:space="preserve">el mercado secundario. Para la negociación de los respectivos contratos de </w:t>
      </w:r>
      <w:r w:rsidRPr="00FF2A6F">
        <w:rPr>
          <w:color w:val="000000" w:themeColor="text1"/>
          <w:lang w:val="es-CO"/>
        </w:rPr>
        <w:t>suministro</w:t>
      </w:r>
      <w:r w:rsidRPr="00FF2A6F">
        <w:rPr>
          <w:rFonts w:cs="Arial"/>
          <w:color w:val="000000" w:themeColor="text1"/>
          <w:lang w:val="es-CO"/>
        </w:rPr>
        <w:t xml:space="preserve"> de gas natural</w:t>
      </w:r>
      <w:r w:rsidR="0064165C">
        <w:rPr>
          <w:rFonts w:cs="Arial"/>
          <w:color w:val="000000" w:themeColor="text1"/>
          <w:lang w:val="es-CO"/>
        </w:rPr>
        <w:t>,</w:t>
      </w:r>
      <w:r w:rsidRPr="00FF2A6F">
        <w:rPr>
          <w:rFonts w:cs="Arial"/>
          <w:color w:val="000000" w:themeColor="text1"/>
          <w:lang w:val="es-CO"/>
        </w:rPr>
        <w:t xml:space="preserve"> estos </w:t>
      </w:r>
      <w:r>
        <w:rPr>
          <w:rFonts w:cs="Arial"/>
          <w:color w:val="000000" w:themeColor="text1"/>
          <w:lang w:val="es-CO"/>
        </w:rPr>
        <w:t>P</w:t>
      </w:r>
      <w:r w:rsidRPr="00FF2A6F">
        <w:rPr>
          <w:rFonts w:cs="Arial"/>
          <w:color w:val="000000" w:themeColor="text1"/>
          <w:lang w:val="es-CO"/>
        </w:rPr>
        <w:t xml:space="preserve">articipantes del mercado deberán seguir los mecanismos y procedimientos establecidos en el </w:t>
      </w:r>
      <w:r w:rsidRPr="00D66B65">
        <w:rPr>
          <w:rFonts w:cs="Arial"/>
          <w:color w:val="000000" w:themeColor="text1"/>
          <w:lang w:val="es-CO"/>
        </w:rPr>
        <w:t>capítulo III del título IV y en el título V de la presente Resolución.</w:t>
      </w:r>
      <w:bookmarkEnd w:id="76"/>
      <w:bookmarkEnd w:id="77"/>
    </w:p>
    <w:p w14:paraId="14E720C6" w14:textId="77777777" w:rsidR="0006302B" w:rsidRPr="00FF2A6F" w:rsidRDefault="0006302B" w:rsidP="0006302B">
      <w:pPr>
        <w:pStyle w:val="ARTICULOS"/>
        <w:numPr>
          <w:ilvl w:val="0"/>
          <w:numId w:val="0"/>
        </w:numPr>
        <w:tabs>
          <w:tab w:val="clear" w:pos="1559"/>
          <w:tab w:val="left" w:pos="1560"/>
        </w:tabs>
        <w:rPr>
          <w:rFonts w:cs="Arial"/>
          <w:b/>
          <w:color w:val="000000" w:themeColor="text1"/>
          <w:sz w:val="20"/>
          <w:lang w:val="es-CO"/>
        </w:rPr>
      </w:pPr>
    </w:p>
    <w:p w14:paraId="01E0F79E" w14:textId="7951EB49" w:rsidR="0006302B" w:rsidRPr="00D66B65" w:rsidRDefault="0006302B" w:rsidP="0006302B">
      <w:pPr>
        <w:pStyle w:val="ARTICULOS"/>
        <w:tabs>
          <w:tab w:val="clear" w:pos="1559"/>
          <w:tab w:val="left" w:pos="1560"/>
        </w:tabs>
        <w:outlineLvl w:val="0"/>
        <w:rPr>
          <w:rFonts w:cs="Arial"/>
          <w:b/>
          <w:color w:val="000000" w:themeColor="text1"/>
          <w:lang w:val="es-CO"/>
        </w:rPr>
      </w:pPr>
      <w:bookmarkStart w:id="78" w:name="_Ref334546692"/>
      <w:r w:rsidRPr="00FF2A6F">
        <w:rPr>
          <w:rFonts w:cs="Arial"/>
          <w:b/>
          <w:color w:val="000000" w:themeColor="text1"/>
          <w:lang w:val="es-CO"/>
        </w:rPr>
        <w:t>Compradores de gas natural</w:t>
      </w:r>
      <w:r>
        <w:rPr>
          <w:rFonts w:cs="Arial"/>
          <w:b/>
          <w:color w:val="000000" w:themeColor="text1"/>
          <w:lang w:val="es-CO"/>
        </w:rPr>
        <w:t xml:space="preserve"> del Mercado Secundario</w:t>
      </w:r>
      <w:r w:rsidRPr="00FF2A6F">
        <w:rPr>
          <w:rFonts w:cs="Arial"/>
          <w:b/>
          <w:color w:val="000000" w:themeColor="text1"/>
          <w:lang w:val="es-CO"/>
        </w:rPr>
        <w:t>.</w:t>
      </w:r>
      <w:r w:rsidRPr="00FF2A6F">
        <w:rPr>
          <w:rFonts w:cs="Arial"/>
          <w:color w:val="000000" w:themeColor="text1"/>
          <w:lang w:val="es-CO"/>
        </w:rPr>
        <w:t xml:space="preserve"> Los </w:t>
      </w:r>
      <w:r>
        <w:rPr>
          <w:rFonts w:cs="Arial"/>
          <w:color w:val="000000" w:themeColor="text1"/>
          <w:lang w:val="es-CO"/>
        </w:rPr>
        <w:t>P</w:t>
      </w:r>
      <w:r w:rsidRPr="00FF2A6F">
        <w:rPr>
          <w:rFonts w:cs="Arial"/>
          <w:color w:val="000000" w:themeColor="text1"/>
          <w:lang w:val="es-CO"/>
        </w:rPr>
        <w:t>roductores-comercializadores, los comercializadores de gas importado y los comercializadores</w:t>
      </w:r>
      <w:r>
        <w:rPr>
          <w:rFonts w:cs="Arial"/>
          <w:b/>
          <w:bCs w:val="0"/>
          <w:color w:val="000000" w:themeColor="text1"/>
          <w:lang w:val="es-CO"/>
        </w:rPr>
        <w:t xml:space="preserve"> </w:t>
      </w:r>
      <w:r w:rsidRPr="00FF2A6F">
        <w:rPr>
          <w:rFonts w:cs="Arial"/>
          <w:color w:val="000000" w:themeColor="text1"/>
          <w:lang w:val="es-CO"/>
        </w:rPr>
        <w:t xml:space="preserve">son los únicos </w:t>
      </w:r>
      <w:r>
        <w:rPr>
          <w:rFonts w:cs="Arial"/>
          <w:color w:val="000000" w:themeColor="text1"/>
          <w:lang w:val="es-CO"/>
        </w:rPr>
        <w:t>P</w:t>
      </w:r>
      <w:r w:rsidRPr="00FF2A6F">
        <w:rPr>
          <w:rFonts w:cs="Arial"/>
          <w:color w:val="000000" w:themeColor="text1"/>
          <w:lang w:val="es-CO"/>
        </w:rPr>
        <w:t xml:space="preserve">articipantes del mercado que podrán </w:t>
      </w:r>
      <w:r w:rsidRPr="00191320">
        <w:rPr>
          <w:rFonts w:cs="Arial"/>
          <w:b/>
          <w:bCs w:val="0"/>
          <w:color w:val="000000" w:themeColor="text1"/>
          <w:lang w:val="es-CO"/>
        </w:rPr>
        <w:t xml:space="preserve">comprar </w:t>
      </w:r>
      <w:r w:rsidR="000340B3" w:rsidRPr="00191320">
        <w:rPr>
          <w:rFonts w:cs="Arial"/>
          <w:b/>
          <w:bCs w:val="0"/>
          <w:color w:val="000000" w:themeColor="text1"/>
          <w:lang w:val="es-CO"/>
        </w:rPr>
        <w:t xml:space="preserve">derechos de </w:t>
      </w:r>
      <w:r w:rsidR="00FA2430" w:rsidRPr="00191320">
        <w:rPr>
          <w:rFonts w:cs="Arial"/>
          <w:b/>
          <w:bCs w:val="0"/>
          <w:color w:val="000000" w:themeColor="text1"/>
          <w:lang w:val="es-CO"/>
        </w:rPr>
        <w:t>suministro</w:t>
      </w:r>
      <w:r w:rsidR="00FA2430">
        <w:rPr>
          <w:rFonts w:cs="Arial"/>
          <w:color w:val="000000" w:themeColor="text1"/>
          <w:lang w:val="es-CO"/>
        </w:rPr>
        <w:t xml:space="preserve"> </w:t>
      </w:r>
      <w:r w:rsidR="00FA2430" w:rsidRPr="00FF2A6F">
        <w:rPr>
          <w:rFonts w:cs="Arial"/>
          <w:color w:val="000000" w:themeColor="text1"/>
          <w:lang w:val="es-CO"/>
        </w:rPr>
        <w:t>en</w:t>
      </w:r>
      <w:r w:rsidRPr="00FF2A6F">
        <w:rPr>
          <w:rFonts w:cs="Arial"/>
          <w:color w:val="000000" w:themeColor="text1"/>
          <w:lang w:val="es-CO"/>
        </w:rPr>
        <w:t xml:space="preserve"> el mercado secundario. Para la negociación de los respectivos contratos </w:t>
      </w:r>
      <w:r w:rsidR="000340B3">
        <w:rPr>
          <w:rFonts w:cs="Arial"/>
          <w:color w:val="000000" w:themeColor="text1"/>
          <w:lang w:val="es-CO"/>
        </w:rPr>
        <w:t>de</w:t>
      </w:r>
      <w:r w:rsidRPr="00FF2A6F">
        <w:rPr>
          <w:rFonts w:cs="Arial"/>
          <w:color w:val="000000" w:themeColor="text1"/>
          <w:lang w:val="es-CO"/>
        </w:rPr>
        <w:t xml:space="preserve"> suministro de gas natural </w:t>
      </w:r>
      <w:r>
        <w:rPr>
          <w:rFonts w:cs="Arial"/>
          <w:b/>
          <w:bCs w:val="0"/>
          <w:color w:val="000000" w:themeColor="text1"/>
          <w:lang w:val="es-CO"/>
        </w:rPr>
        <w:t>en el Mercado Secundario</w:t>
      </w:r>
      <w:r w:rsidR="00A52406">
        <w:rPr>
          <w:rFonts w:cs="Arial"/>
          <w:b/>
          <w:bCs w:val="0"/>
          <w:color w:val="000000" w:themeColor="text1"/>
          <w:lang w:val="es-CO"/>
        </w:rPr>
        <w:t>,</w:t>
      </w:r>
      <w:r>
        <w:rPr>
          <w:rFonts w:cs="Arial"/>
          <w:b/>
          <w:bCs w:val="0"/>
          <w:color w:val="000000" w:themeColor="text1"/>
          <w:lang w:val="es-CO"/>
        </w:rPr>
        <w:t xml:space="preserve"> </w:t>
      </w:r>
      <w:r w:rsidRPr="00FF2A6F">
        <w:rPr>
          <w:rFonts w:cs="Arial"/>
          <w:color w:val="000000" w:themeColor="text1"/>
          <w:lang w:val="es-CO"/>
        </w:rPr>
        <w:t xml:space="preserve">estos </w:t>
      </w:r>
      <w:r>
        <w:rPr>
          <w:rFonts w:cs="Arial"/>
          <w:color w:val="000000" w:themeColor="text1"/>
          <w:lang w:val="es-CO"/>
        </w:rPr>
        <w:t>P</w:t>
      </w:r>
      <w:r w:rsidRPr="00FF2A6F">
        <w:rPr>
          <w:rFonts w:cs="Arial"/>
          <w:color w:val="000000" w:themeColor="text1"/>
          <w:lang w:val="es-CO"/>
        </w:rPr>
        <w:t xml:space="preserve">articipantes del mercado deberán seguir los mecanismos y procedimientos establecidos en el </w:t>
      </w:r>
      <w:r w:rsidRPr="00D66B65">
        <w:rPr>
          <w:rFonts w:cs="Arial"/>
          <w:color w:val="000000" w:themeColor="text1"/>
          <w:lang w:val="es-CO"/>
        </w:rPr>
        <w:t>capítulo III del título IV y en el título V de la presente Resolución.</w:t>
      </w:r>
      <w:bookmarkEnd w:id="78"/>
    </w:p>
    <w:p w14:paraId="2E8817E8" w14:textId="77777777" w:rsidR="0006302B" w:rsidRPr="0055382A" w:rsidRDefault="0006302B" w:rsidP="0006302B">
      <w:pPr>
        <w:pStyle w:val="ARTICULOS"/>
        <w:numPr>
          <w:ilvl w:val="0"/>
          <w:numId w:val="0"/>
        </w:numPr>
        <w:tabs>
          <w:tab w:val="clear" w:pos="1559"/>
          <w:tab w:val="left" w:pos="1560"/>
        </w:tabs>
        <w:rPr>
          <w:rFonts w:cs="Arial"/>
          <w:b/>
          <w:color w:val="000000" w:themeColor="text1"/>
          <w:sz w:val="22"/>
          <w:lang w:val="es-CO"/>
        </w:rPr>
      </w:pPr>
    </w:p>
    <w:p w14:paraId="3609D8E8" w14:textId="77777777" w:rsidR="0006302B" w:rsidRPr="0055382A" w:rsidRDefault="0006302B" w:rsidP="0006302B">
      <w:pPr>
        <w:keepNext/>
        <w:ind w:left="0"/>
        <w:jc w:val="center"/>
        <w:rPr>
          <w:rFonts w:ascii="Bookman Old Style" w:hAnsi="Bookman Old Style" w:cs="Arial"/>
          <w:b/>
          <w:bCs/>
          <w:color w:val="000000" w:themeColor="text1"/>
          <w:lang w:val="es-CO"/>
        </w:rPr>
      </w:pPr>
      <w:r w:rsidRPr="0055382A">
        <w:rPr>
          <w:rFonts w:ascii="Bookman Old Style" w:hAnsi="Bookman Old Style" w:cs="Arial"/>
          <w:b/>
          <w:bCs/>
          <w:color w:val="000000" w:themeColor="text1"/>
          <w:lang w:val="es-CO"/>
        </w:rPr>
        <w:t>Capítulo III</w:t>
      </w:r>
    </w:p>
    <w:p w14:paraId="32D2FA8C" w14:textId="4A627B3D" w:rsidR="0006302B" w:rsidRPr="0055382A" w:rsidRDefault="0006302B" w:rsidP="0006302B">
      <w:pPr>
        <w:pStyle w:val="ARTICULOS"/>
        <w:keepNext/>
        <w:widowControl/>
        <w:numPr>
          <w:ilvl w:val="0"/>
          <w:numId w:val="0"/>
        </w:numPr>
        <w:jc w:val="center"/>
        <w:rPr>
          <w:rFonts w:cs="Arial"/>
          <w:b/>
          <w:color w:val="000000" w:themeColor="text1"/>
          <w:lang w:val="es-CO" w:eastAsia="es-ES"/>
        </w:rPr>
      </w:pPr>
      <w:r w:rsidRPr="0055382A">
        <w:rPr>
          <w:rFonts w:cs="Arial"/>
          <w:b/>
          <w:color w:val="000000" w:themeColor="text1"/>
          <w:lang w:val="es-CO" w:eastAsia="es-ES"/>
        </w:rPr>
        <w:t xml:space="preserve">Comercialización de </w:t>
      </w:r>
      <w:r w:rsidR="00CA1F99" w:rsidRPr="0055382A">
        <w:rPr>
          <w:rFonts w:cs="Arial"/>
          <w:b/>
          <w:color w:val="000000" w:themeColor="text1"/>
          <w:lang w:val="es-CO" w:eastAsia="es-ES"/>
        </w:rPr>
        <w:t xml:space="preserve">derechos de suministro de </w:t>
      </w:r>
      <w:r w:rsidRPr="0055382A">
        <w:rPr>
          <w:rFonts w:cs="Arial"/>
          <w:b/>
          <w:color w:val="000000" w:themeColor="text1"/>
          <w:lang w:val="es-CO" w:eastAsia="es-ES"/>
        </w:rPr>
        <w:t xml:space="preserve">gas natural </w:t>
      </w:r>
    </w:p>
    <w:p w14:paraId="62E2A486" w14:textId="77777777" w:rsidR="0006302B" w:rsidRPr="0055382A" w:rsidRDefault="0006302B" w:rsidP="0006302B">
      <w:pPr>
        <w:pStyle w:val="ARTICULOS"/>
        <w:numPr>
          <w:ilvl w:val="0"/>
          <w:numId w:val="0"/>
        </w:numPr>
        <w:tabs>
          <w:tab w:val="clear" w:pos="1559"/>
          <w:tab w:val="left" w:pos="1560"/>
        </w:tabs>
        <w:rPr>
          <w:rFonts w:cs="Arial"/>
          <w:b/>
          <w:color w:val="000000" w:themeColor="text1"/>
          <w:sz w:val="22"/>
          <w:lang w:val="es-CO"/>
        </w:rPr>
      </w:pPr>
    </w:p>
    <w:p w14:paraId="2F6E9797" w14:textId="0BD3AF67" w:rsidR="0006302B" w:rsidRPr="0055382A" w:rsidRDefault="0006302B" w:rsidP="0006302B">
      <w:pPr>
        <w:pStyle w:val="ARTICULOS"/>
        <w:tabs>
          <w:tab w:val="clear" w:pos="1559"/>
          <w:tab w:val="left" w:pos="1560"/>
        </w:tabs>
        <w:outlineLvl w:val="0"/>
        <w:rPr>
          <w:rFonts w:cs="Arial"/>
          <w:bCs w:val="0"/>
          <w:color w:val="000000" w:themeColor="text1"/>
          <w:lang w:val="es-CO"/>
        </w:rPr>
      </w:pPr>
      <w:r w:rsidRPr="0055382A">
        <w:rPr>
          <w:rFonts w:cs="Arial"/>
          <w:b/>
          <w:color w:val="000000" w:themeColor="text1"/>
          <w:lang w:val="es-CO"/>
        </w:rPr>
        <w:t xml:space="preserve">Negociaciones directas de </w:t>
      </w:r>
      <w:r w:rsidR="007A2B58" w:rsidRPr="0055382A">
        <w:rPr>
          <w:rFonts w:cs="Arial"/>
          <w:b/>
          <w:color w:val="000000" w:themeColor="text1"/>
          <w:lang w:val="es-CO"/>
        </w:rPr>
        <w:t xml:space="preserve">derechos de suministro de </w:t>
      </w:r>
      <w:r w:rsidRPr="0055382A">
        <w:rPr>
          <w:rFonts w:cs="Arial"/>
          <w:b/>
          <w:color w:val="000000" w:themeColor="text1"/>
          <w:lang w:val="es-CO"/>
        </w:rPr>
        <w:t>gas natural del Mercado Secundario.</w:t>
      </w:r>
      <w:r w:rsidRPr="0055382A">
        <w:rPr>
          <w:rFonts w:cs="Arial"/>
          <w:color w:val="000000" w:themeColor="text1"/>
          <w:lang w:val="es-CO"/>
        </w:rPr>
        <w:t xml:space="preserve"> </w:t>
      </w:r>
      <w:r w:rsidR="003E087D" w:rsidRPr="0055382A">
        <w:rPr>
          <w:rFonts w:cs="Arial"/>
          <w:b/>
          <w:bCs w:val="0"/>
          <w:color w:val="000000" w:themeColor="text1"/>
          <w:lang w:val="es-CO"/>
        </w:rPr>
        <w:t>Con excepción de los usuarios no regulados</w:t>
      </w:r>
      <w:r w:rsidR="003E087D" w:rsidRPr="0055382A">
        <w:rPr>
          <w:rFonts w:cs="Arial"/>
          <w:color w:val="000000" w:themeColor="text1"/>
          <w:lang w:val="es-CO"/>
        </w:rPr>
        <w:t xml:space="preserve">, </w:t>
      </w:r>
      <w:r w:rsidR="006D55D4" w:rsidRPr="0055382A">
        <w:rPr>
          <w:rFonts w:cs="Arial"/>
          <w:color w:val="000000" w:themeColor="text1"/>
          <w:lang w:val="es-CO"/>
        </w:rPr>
        <w:t>l</w:t>
      </w:r>
      <w:r w:rsidRPr="0055382A">
        <w:rPr>
          <w:rFonts w:cs="Arial"/>
          <w:color w:val="000000" w:themeColor="text1"/>
          <w:lang w:val="es-CO"/>
        </w:rPr>
        <w:t xml:space="preserve">os </w:t>
      </w:r>
      <w:r w:rsidRPr="0055382A">
        <w:rPr>
          <w:rFonts w:cs="Arial"/>
          <w:bCs w:val="0"/>
          <w:color w:val="000000" w:themeColor="text1"/>
          <w:lang w:val="es-CO"/>
        </w:rPr>
        <w:t xml:space="preserve">vendedores y los compradores a los que se hace referencia en los </w:t>
      </w:r>
      <w:r w:rsidR="00F04179">
        <w:rPr>
          <w:rFonts w:cs="Arial"/>
          <w:bCs w:val="0"/>
          <w:color w:val="000000" w:themeColor="text1"/>
          <w:lang w:val="es-CO"/>
        </w:rPr>
        <w:t>a</w:t>
      </w:r>
      <w:r w:rsidRPr="0055382A">
        <w:rPr>
          <w:rFonts w:cs="Arial"/>
          <w:bCs w:val="0"/>
          <w:color w:val="000000" w:themeColor="text1"/>
          <w:lang w:val="es-CO"/>
        </w:rPr>
        <w:t xml:space="preserve">rtículos </w:t>
      </w:r>
      <w:r w:rsidR="008E7D39" w:rsidRPr="008E7D39">
        <w:rPr>
          <w:rFonts w:cs="Arial"/>
          <w:b/>
          <w:color w:val="000000" w:themeColor="text1"/>
          <w:lang w:val="es-CO"/>
        </w:rPr>
        <w:t>29 y 30</w:t>
      </w:r>
      <w:r w:rsidRPr="0055382A">
        <w:rPr>
          <w:rFonts w:cs="Arial"/>
          <w:bCs w:val="0"/>
          <w:color w:val="000000" w:themeColor="text1"/>
          <w:lang w:val="es-CO"/>
        </w:rPr>
        <w:t xml:space="preserve"> de esta </w:t>
      </w:r>
      <w:r w:rsidRPr="0055382A">
        <w:rPr>
          <w:rFonts w:cs="Arial"/>
          <w:color w:val="000000" w:themeColor="text1"/>
          <w:lang w:val="es-CO"/>
        </w:rPr>
        <w:t>Resolución</w:t>
      </w:r>
      <w:r w:rsidRPr="0055382A">
        <w:rPr>
          <w:rFonts w:cs="Arial"/>
          <w:bCs w:val="0"/>
          <w:color w:val="000000" w:themeColor="text1"/>
          <w:lang w:val="es-CO"/>
        </w:rPr>
        <w:t xml:space="preserve"> podrán negociar directamente </w:t>
      </w:r>
      <w:r w:rsidRPr="0055382A">
        <w:rPr>
          <w:rFonts w:cs="Arial"/>
          <w:b/>
          <w:color w:val="000000" w:themeColor="text1"/>
          <w:lang w:val="es-CO"/>
        </w:rPr>
        <w:t xml:space="preserve">derechos de suministro de </w:t>
      </w:r>
      <w:r w:rsidRPr="0055382A">
        <w:rPr>
          <w:rFonts w:cs="Arial"/>
          <w:bCs w:val="0"/>
          <w:color w:val="000000" w:themeColor="text1"/>
          <w:lang w:val="es-CO"/>
        </w:rPr>
        <w:t xml:space="preserve">gas natural </w:t>
      </w:r>
      <w:r w:rsidRPr="00A07019">
        <w:rPr>
          <w:rFonts w:cs="Arial"/>
          <w:bCs w:val="0"/>
          <w:color w:val="000000" w:themeColor="text1"/>
          <w:lang w:val="es-CO"/>
        </w:rPr>
        <w:t>en el mercado secundario</w:t>
      </w:r>
      <w:r w:rsidR="00226126" w:rsidRPr="00A07019">
        <w:rPr>
          <w:rFonts w:cs="Arial"/>
          <w:bCs w:val="0"/>
          <w:color w:val="000000" w:themeColor="text1"/>
          <w:lang w:val="es-CO"/>
        </w:rPr>
        <w:t xml:space="preserve">, </w:t>
      </w:r>
      <w:r w:rsidR="00226126" w:rsidRPr="00295053">
        <w:rPr>
          <w:rFonts w:cs="Arial"/>
          <w:b/>
          <w:color w:val="000000" w:themeColor="text1"/>
          <w:lang w:val="es-CO"/>
        </w:rPr>
        <w:t>únicamente a partir de la información</w:t>
      </w:r>
      <w:r w:rsidR="00226126" w:rsidRPr="00A07019">
        <w:rPr>
          <w:rFonts w:cs="Arial"/>
          <w:bCs w:val="0"/>
          <w:color w:val="000000" w:themeColor="text1"/>
          <w:lang w:val="es-CO"/>
        </w:rPr>
        <w:t xml:space="preserve"> </w:t>
      </w:r>
      <w:r w:rsidR="00226126" w:rsidRPr="00A07019">
        <w:rPr>
          <w:rFonts w:cs="Arial"/>
          <w:b/>
          <w:color w:val="000000" w:themeColor="text1"/>
          <w:lang w:val="es-CO"/>
        </w:rPr>
        <w:t xml:space="preserve">publicada por el Gestor del Mercado, en cumplimiento de lo establecido en el </w:t>
      </w:r>
      <w:r w:rsidR="00F04179">
        <w:rPr>
          <w:rFonts w:cs="Arial"/>
          <w:b/>
          <w:color w:val="000000" w:themeColor="text1"/>
          <w:lang w:val="es-CO"/>
        </w:rPr>
        <w:t>a</w:t>
      </w:r>
      <w:r w:rsidR="00226126" w:rsidRPr="00A07019">
        <w:rPr>
          <w:rFonts w:cs="Arial"/>
          <w:b/>
          <w:color w:val="000000" w:themeColor="text1"/>
          <w:lang w:val="es-CO"/>
        </w:rPr>
        <w:t>rtículo 33 de la presente resolución</w:t>
      </w:r>
      <w:r w:rsidR="006376E1">
        <w:rPr>
          <w:rFonts w:cs="Arial"/>
          <w:b/>
          <w:color w:val="000000" w:themeColor="text1"/>
          <w:lang w:val="es-CO"/>
        </w:rPr>
        <w:t>. Una vez publicada la información por el Gestor del Mercado, los agentes podrán hacer uso de otras plataformas</w:t>
      </w:r>
      <w:r w:rsidR="00226126" w:rsidRPr="00A07019">
        <w:rPr>
          <w:rFonts w:cs="Arial"/>
          <w:b/>
          <w:color w:val="000000" w:themeColor="text1"/>
          <w:lang w:val="es-CO"/>
        </w:rPr>
        <w:t>,</w:t>
      </w:r>
      <w:r w:rsidR="006376E1">
        <w:rPr>
          <w:rFonts w:cs="Arial"/>
          <w:b/>
          <w:color w:val="000000" w:themeColor="text1"/>
          <w:lang w:val="es-CO"/>
        </w:rPr>
        <w:t xml:space="preserve"> </w:t>
      </w:r>
      <w:r w:rsidR="00226126" w:rsidRPr="00A07019">
        <w:rPr>
          <w:rFonts w:cs="Arial"/>
          <w:b/>
          <w:color w:val="000000" w:themeColor="text1"/>
          <w:lang w:val="es-CO"/>
        </w:rPr>
        <w:t xml:space="preserve">como se establece en el </w:t>
      </w:r>
      <w:r w:rsidR="00F04179">
        <w:rPr>
          <w:rFonts w:cs="Arial"/>
          <w:b/>
          <w:color w:val="000000" w:themeColor="text1"/>
          <w:lang w:val="es-CO"/>
        </w:rPr>
        <w:t>a</w:t>
      </w:r>
      <w:r w:rsidR="00226126" w:rsidRPr="00A07019">
        <w:rPr>
          <w:rFonts w:cs="Arial"/>
          <w:b/>
          <w:color w:val="000000" w:themeColor="text1"/>
          <w:lang w:val="es-CO"/>
        </w:rPr>
        <w:t>rtículo 34 de la misma</w:t>
      </w:r>
      <w:r w:rsidRPr="00A07019">
        <w:rPr>
          <w:rFonts w:cs="Arial"/>
          <w:color w:val="000000" w:themeColor="text1"/>
          <w:lang w:val="es-CO"/>
        </w:rPr>
        <w:t>.</w:t>
      </w:r>
      <w:r w:rsidRPr="0055382A">
        <w:rPr>
          <w:rFonts w:cs="Arial"/>
          <w:color w:val="000000" w:themeColor="text1"/>
          <w:lang w:val="es-CO"/>
        </w:rPr>
        <w:t xml:space="preserve"> </w:t>
      </w:r>
      <w:r w:rsidRPr="0055382A">
        <w:rPr>
          <w:color w:val="000000" w:themeColor="text1"/>
          <w:lang w:val="es-CO"/>
        </w:rPr>
        <w:t xml:space="preserve">En estas negociaciones sólo se podrán pactar contratos </w:t>
      </w:r>
      <w:r w:rsidRPr="0055382A">
        <w:rPr>
          <w:rFonts w:cs="Arial"/>
          <w:color w:val="000000" w:themeColor="text1"/>
          <w:lang w:val="es-CO"/>
        </w:rPr>
        <w:t>sujetos a lo dispuesto en el capítulo I del título IV de la presente Resolución</w:t>
      </w:r>
      <w:r w:rsidRPr="0055382A">
        <w:rPr>
          <w:color w:val="000000" w:themeColor="text1"/>
          <w:lang w:val="es-CO"/>
        </w:rPr>
        <w:t>. Las partes acordarán libremente el precio de</w:t>
      </w:r>
      <w:r w:rsidR="007A2B58" w:rsidRPr="0055382A">
        <w:rPr>
          <w:color w:val="000000" w:themeColor="text1"/>
          <w:lang w:val="es-CO"/>
        </w:rPr>
        <w:t xml:space="preserve"> </w:t>
      </w:r>
      <w:r w:rsidRPr="0055382A">
        <w:rPr>
          <w:b/>
          <w:bCs w:val="0"/>
          <w:color w:val="000000" w:themeColor="text1"/>
          <w:lang w:val="es-CO"/>
        </w:rPr>
        <w:t>l</w:t>
      </w:r>
      <w:r w:rsidR="007A2B58" w:rsidRPr="0055382A">
        <w:rPr>
          <w:b/>
          <w:bCs w:val="0"/>
          <w:color w:val="000000" w:themeColor="text1"/>
          <w:lang w:val="es-CO"/>
        </w:rPr>
        <w:t>os derechos de suministro</w:t>
      </w:r>
      <w:r w:rsidR="007A2B58" w:rsidRPr="0055382A">
        <w:rPr>
          <w:color w:val="000000" w:themeColor="text1"/>
          <w:lang w:val="es-CO"/>
        </w:rPr>
        <w:t xml:space="preserve"> del </w:t>
      </w:r>
      <w:r w:rsidRPr="0055382A">
        <w:rPr>
          <w:rFonts w:cs="Arial"/>
          <w:color w:val="000000" w:themeColor="text1"/>
          <w:lang w:val="es-CO"/>
        </w:rPr>
        <w:t>gas natural que se comercialice mediante estas negociaciones directas.</w:t>
      </w:r>
    </w:p>
    <w:p w14:paraId="40BA3F37" w14:textId="77777777" w:rsidR="0006302B" w:rsidRPr="0055382A" w:rsidRDefault="0006302B" w:rsidP="0006302B">
      <w:pPr>
        <w:pStyle w:val="ARTICULOS"/>
        <w:numPr>
          <w:ilvl w:val="0"/>
          <w:numId w:val="0"/>
        </w:numPr>
        <w:tabs>
          <w:tab w:val="clear" w:pos="1559"/>
          <w:tab w:val="left" w:pos="1560"/>
        </w:tabs>
        <w:rPr>
          <w:rFonts w:cs="Arial"/>
          <w:color w:val="000000" w:themeColor="text1"/>
          <w:sz w:val="22"/>
          <w:lang w:val="es-CO"/>
        </w:rPr>
      </w:pPr>
    </w:p>
    <w:p w14:paraId="44180622" w14:textId="48A5F8BB" w:rsidR="0006302B" w:rsidRPr="0055382A" w:rsidRDefault="0006302B" w:rsidP="0006302B">
      <w:pPr>
        <w:pStyle w:val="ARTICULOS"/>
        <w:numPr>
          <w:ilvl w:val="0"/>
          <w:numId w:val="0"/>
        </w:numPr>
        <w:tabs>
          <w:tab w:val="clear" w:pos="1559"/>
          <w:tab w:val="left" w:pos="1560"/>
        </w:tabs>
        <w:rPr>
          <w:rFonts w:cs="Arial"/>
          <w:color w:val="000000" w:themeColor="text1"/>
          <w:lang w:val="es-CO"/>
        </w:rPr>
      </w:pPr>
      <w:r w:rsidRPr="0055382A">
        <w:rPr>
          <w:rFonts w:cs="Arial"/>
          <w:color w:val="000000" w:themeColor="text1"/>
          <w:lang w:val="es-CO"/>
        </w:rPr>
        <w:t xml:space="preserve">Los mencionados </w:t>
      </w:r>
      <w:r w:rsidRPr="0055382A">
        <w:rPr>
          <w:rFonts w:cs="Arial"/>
          <w:bCs w:val="0"/>
          <w:color w:val="000000" w:themeColor="text1"/>
          <w:lang w:val="es-CO"/>
        </w:rPr>
        <w:t>vendedores y compradores</w:t>
      </w:r>
      <w:r w:rsidRPr="0055382A">
        <w:rPr>
          <w:rFonts w:cs="Arial"/>
          <w:color w:val="000000" w:themeColor="text1"/>
          <w:lang w:val="es-CO"/>
        </w:rPr>
        <w:t xml:space="preserve"> que estén registrados en el BEC según lo dispuesto en el</w:t>
      </w:r>
      <w:r w:rsidR="00DD53A4">
        <w:rPr>
          <w:rFonts w:cs="Arial"/>
          <w:color w:val="000000" w:themeColor="text1"/>
          <w:lang w:val="es-CO"/>
        </w:rPr>
        <w:t xml:space="preserve"> artículo 35</w:t>
      </w:r>
      <w:r w:rsidRPr="0055382A">
        <w:rPr>
          <w:rFonts w:cs="Arial"/>
          <w:color w:val="000000" w:themeColor="text1"/>
          <w:lang w:val="es-CO"/>
        </w:rPr>
        <w:t xml:space="preserve"> de esta Resolución, podrán realizar negociaciones </w:t>
      </w:r>
      <w:r w:rsidRPr="0055382A">
        <w:rPr>
          <w:rFonts w:cs="Arial"/>
          <w:b/>
          <w:bCs w:val="0"/>
          <w:color w:val="000000" w:themeColor="text1"/>
          <w:lang w:val="es-CO"/>
        </w:rPr>
        <w:t xml:space="preserve">de derechos de suministro de </w:t>
      </w:r>
      <w:r w:rsidRPr="0055382A">
        <w:rPr>
          <w:rFonts w:cs="Arial"/>
          <w:color w:val="000000" w:themeColor="text1"/>
          <w:lang w:val="es-CO"/>
        </w:rPr>
        <w:t>gas natural en el mercado secundario de acuerdo con lo señalado en el</w:t>
      </w:r>
      <w:r w:rsidR="00DD53A4">
        <w:rPr>
          <w:rFonts w:cs="Arial"/>
          <w:color w:val="000000" w:themeColor="text1"/>
          <w:lang w:val="es-CO"/>
        </w:rPr>
        <w:t xml:space="preserve"> artículo 33</w:t>
      </w:r>
      <w:r w:rsidRPr="0055382A">
        <w:rPr>
          <w:rFonts w:cs="Arial"/>
          <w:color w:val="000000" w:themeColor="text1"/>
          <w:lang w:val="es-CO"/>
        </w:rPr>
        <w:t xml:space="preserve"> de esta Resolución.</w:t>
      </w:r>
    </w:p>
    <w:p w14:paraId="2C1A0D72" w14:textId="51ED0477" w:rsidR="00FA66DD" w:rsidRPr="0055382A" w:rsidRDefault="00FA66DD" w:rsidP="0006302B">
      <w:pPr>
        <w:pStyle w:val="ARTICULOS"/>
        <w:numPr>
          <w:ilvl w:val="0"/>
          <w:numId w:val="0"/>
        </w:numPr>
        <w:tabs>
          <w:tab w:val="clear" w:pos="1559"/>
          <w:tab w:val="left" w:pos="1560"/>
        </w:tabs>
        <w:rPr>
          <w:rFonts w:cs="Arial"/>
          <w:color w:val="000000" w:themeColor="text1"/>
          <w:lang w:val="es-CO"/>
        </w:rPr>
      </w:pPr>
    </w:p>
    <w:p w14:paraId="01F609E9" w14:textId="7DDAA12E" w:rsidR="004405C3" w:rsidRDefault="00FA66DD" w:rsidP="00295053">
      <w:pPr>
        <w:pStyle w:val="ARTICULOS"/>
        <w:numPr>
          <w:ilvl w:val="0"/>
          <w:numId w:val="0"/>
        </w:numPr>
        <w:tabs>
          <w:tab w:val="clear" w:pos="1559"/>
          <w:tab w:val="left" w:pos="1560"/>
        </w:tabs>
        <w:rPr>
          <w:b/>
          <w:bCs w:val="0"/>
          <w:lang w:val="es-ES"/>
        </w:rPr>
      </w:pPr>
      <w:r w:rsidRPr="0055382A">
        <w:rPr>
          <w:rFonts w:cs="Arial"/>
          <w:b/>
          <w:bCs w:val="0"/>
          <w:color w:val="000000" w:themeColor="text1"/>
          <w:lang w:val="es-CO"/>
        </w:rPr>
        <w:lastRenderedPageBreak/>
        <w:t>Parágrafo</w:t>
      </w:r>
      <w:r w:rsidR="00396D05">
        <w:rPr>
          <w:rFonts w:cs="Arial"/>
          <w:b/>
          <w:bCs w:val="0"/>
          <w:color w:val="000000" w:themeColor="text1"/>
          <w:lang w:val="es-CO"/>
        </w:rPr>
        <w:t xml:space="preserve"> 1</w:t>
      </w:r>
      <w:r w:rsidRPr="0055382A">
        <w:rPr>
          <w:rFonts w:cs="Arial"/>
          <w:b/>
          <w:bCs w:val="0"/>
          <w:color w:val="000000" w:themeColor="text1"/>
          <w:lang w:val="es-CO"/>
        </w:rPr>
        <w:t>.</w:t>
      </w:r>
      <w:r w:rsidRPr="0055382A">
        <w:rPr>
          <w:rFonts w:cs="Arial"/>
          <w:color w:val="000000" w:themeColor="text1"/>
          <w:lang w:val="es-CO"/>
        </w:rPr>
        <w:t xml:space="preserve"> </w:t>
      </w:r>
      <w:r w:rsidRPr="0055382A">
        <w:rPr>
          <w:b/>
          <w:bCs w:val="0"/>
        </w:rPr>
        <w:t xml:space="preserve">La cantidad total </w:t>
      </w:r>
      <w:r w:rsidRPr="0055382A">
        <w:rPr>
          <w:b/>
          <w:bCs w:val="0"/>
          <w:lang w:val="es-ES"/>
        </w:rPr>
        <w:t>de derechos de suministro</w:t>
      </w:r>
      <w:r w:rsidR="001E4820">
        <w:rPr>
          <w:b/>
          <w:bCs w:val="0"/>
          <w:lang w:val="es-ES"/>
        </w:rPr>
        <w:t xml:space="preserve"> de cada comercializador</w:t>
      </w:r>
      <w:r w:rsidRPr="0055382A">
        <w:rPr>
          <w:b/>
          <w:bCs w:val="0"/>
          <w:lang w:val="es-ES"/>
        </w:rPr>
        <w:t xml:space="preserve"> </w:t>
      </w:r>
      <w:r w:rsidRPr="0055382A">
        <w:rPr>
          <w:b/>
          <w:bCs w:val="0"/>
        </w:rPr>
        <w:t xml:space="preserve">que </w:t>
      </w:r>
      <w:r w:rsidRPr="0055382A">
        <w:rPr>
          <w:b/>
          <w:bCs w:val="0"/>
          <w:lang w:val="es-ES"/>
        </w:rPr>
        <w:t xml:space="preserve">se </w:t>
      </w:r>
      <w:r w:rsidRPr="0055382A">
        <w:rPr>
          <w:b/>
          <w:bCs w:val="0"/>
        </w:rPr>
        <w:t xml:space="preserve">ofrezca en venta mediante contratos en firme </w:t>
      </w:r>
      <w:r w:rsidRPr="0055382A">
        <w:rPr>
          <w:b/>
          <w:bCs w:val="0"/>
          <w:lang w:val="es-CO"/>
        </w:rPr>
        <w:t xml:space="preserve">o que </w:t>
      </w:r>
      <w:r w:rsidR="00030C5B">
        <w:rPr>
          <w:b/>
          <w:bCs w:val="0"/>
          <w:lang w:val="es-CO"/>
        </w:rPr>
        <w:t xml:space="preserve"> garantizan firmeza</w:t>
      </w:r>
      <w:r w:rsidRPr="0055382A">
        <w:rPr>
          <w:b/>
          <w:bCs w:val="0"/>
          <w:lang w:val="es-ES"/>
        </w:rPr>
        <w:t>,</w:t>
      </w:r>
      <w:r w:rsidRPr="0055382A">
        <w:rPr>
          <w:b/>
          <w:bCs w:val="0"/>
        </w:rPr>
        <w:t xml:space="preserve"> no podrá ser superior a la </w:t>
      </w:r>
      <w:r w:rsidRPr="0055382A">
        <w:rPr>
          <w:b/>
          <w:bCs w:val="0"/>
          <w:lang w:val="es-CO"/>
        </w:rPr>
        <w:t xml:space="preserve">sumas de las </w:t>
      </w:r>
      <w:r w:rsidRPr="0055382A">
        <w:rPr>
          <w:b/>
          <w:bCs w:val="0"/>
        </w:rPr>
        <w:t>cantidad</w:t>
      </w:r>
      <w:r w:rsidRPr="0055382A">
        <w:rPr>
          <w:b/>
          <w:bCs w:val="0"/>
          <w:lang w:val="es-CO"/>
        </w:rPr>
        <w:t>es</w:t>
      </w:r>
      <w:r w:rsidRPr="0055382A">
        <w:rPr>
          <w:b/>
          <w:bCs w:val="0"/>
        </w:rPr>
        <w:t xml:space="preserve"> </w:t>
      </w:r>
      <w:r w:rsidRPr="0055382A">
        <w:rPr>
          <w:b/>
          <w:bCs w:val="0"/>
          <w:lang w:val="es-ES"/>
        </w:rPr>
        <w:t xml:space="preserve">de derechos de suministro de </w:t>
      </w:r>
      <w:r w:rsidRPr="0055382A">
        <w:rPr>
          <w:b/>
          <w:bCs w:val="0"/>
        </w:rPr>
        <w:t xml:space="preserve">que disponga dicho comercializador a través de </w:t>
      </w:r>
      <w:r w:rsidR="004405C3">
        <w:rPr>
          <w:b/>
          <w:bCs w:val="0"/>
          <w:lang w:val="es-ES"/>
        </w:rPr>
        <w:t>lo</w:t>
      </w:r>
      <w:r w:rsidR="004405C3" w:rsidRPr="0055382A">
        <w:rPr>
          <w:b/>
          <w:bCs w:val="0"/>
          <w:lang w:val="es-ES"/>
        </w:rPr>
        <w:t xml:space="preserve">s </w:t>
      </w:r>
      <w:r w:rsidRPr="0055382A">
        <w:rPr>
          <w:b/>
          <w:bCs w:val="0"/>
        </w:rPr>
        <w:t xml:space="preserve">contratos suscritos </w:t>
      </w:r>
      <w:r w:rsidRPr="0055382A">
        <w:rPr>
          <w:b/>
          <w:bCs w:val="0"/>
          <w:lang w:val="es-CO"/>
        </w:rPr>
        <w:t>en firme o con garantía de firmeza</w:t>
      </w:r>
      <w:r w:rsidR="004405C3">
        <w:rPr>
          <w:b/>
          <w:bCs w:val="0"/>
          <w:lang w:val="es-CO"/>
        </w:rPr>
        <w:t>, como parte compradora,</w:t>
      </w:r>
      <w:r w:rsidRPr="0055382A">
        <w:rPr>
          <w:b/>
          <w:bCs w:val="0"/>
          <w:lang w:val="es-CO"/>
        </w:rPr>
        <w:t xml:space="preserve"> </w:t>
      </w:r>
      <w:r w:rsidR="004405C3">
        <w:rPr>
          <w:b/>
          <w:bCs w:val="0"/>
          <w:lang w:val="es-CO"/>
        </w:rPr>
        <w:t xml:space="preserve">tanto </w:t>
      </w:r>
      <w:r w:rsidRPr="0055382A">
        <w:rPr>
          <w:b/>
          <w:bCs w:val="0"/>
        </w:rPr>
        <w:t>en el mercado primario</w:t>
      </w:r>
      <w:r w:rsidR="004405C3">
        <w:rPr>
          <w:b/>
          <w:bCs w:val="0"/>
          <w:lang w:val="es-CO"/>
        </w:rPr>
        <w:t xml:space="preserve"> como en el mercado secundario</w:t>
      </w:r>
      <w:r w:rsidR="004027DC">
        <w:rPr>
          <w:b/>
          <w:bCs w:val="0"/>
          <w:lang w:val="es-ES"/>
        </w:rPr>
        <w:t>.</w:t>
      </w:r>
    </w:p>
    <w:p w14:paraId="5A2814A5" w14:textId="77777777" w:rsidR="004405C3" w:rsidRPr="004405C3" w:rsidRDefault="004405C3" w:rsidP="00295053">
      <w:pPr>
        <w:pStyle w:val="ARTICULOS"/>
        <w:numPr>
          <w:ilvl w:val="0"/>
          <w:numId w:val="0"/>
        </w:numPr>
        <w:tabs>
          <w:tab w:val="clear" w:pos="1559"/>
          <w:tab w:val="left" w:pos="1560"/>
        </w:tabs>
        <w:ind w:left="720"/>
        <w:rPr>
          <w:b/>
          <w:bCs w:val="0"/>
          <w:lang w:val="es-ES"/>
        </w:rPr>
      </w:pPr>
    </w:p>
    <w:p w14:paraId="0CD11B48" w14:textId="30BDBD12" w:rsidR="00FA66DD" w:rsidRPr="0055382A" w:rsidRDefault="00FA66DD" w:rsidP="004405C3">
      <w:pPr>
        <w:pStyle w:val="ARTICULOS"/>
        <w:numPr>
          <w:ilvl w:val="0"/>
          <w:numId w:val="0"/>
        </w:numPr>
        <w:tabs>
          <w:tab w:val="clear" w:pos="1559"/>
          <w:tab w:val="left" w:pos="1560"/>
        </w:tabs>
        <w:rPr>
          <w:rFonts w:cs="Arial"/>
          <w:color w:val="000000" w:themeColor="text1"/>
          <w:lang w:val="es-CO"/>
        </w:rPr>
      </w:pPr>
      <w:r w:rsidRPr="0055382A">
        <w:rPr>
          <w:b/>
          <w:bCs w:val="0"/>
        </w:rPr>
        <w:t xml:space="preserve">El incumplimiento de estas medidas podrá ser considerado por la autoridad competente como práctica contraria a la libre competencia.   </w:t>
      </w:r>
    </w:p>
    <w:p w14:paraId="68B0286E" w14:textId="77777777" w:rsidR="0006302B" w:rsidRPr="0055382A" w:rsidRDefault="0006302B" w:rsidP="0006302B">
      <w:pPr>
        <w:pStyle w:val="ARTICULOS"/>
        <w:numPr>
          <w:ilvl w:val="0"/>
          <w:numId w:val="0"/>
        </w:numPr>
        <w:tabs>
          <w:tab w:val="clear" w:pos="1559"/>
          <w:tab w:val="left" w:pos="1560"/>
        </w:tabs>
        <w:rPr>
          <w:rFonts w:cs="Arial"/>
          <w:b/>
          <w:color w:val="000000" w:themeColor="text1"/>
          <w:sz w:val="22"/>
          <w:lang w:val="es-CO"/>
        </w:rPr>
      </w:pPr>
    </w:p>
    <w:p w14:paraId="490BFB3F" w14:textId="3D8389AC" w:rsidR="0006302B" w:rsidRPr="00DF52F5" w:rsidRDefault="0006302B" w:rsidP="0006302B">
      <w:pPr>
        <w:pStyle w:val="ARTICULOS"/>
        <w:tabs>
          <w:tab w:val="clear" w:pos="1559"/>
          <w:tab w:val="left" w:pos="1560"/>
        </w:tabs>
        <w:outlineLvl w:val="0"/>
        <w:rPr>
          <w:rFonts w:cs="Arial"/>
          <w:color w:val="000000" w:themeColor="text1"/>
          <w:lang w:val="es-CO"/>
        </w:rPr>
      </w:pPr>
      <w:r w:rsidRPr="0055382A">
        <w:rPr>
          <w:rFonts w:cs="Arial"/>
          <w:b/>
          <w:color w:val="000000" w:themeColor="text1"/>
          <w:lang w:val="es-CO"/>
        </w:rPr>
        <w:t>Negociaciones mediante los procesos úselo o véndalo.</w:t>
      </w:r>
      <w:r w:rsidRPr="0055382A">
        <w:rPr>
          <w:rFonts w:cs="Arial"/>
          <w:color w:val="000000" w:themeColor="text1"/>
          <w:lang w:val="es-CO"/>
        </w:rPr>
        <w:t xml:space="preserve"> Los Participantes del Mercado, que estén registrados en el BEC</w:t>
      </w:r>
      <w:r w:rsidRPr="00DF52F5">
        <w:rPr>
          <w:rFonts w:cs="Arial"/>
          <w:color w:val="000000" w:themeColor="text1"/>
          <w:lang w:val="es-CO"/>
        </w:rPr>
        <w:t xml:space="preserve"> según lo dispuesto en el</w:t>
      </w:r>
      <w:r w:rsidR="00DD53A4">
        <w:rPr>
          <w:rFonts w:cs="Arial"/>
          <w:color w:val="000000" w:themeColor="text1"/>
          <w:lang w:val="es-CO"/>
        </w:rPr>
        <w:t xml:space="preserve"> artículo 35</w:t>
      </w:r>
      <w:r w:rsidRPr="00DF52F5">
        <w:rPr>
          <w:rFonts w:cs="Arial"/>
          <w:color w:val="000000" w:themeColor="text1"/>
          <w:lang w:val="es-CO"/>
        </w:rPr>
        <w:t xml:space="preserve"> de esta Resolución, se acogerán a los mecanismos y procedimientos de negociación del proceso úselo o véndalo detallado en el</w:t>
      </w:r>
      <w:r w:rsidR="00DD53A4">
        <w:rPr>
          <w:rFonts w:cs="Arial"/>
          <w:color w:val="000000" w:themeColor="text1"/>
          <w:lang w:val="es-CO"/>
        </w:rPr>
        <w:t xml:space="preserve"> artículo 36</w:t>
      </w:r>
      <w:r w:rsidRPr="00DF52F5">
        <w:rPr>
          <w:rFonts w:cs="Arial"/>
          <w:color w:val="000000" w:themeColor="text1"/>
          <w:lang w:val="es-CO"/>
        </w:rPr>
        <w:t xml:space="preserve"> de la presente Resolución. </w:t>
      </w:r>
    </w:p>
    <w:p w14:paraId="6BB28051" w14:textId="77777777" w:rsidR="0006302B" w:rsidRPr="0013707D" w:rsidRDefault="0006302B" w:rsidP="0006302B">
      <w:pPr>
        <w:pStyle w:val="Prrafodelista"/>
        <w:ind w:left="0"/>
        <w:rPr>
          <w:rFonts w:ascii="Bookman Old Style" w:hAnsi="Bookman Old Style" w:cs="Arial"/>
          <w:color w:val="000000" w:themeColor="text1"/>
          <w:sz w:val="24"/>
          <w:szCs w:val="24"/>
        </w:rPr>
      </w:pPr>
    </w:p>
    <w:p w14:paraId="39F19ADD" w14:textId="77777777" w:rsidR="0006302B" w:rsidRPr="0013707D" w:rsidRDefault="0006302B" w:rsidP="0006302B">
      <w:pPr>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Capítulo IV</w:t>
      </w:r>
    </w:p>
    <w:p w14:paraId="04CED872" w14:textId="77777777" w:rsidR="0006302B" w:rsidRPr="0013707D" w:rsidRDefault="0006302B" w:rsidP="0006302B">
      <w:pPr>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Negociaciones a través del BEC</w:t>
      </w:r>
    </w:p>
    <w:p w14:paraId="0E523DD2" w14:textId="77777777" w:rsidR="0006302B" w:rsidRPr="0013707D" w:rsidRDefault="0006302B" w:rsidP="0006302B">
      <w:pPr>
        <w:pStyle w:val="Prrafodelista"/>
        <w:ind w:left="0"/>
        <w:rPr>
          <w:rFonts w:ascii="Bookman Old Style" w:hAnsi="Bookman Old Style" w:cs="Arial"/>
          <w:color w:val="000000" w:themeColor="text1"/>
          <w:sz w:val="24"/>
          <w:szCs w:val="24"/>
        </w:rPr>
      </w:pPr>
    </w:p>
    <w:p w14:paraId="041A61CE" w14:textId="06C19103" w:rsidR="0006302B" w:rsidRPr="00DF52F5" w:rsidRDefault="0006302B" w:rsidP="0006302B">
      <w:pPr>
        <w:pStyle w:val="ARTICULOS"/>
        <w:tabs>
          <w:tab w:val="clear" w:pos="1559"/>
          <w:tab w:val="left" w:pos="1560"/>
        </w:tabs>
        <w:outlineLvl w:val="0"/>
        <w:rPr>
          <w:rFonts w:cs="Arial"/>
          <w:color w:val="000000" w:themeColor="text1"/>
          <w:lang w:val="es-CO"/>
        </w:rPr>
      </w:pPr>
      <w:bookmarkStart w:id="79" w:name="_Ref327344513"/>
      <w:bookmarkStart w:id="80" w:name="_Ref329162040"/>
      <w:bookmarkStart w:id="81" w:name="_Ref329357003"/>
      <w:bookmarkStart w:id="82" w:name="_Ref334601415"/>
      <w:r w:rsidRPr="00DF52F5">
        <w:rPr>
          <w:rFonts w:cs="Arial"/>
          <w:b/>
          <w:color w:val="000000" w:themeColor="text1"/>
          <w:lang w:val="es-CO"/>
        </w:rPr>
        <w:t>Negociaciones directas a través de</w:t>
      </w:r>
      <w:r w:rsidR="00A52406">
        <w:rPr>
          <w:rFonts w:cs="Arial"/>
          <w:b/>
          <w:color w:val="000000" w:themeColor="text1"/>
          <w:lang w:val="es-CO"/>
        </w:rPr>
        <w:t>l</w:t>
      </w:r>
      <w:r w:rsidRPr="00DF52F5">
        <w:rPr>
          <w:rFonts w:cs="Arial"/>
          <w:b/>
          <w:color w:val="000000" w:themeColor="text1"/>
          <w:lang w:val="es-CO"/>
        </w:rPr>
        <w:t xml:space="preserve"> BEC</w:t>
      </w:r>
      <w:bookmarkEnd w:id="79"/>
      <w:r w:rsidRPr="00DF52F5">
        <w:rPr>
          <w:rFonts w:cs="Arial"/>
          <w:b/>
          <w:color w:val="000000" w:themeColor="text1"/>
          <w:lang w:val="es-CO"/>
        </w:rPr>
        <w:t>.</w:t>
      </w:r>
      <w:bookmarkEnd w:id="80"/>
      <w:r w:rsidRPr="00DF52F5">
        <w:rPr>
          <w:rFonts w:cs="Arial"/>
          <w:color w:val="000000" w:themeColor="text1"/>
          <w:lang w:val="es-CO"/>
        </w:rPr>
        <w:t xml:space="preserve"> Como parte del servicio al que se hace referencia en el </w:t>
      </w:r>
      <w:r w:rsidRPr="00D66B65">
        <w:rPr>
          <w:rFonts w:cs="Arial"/>
          <w:color w:val="000000" w:themeColor="text1"/>
          <w:lang w:val="es-CO"/>
        </w:rPr>
        <w:t>numeral</w:t>
      </w:r>
      <w:r w:rsidR="00A45AA5">
        <w:rPr>
          <w:rFonts w:cs="Arial"/>
          <w:color w:val="000000" w:themeColor="text1"/>
          <w:lang w:val="es-CO"/>
        </w:rPr>
        <w:t xml:space="preserve"> 4</w:t>
      </w:r>
      <w:r w:rsidRPr="00D66B65">
        <w:rPr>
          <w:rFonts w:cs="Arial"/>
          <w:color w:val="000000" w:themeColor="text1"/>
          <w:lang w:val="es-CO"/>
        </w:rPr>
        <w:t xml:space="preserve"> del</w:t>
      </w:r>
      <w:r w:rsidR="00DD53A4">
        <w:rPr>
          <w:rFonts w:cs="Arial"/>
          <w:color w:val="000000" w:themeColor="text1"/>
          <w:lang w:val="es-CO"/>
        </w:rPr>
        <w:t xml:space="preserve"> artículo 5</w:t>
      </w:r>
      <w:r w:rsidRPr="00DF52F5">
        <w:rPr>
          <w:rFonts w:cs="Arial"/>
          <w:color w:val="000000" w:themeColor="text1"/>
          <w:lang w:val="es-CO"/>
        </w:rPr>
        <w:t xml:space="preserve"> de esta Resolución, el </w:t>
      </w:r>
      <w:r w:rsidR="0022131A" w:rsidRPr="002D5416">
        <w:rPr>
          <w:rFonts w:cs="Arial"/>
          <w:u w:color="FF0000"/>
          <w:lang w:val="es-CO"/>
        </w:rPr>
        <w:t>Gestor</w:t>
      </w:r>
      <w:r w:rsidRPr="00DF52F5">
        <w:rPr>
          <w:rFonts w:cs="Arial"/>
          <w:color w:val="000000" w:themeColor="text1"/>
          <w:lang w:val="es-CO"/>
        </w:rPr>
        <w:t xml:space="preserve"> del Mercado pondrá la siguiente información a disposición de los </w:t>
      </w:r>
      <w:r>
        <w:rPr>
          <w:rFonts w:cs="Arial"/>
          <w:color w:val="000000" w:themeColor="text1"/>
          <w:lang w:val="es-CO"/>
        </w:rPr>
        <w:t>P</w:t>
      </w:r>
      <w:r w:rsidRPr="00DF52F5">
        <w:rPr>
          <w:rFonts w:cs="Arial"/>
          <w:color w:val="000000" w:themeColor="text1"/>
          <w:lang w:val="es-CO"/>
        </w:rPr>
        <w:t>articipantes del mercado que estén registrados en el BEC según lo dispuesto en el</w:t>
      </w:r>
      <w:r w:rsidR="00DD53A4">
        <w:rPr>
          <w:rFonts w:cs="Arial"/>
          <w:color w:val="000000" w:themeColor="text1"/>
          <w:lang w:val="es-CO"/>
        </w:rPr>
        <w:t xml:space="preserve"> artículo 35</w:t>
      </w:r>
      <w:r w:rsidRPr="00DF52F5">
        <w:rPr>
          <w:rFonts w:cs="Arial"/>
          <w:color w:val="000000" w:themeColor="text1"/>
          <w:lang w:val="es-CO"/>
        </w:rPr>
        <w:t xml:space="preserve">  de esta Resolución:</w:t>
      </w:r>
      <w:bookmarkEnd w:id="81"/>
      <w:bookmarkEnd w:id="82"/>
    </w:p>
    <w:p w14:paraId="0326DE60" w14:textId="77777777" w:rsidR="0006302B" w:rsidRPr="00DF52F5" w:rsidRDefault="0006302B" w:rsidP="0006302B">
      <w:pPr>
        <w:ind w:left="0"/>
        <w:rPr>
          <w:rFonts w:ascii="Bookman Old Style" w:hAnsi="Bookman Old Style" w:cs="Arial"/>
          <w:color w:val="000000" w:themeColor="text1"/>
          <w:lang w:val="es-CO"/>
        </w:rPr>
      </w:pPr>
    </w:p>
    <w:p w14:paraId="052DC7BE" w14:textId="557E254A" w:rsidR="0006302B" w:rsidRPr="0013707D" w:rsidRDefault="0006302B" w:rsidP="0006302B">
      <w:pPr>
        <w:pStyle w:val="ARTICULOS"/>
        <w:numPr>
          <w:ilvl w:val="1"/>
          <w:numId w:val="18"/>
        </w:numPr>
        <w:ind w:left="567" w:hanging="567"/>
        <w:rPr>
          <w:color w:val="000000" w:themeColor="text1"/>
          <w:lang w:val="es-CO"/>
        </w:rPr>
      </w:pPr>
      <w:r w:rsidRPr="00DF52F5">
        <w:rPr>
          <w:color w:val="000000" w:themeColor="text1"/>
          <w:lang w:val="es-CO"/>
        </w:rPr>
        <w:t xml:space="preserve">Ofertas de venta </w:t>
      </w:r>
      <w:r w:rsidRPr="00191320">
        <w:rPr>
          <w:b/>
          <w:bCs w:val="0"/>
          <w:color w:val="000000" w:themeColor="text1"/>
          <w:lang w:val="es-CO"/>
        </w:rPr>
        <w:t>de</w:t>
      </w:r>
      <w:r w:rsidR="00FE021C" w:rsidRPr="00191320">
        <w:rPr>
          <w:b/>
          <w:bCs w:val="0"/>
          <w:color w:val="000000" w:themeColor="text1"/>
          <w:lang w:val="es-CO"/>
        </w:rPr>
        <w:t xml:space="preserve"> derechos de suministro</w:t>
      </w:r>
      <w:r w:rsidR="00FE021C">
        <w:rPr>
          <w:color w:val="000000" w:themeColor="text1"/>
          <w:lang w:val="es-CO"/>
        </w:rPr>
        <w:t xml:space="preserve"> de</w:t>
      </w:r>
      <w:r w:rsidRPr="00DF52F5">
        <w:rPr>
          <w:color w:val="000000" w:themeColor="text1"/>
          <w:lang w:val="es-CO"/>
        </w:rPr>
        <w:t xml:space="preserve"> gas</w:t>
      </w:r>
      <w:r w:rsidRPr="0013707D">
        <w:rPr>
          <w:color w:val="000000" w:themeColor="text1"/>
          <w:lang w:val="es-CO"/>
        </w:rPr>
        <w:t xml:space="preserve"> natural. Las ofertas deberán especificar la identidad del oferente, los datos de contacto del mismo, la cantidad </w:t>
      </w:r>
      <w:r>
        <w:rPr>
          <w:b/>
          <w:bCs w:val="0"/>
          <w:color w:val="000000" w:themeColor="text1"/>
          <w:lang w:val="es-CO"/>
        </w:rPr>
        <w:t xml:space="preserve">de derechos de suministro </w:t>
      </w:r>
      <w:r w:rsidRPr="0013707D">
        <w:rPr>
          <w:color w:val="000000" w:themeColor="text1"/>
          <w:lang w:val="es-CO"/>
        </w:rPr>
        <w:t xml:space="preserve">ofrecida en MBTUD, </w:t>
      </w:r>
      <w:r>
        <w:rPr>
          <w:b/>
          <w:bCs w:val="0"/>
          <w:color w:val="000000" w:themeColor="text1"/>
          <w:lang w:val="es-CO"/>
        </w:rPr>
        <w:t xml:space="preserve">los contratos de suministro </w:t>
      </w:r>
      <w:r w:rsidRPr="00D536A1">
        <w:rPr>
          <w:b/>
          <w:bCs w:val="0"/>
          <w:color w:val="000000" w:themeColor="text1"/>
          <w:lang w:val="es-CO"/>
        </w:rPr>
        <w:t xml:space="preserve">del mercado primario de donde derivan los derechos que ofrece, las </w:t>
      </w:r>
      <w:r>
        <w:rPr>
          <w:b/>
          <w:bCs w:val="0"/>
          <w:color w:val="000000" w:themeColor="text1"/>
          <w:lang w:val="es-CO"/>
        </w:rPr>
        <w:t>Fuentes de Suministro</w:t>
      </w:r>
      <w:r w:rsidRPr="00D536A1">
        <w:rPr>
          <w:b/>
          <w:bCs w:val="0"/>
          <w:color w:val="000000" w:themeColor="text1"/>
          <w:lang w:val="es-CO"/>
        </w:rPr>
        <w:t xml:space="preserve"> y Puntos de Entrega del contrato del </w:t>
      </w:r>
      <w:r>
        <w:rPr>
          <w:b/>
          <w:bCs w:val="0"/>
          <w:color w:val="000000" w:themeColor="text1"/>
          <w:lang w:val="es-CO"/>
        </w:rPr>
        <w:t>M</w:t>
      </w:r>
      <w:r w:rsidRPr="00D536A1">
        <w:rPr>
          <w:b/>
          <w:bCs w:val="0"/>
          <w:color w:val="000000" w:themeColor="text1"/>
          <w:lang w:val="es-CO"/>
        </w:rPr>
        <w:t xml:space="preserve">ercado </w:t>
      </w:r>
      <w:r>
        <w:rPr>
          <w:b/>
          <w:bCs w:val="0"/>
          <w:color w:val="000000" w:themeColor="text1"/>
          <w:lang w:val="es-CO"/>
        </w:rPr>
        <w:t>P</w:t>
      </w:r>
      <w:r w:rsidRPr="00D536A1">
        <w:rPr>
          <w:b/>
          <w:bCs w:val="0"/>
          <w:color w:val="000000" w:themeColor="text1"/>
          <w:lang w:val="es-CO"/>
        </w:rPr>
        <w:t>rimario</w:t>
      </w:r>
      <w:r>
        <w:rPr>
          <w:b/>
          <w:bCs w:val="0"/>
          <w:color w:val="000000" w:themeColor="text1"/>
          <w:lang w:val="es-CO"/>
        </w:rPr>
        <w:t xml:space="preserve">, </w:t>
      </w:r>
      <w:r w:rsidRPr="0013707D">
        <w:rPr>
          <w:color w:val="000000" w:themeColor="text1"/>
          <w:lang w:val="es-CO"/>
        </w:rPr>
        <w:t>la duración del contrato ofrecido, el punto estándar de entrega, los precios de venta en dólares de los Estados Unidos de América por MBTU</w:t>
      </w:r>
      <w:r>
        <w:rPr>
          <w:color w:val="000000" w:themeColor="text1"/>
          <w:lang w:val="es-CO"/>
        </w:rPr>
        <w:t xml:space="preserve"> </w:t>
      </w:r>
      <w:r w:rsidRPr="00A30E18">
        <w:rPr>
          <w:b/>
          <w:bCs w:val="0"/>
          <w:color w:val="000000" w:themeColor="text1"/>
          <w:lang w:val="es-CO"/>
        </w:rPr>
        <w:t>desagregados para incluir el transporte hasta el punto estándar de entrega</w:t>
      </w:r>
      <w:r w:rsidRPr="0013707D">
        <w:rPr>
          <w:color w:val="000000" w:themeColor="text1"/>
          <w:lang w:val="es-CO"/>
        </w:rPr>
        <w:t xml:space="preserve"> y la fecha máxima para manifestar interés en el contrato ofrecido.</w:t>
      </w:r>
    </w:p>
    <w:p w14:paraId="485486B6" w14:textId="77777777" w:rsidR="0006302B" w:rsidRPr="0013707D" w:rsidRDefault="0006302B" w:rsidP="0006302B">
      <w:pPr>
        <w:pStyle w:val="ARTICULOS"/>
        <w:numPr>
          <w:ilvl w:val="0"/>
          <w:numId w:val="0"/>
        </w:numPr>
        <w:ind w:left="567"/>
        <w:rPr>
          <w:rFonts w:cs="Arial"/>
          <w:color w:val="000000" w:themeColor="text1"/>
          <w:lang w:val="es-CO"/>
        </w:rPr>
      </w:pPr>
    </w:p>
    <w:p w14:paraId="6DC0D7E9" w14:textId="77777777" w:rsidR="0006302B" w:rsidRPr="0013707D" w:rsidRDefault="0006302B" w:rsidP="0006302B">
      <w:pPr>
        <w:pStyle w:val="ARTICULOS"/>
        <w:numPr>
          <w:ilvl w:val="1"/>
          <w:numId w:val="18"/>
        </w:numPr>
        <w:ind w:left="567" w:hanging="567"/>
        <w:rPr>
          <w:color w:val="000000" w:themeColor="text1"/>
          <w:lang w:val="es-CO"/>
        </w:rPr>
      </w:pPr>
      <w:r w:rsidRPr="0013707D">
        <w:rPr>
          <w:color w:val="000000" w:themeColor="text1"/>
          <w:lang w:val="es-CO"/>
        </w:rPr>
        <w:t>Solicitudes de</w:t>
      </w:r>
      <w:r>
        <w:rPr>
          <w:color w:val="000000" w:themeColor="text1"/>
          <w:lang w:val="es-CO"/>
        </w:rPr>
        <w:t xml:space="preserve"> compra</w:t>
      </w:r>
      <w:r w:rsidRPr="0013707D">
        <w:rPr>
          <w:color w:val="000000" w:themeColor="text1"/>
          <w:lang w:val="es-CO"/>
        </w:rPr>
        <w:t xml:space="preserve"> de </w:t>
      </w:r>
      <w:r>
        <w:rPr>
          <w:b/>
          <w:bCs w:val="0"/>
          <w:color w:val="000000" w:themeColor="text1"/>
          <w:lang w:val="es-CO"/>
        </w:rPr>
        <w:t xml:space="preserve">derechos de suministro de </w:t>
      </w:r>
      <w:r w:rsidRPr="0013707D">
        <w:rPr>
          <w:color w:val="000000" w:themeColor="text1"/>
          <w:lang w:val="es-CO"/>
        </w:rPr>
        <w:t xml:space="preserve">gas natural. Las solicitudes deberán especificar la identidad del solicitante, los datos de contacto del mismo, la cantidad requerida en MBTUD, la duración del contrato solicitado, el </w:t>
      </w:r>
      <w:r>
        <w:rPr>
          <w:color w:val="000000" w:themeColor="text1"/>
          <w:lang w:val="es-CO"/>
        </w:rPr>
        <w:t>Pu</w:t>
      </w:r>
      <w:r w:rsidRPr="0013707D">
        <w:rPr>
          <w:color w:val="000000" w:themeColor="text1"/>
          <w:lang w:val="es-CO"/>
        </w:rPr>
        <w:t xml:space="preserve">nto </w:t>
      </w:r>
      <w:r>
        <w:rPr>
          <w:color w:val="000000" w:themeColor="text1"/>
          <w:lang w:val="es-CO"/>
        </w:rPr>
        <w:t>Es</w:t>
      </w:r>
      <w:r w:rsidRPr="0013707D">
        <w:rPr>
          <w:color w:val="000000" w:themeColor="text1"/>
          <w:lang w:val="es-CO"/>
        </w:rPr>
        <w:t>tándar de entrega, el precio de compra en dólares de los Estados Unidos de América por MBTU y la fecha máxima para manifestar interés en el contrato solicitado.</w:t>
      </w:r>
    </w:p>
    <w:p w14:paraId="1A27F477" w14:textId="77777777" w:rsidR="0006302B" w:rsidRPr="0013707D" w:rsidRDefault="0006302B" w:rsidP="0006302B">
      <w:pPr>
        <w:pStyle w:val="ARTICULOS"/>
        <w:numPr>
          <w:ilvl w:val="0"/>
          <w:numId w:val="0"/>
        </w:numPr>
        <w:ind w:left="567"/>
        <w:rPr>
          <w:color w:val="000000" w:themeColor="text1"/>
          <w:lang w:val="es-CO"/>
        </w:rPr>
      </w:pPr>
    </w:p>
    <w:p w14:paraId="09DA4596" w14:textId="49EDF851" w:rsidR="0006302B" w:rsidRPr="0013707D" w:rsidRDefault="0006302B" w:rsidP="0006302B">
      <w:pPr>
        <w:pStyle w:val="ARTICULOS"/>
        <w:numPr>
          <w:ilvl w:val="0"/>
          <w:numId w:val="0"/>
        </w:numPr>
        <w:rPr>
          <w:rFonts w:cs="Arial"/>
          <w:color w:val="000000" w:themeColor="text1"/>
          <w:lang w:val="es-CO"/>
        </w:rPr>
      </w:pPr>
      <w:r w:rsidRPr="0013707D">
        <w:rPr>
          <w:rFonts w:cs="Arial"/>
          <w:color w:val="000000" w:themeColor="text1"/>
          <w:lang w:val="es-CO"/>
        </w:rPr>
        <w:t xml:space="preserve">A partir de esta información, los </w:t>
      </w:r>
      <w:r>
        <w:rPr>
          <w:rFonts w:cs="Arial"/>
          <w:color w:val="000000" w:themeColor="text1"/>
          <w:lang w:val="es-CO"/>
        </w:rPr>
        <w:t>Participantes del Mercado</w:t>
      </w:r>
      <w:r w:rsidRPr="00DF52F5">
        <w:rPr>
          <w:rFonts w:cs="Arial"/>
          <w:bCs w:val="0"/>
          <w:color w:val="000000" w:themeColor="text1"/>
          <w:lang w:val="es-CO"/>
        </w:rPr>
        <w:t xml:space="preserve"> </w:t>
      </w:r>
      <w:r w:rsidRPr="00DF52F5">
        <w:rPr>
          <w:rFonts w:cs="Arial"/>
          <w:color w:val="000000" w:themeColor="text1"/>
          <w:lang w:val="es-CO"/>
        </w:rPr>
        <w:t xml:space="preserve">que estén registrados en el </w:t>
      </w:r>
      <w:r w:rsidRPr="00DF52F5">
        <w:rPr>
          <w:rFonts w:cs="Arial"/>
          <w:bCs w:val="0"/>
          <w:color w:val="000000" w:themeColor="text1"/>
          <w:lang w:val="es-CO"/>
        </w:rPr>
        <w:t>BEC</w:t>
      </w:r>
      <w:r w:rsidRPr="00DF52F5">
        <w:rPr>
          <w:rFonts w:cs="Arial"/>
          <w:color w:val="000000" w:themeColor="text1"/>
          <w:lang w:val="es-CO"/>
        </w:rPr>
        <w:t>, según lo dispuesto en el</w:t>
      </w:r>
      <w:r w:rsidR="00DD53A4">
        <w:rPr>
          <w:rFonts w:cs="Arial"/>
          <w:color w:val="000000" w:themeColor="text1"/>
          <w:lang w:val="es-CO"/>
        </w:rPr>
        <w:t xml:space="preserve"> artículo 35</w:t>
      </w:r>
      <w:r w:rsidRPr="00DF52F5">
        <w:rPr>
          <w:rFonts w:cs="Arial"/>
          <w:color w:val="000000" w:themeColor="text1"/>
          <w:lang w:val="es-CO"/>
        </w:rPr>
        <w:t xml:space="preserve"> de esta Resolución, realizarán las negociaciones directas de su interés. Será responsabilidad de estos llevar a cabo cada una de las negociaciones y celebrar los correspondientes contratos, con sujeción a lo dispuesto en el </w:t>
      </w:r>
      <w:r w:rsidRPr="00D66B65">
        <w:rPr>
          <w:rFonts w:cs="Arial"/>
          <w:color w:val="000000" w:themeColor="text1"/>
          <w:lang w:val="es-CO"/>
        </w:rPr>
        <w:t>capítulo I del título IV</w:t>
      </w:r>
      <w:r w:rsidRPr="00DF52F5">
        <w:rPr>
          <w:rFonts w:cs="Arial"/>
          <w:color w:val="000000" w:themeColor="text1"/>
          <w:lang w:val="es-CO"/>
        </w:rPr>
        <w:t xml:space="preserve"> de la presente Resolución.</w:t>
      </w:r>
    </w:p>
    <w:p w14:paraId="15AC427E" w14:textId="77777777" w:rsidR="0006302B" w:rsidRPr="0013707D" w:rsidRDefault="0006302B" w:rsidP="0006302B">
      <w:pPr>
        <w:pStyle w:val="ARTICULOS"/>
        <w:numPr>
          <w:ilvl w:val="0"/>
          <w:numId w:val="0"/>
        </w:numPr>
        <w:rPr>
          <w:rFonts w:cs="Arial"/>
          <w:color w:val="000000" w:themeColor="text1"/>
          <w:lang w:val="es-CO"/>
        </w:rPr>
      </w:pPr>
    </w:p>
    <w:p w14:paraId="0C7F9BB1" w14:textId="6EAB5379" w:rsidR="0006302B"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b/>
          <w:color w:val="000000" w:themeColor="text1"/>
          <w:lang w:val="es-CO"/>
        </w:rPr>
        <w:t>Parágrafo.</w:t>
      </w:r>
      <w:r w:rsidRPr="0013707D">
        <w:rPr>
          <w:rFonts w:cs="Arial"/>
          <w:color w:val="000000" w:themeColor="text1"/>
          <w:lang w:val="es-CO"/>
        </w:rPr>
        <w:t xml:space="preserve"> El </w:t>
      </w:r>
      <w:r w:rsidR="0022131A" w:rsidRPr="002D5416">
        <w:rPr>
          <w:rFonts w:cs="Arial"/>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definirá el medio y el formato para la presentación de las ofertas </w:t>
      </w:r>
      <w:r>
        <w:rPr>
          <w:rFonts w:cs="Arial"/>
          <w:color w:val="000000" w:themeColor="text1"/>
          <w:lang w:val="es-CO"/>
        </w:rPr>
        <w:t xml:space="preserve">de venta </w:t>
      </w:r>
      <w:r>
        <w:rPr>
          <w:rFonts w:cs="Arial"/>
          <w:b/>
          <w:bCs w:val="0"/>
          <w:color w:val="000000" w:themeColor="text1"/>
          <w:lang w:val="es-CO"/>
        </w:rPr>
        <w:t xml:space="preserve">de derechos de suministro </w:t>
      </w:r>
      <w:r w:rsidRPr="0013707D">
        <w:rPr>
          <w:rFonts w:cs="Arial"/>
          <w:color w:val="000000" w:themeColor="text1"/>
          <w:lang w:val="es-CO"/>
        </w:rPr>
        <w:t xml:space="preserve">y de las solicitudes de </w:t>
      </w:r>
      <w:r>
        <w:rPr>
          <w:rFonts w:cs="Arial"/>
          <w:color w:val="000000" w:themeColor="text1"/>
          <w:lang w:val="es-CO"/>
        </w:rPr>
        <w:t xml:space="preserve">compra de gas </w:t>
      </w:r>
      <w:r w:rsidRPr="0013707D">
        <w:rPr>
          <w:rFonts w:cs="Arial"/>
          <w:color w:val="000000" w:themeColor="text1"/>
          <w:lang w:val="es-CO"/>
        </w:rPr>
        <w:t xml:space="preserve">a las que se hace referencia en este artículo. El </w:t>
      </w:r>
      <w:r w:rsidR="0022131A" w:rsidRPr="002D5416">
        <w:rPr>
          <w:rFonts w:cs="Arial"/>
          <w:u w:color="FF0000"/>
          <w:lang w:val="es-CO"/>
        </w:rPr>
        <w:lastRenderedPageBreak/>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facilitará la publicación de otra información sobre las ofertas de venta y las solicitudes de compra que los </w:t>
      </w:r>
      <w:r>
        <w:rPr>
          <w:rFonts w:cs="Arial"/>
          <w:color w:val="000000" w:themeColor="text1"/>
          <w:lang w:val="es-CO"/>
        </w:rPr>
        <w:t>P</w:t>
      </w:r>
      <w:r w:rsidRPr="0013707D">
        <w:rPr>
          <w:rFonts w:cs="Arial"/>
          <w:color w:val="000000" w:themeColor="text1"/>
          <w:lang w:val="es-CO"/>
        </w:rPr>
        <w:t>articipantes del mercado deseen publicar voluntariamente.</w:t>
      </w:r>
    </w:p>
    <w:p w14:paraId="16848675" w14:textId="77777777" w:rsidR="0006302B" w:rsidRDefault="0006302B" w:rsidP="0006302B">
      <w:pPr>
        <w:pStyle w:val="ARTICULOS"/>
        <w:numPr>
          <w:ilvl w:val="0"/>
          <w:numId w:val="0"/>
        </w:numPr>
        <w:tabs>
          <w:tab w:val="clear" w:pos="1559"/>
          <w:tab w:val="left" w:pos="1560"/>
        </w:tabs>
        <w:rPr>
          <w:rFonts w:cs="Arial"/>
          <w:color w:val="000000" w:themeColor="text1"/>
          <w:lang w:val="es-CO"/>
        </w:rPr>
      </w:pPr>
    </w:p>
    <w:p w14:paraId="5C389B89" w14:textId="47DCE0B4" w:rsidR="00322026" w:rsidRDefault="0006302B" w:rsidP="0006302B">
      <w:pPr>
        <w:pStyle w:val="ARTICULOS"/>
        <w:tabs>
          <w:tab w:val="clear" w:pos="1559"/>
          <w:tab w:val="left" w:pos="1560"/>
        </w:tabs>
        <w:outlineLvl w:val="0"/>
        <w:rPr>
          <w:rFonts w:cs="Arial"/>
          <w:color w:val="000000" w:themeColor="text1"/>
          <w:lang w:val="es-CO"/>
        </w:rPr>
      </w:pPr>
      <w:bookmarkStart w:id="83" w:name="_Ref334605992"/>
      <w:bookmarkStart w:id="84" w:name="_Ref334617378"/>
      <w:r w:rsidRPr="0013707D">
        <w:rPr>
          <w:rFonts w:cs="Arial"/>
          <w:b/>
          <w:color w:val="000000" w:themeColor="text1"/>
          <w:lang w:val="es-CO"/>
        </w:rPr>
        <w:t>Negociaciones directas a través de otras plataformas.</w:t>
      </w:r>
      <w:r w:rsidRPr="0013707D">
        <w:rPr>
          <w:rFonts w:cs="Arial"/>
          <w:color w:val="000000" w:themeColor="text1"/>
          <w:lang w:val="es-CO"/>
        </w:rPr>
        <w:t xml:space="preserve"> La implementación del BEC no impedirá la negociación a través de otras plataformas de iniciativa particular.</w:t>
      </w:r>
      <w:r>
        <w:rPr>
          <w:rFonts w:cs="Arial"/>
          <w:color w:val="000000" w:themeColor="text1"/>
          <w:lang w:val="es-CO"/>
        </w:rPr>
        <w:t xml:space="preserve"> </w:t>
      </w:r>
      <w:r w:rsidR="00322026" w:rsidRPr="00295053">
        <w:rPr>
          <w:rFonts w:cs="Arial"/>
          <w:b/>
          <w:bCs w:val="0"/>
          <w:color w:val="000000" w:themeColor="text1"/>
          <w:lang w:val="es-CO"/>
        </w:rPr>
        <w:t xml:space="preserve">En cualquier caso, en la plataforma se deberá registrar </w:t>
      </w:r>
      <w:r w:rsidR="00322026">
        <w:rPr>
          <w:rFonts w:cs="Arial"/>
          <w:b/>
          <w:bCs w:val="0"/>
          <w:color w:val="000000" w:themeColor="text1"/>
          <w:lang w:val="es-CO"/>
        </w:rPr>
        <w:t xml:space="preserve">y publicar </w:t>
      </w:r>
      <w:r w:rsidR="00322026" w:rsidRPr="00295053">
        <w:rPr>
          <w:rFonts w:cs="Arial"/>
          <w:b/>
          <w:bCs w:val="0"/>
          <w:color w:val="000000" w:themeColor="text1"/>
          <w:lang w:val="es-CO"/>
        </w:rPr>
        <w:t>la misma información que</w:t>
      </w:r>
      <w:r w:rsidR="00322026" w:rsidRPr="00322026">
        <w:rPr>
          <w:rFonts w:cs="Arial"/>
          <w:b/>
          <w:bCs w:val="0"/>
          <w:color w:val="000000" w:themeColor="text1"/>
          <w:lang w:val="es-CO"/>
        </w:rPr>
        <w:t>,</w:t>
      </w:r>
      <w:r w:rsidR="00322026" w:rsidRPr="00295053">
        <w:rPr>
          <w:rFonts w:cs="Arial"/>
          <w:b/>
          <w:bCs w:val="0"/>
          <w:color w:val="000000" w:themeColor="text1"/>
          <w:lang w:val="es-CO"/>
        </w:rPr>
        <w:t xml:space="preserve"> como mínimo</w:t>
      </w:r>
      <w:r w:rsidR="00322026" w:rsidRPr="00322026">
        <w:rPr>
          <w:rFonts w:cs="Arial"/>
          <w:b/>
          <w:bCs w:val="0"/>
          <w:color w:val="000000" w:themeColor="text1"/>
          <w:lang w:val="es-CO"/>
        </w:rPr>
        <w:t>,</w:t>
      </w:r>
      <w:r w:rsidR="00322026" w:rsidRPr="00295053">
        <w:rPr>
          <w:rFonts w:cs="Arial"/>
          <w:b/>
          <w:bCs w:val="0"/>
          <w:color w:val="000000" w:themeColor="text1"/>
          <w:lang w:val="es-CO"/>
        </w:rPr>
        <w:t xml:space="preserve"> se establece en los numerales 1 y 2 del </w:t>
      </w:r>
      <w:r w:rsidR="004F7A64">
        <w:rPr>
          <w:rFonts w:cs="Arial"/>
          <w:b/>
          <w:bCs w:val="0"/>
          <w:color w:val="000000" w:themeColor="text1"/>
          <w:lang w:val="es-CO"/>
        </w:rPr>
        <w:t>a</w:t>
      </w:r>
      <w:r w:rsidR="00322026" w:rsidRPr="00295053">
        <w:rPr>
          <w:rFonts w:cs="Arial"/>
          <w:b/>
          <w:bCs w:val="0"/>
          <w:color w:val="000000" w:themeColor="text1"/>
          <w:lang w:val="es-CO"/>
        </w:rPr>
        <w:t>rtículo 33 de la presente resolución.</w:t>
      </w:r>
    </w:p>
    <w:p w14:paraId="76C141E2" w14:textId="77777777" w:rsidR="00322026" w:rsidRDefault="00322026" w:rsidP="00295053">
      <w:pPr>
        <w:pStyle w:val="ARTICULOS"/>
        <w:numPr>
          <w:ilvl w:val="0"/>
          <w:numId w:val="0"/>
        </w:numPr>
        <w:tabs>
          <w:tab w:val="clear" w:pos="1559"/>
          <w:tab w:val="left" w:pos="1560"/>
        </w:tabs>
        <w:outlineLvl w:val="0"/>
        <w:rPr>
          <w:rFonts w:cs="Arial"/>
          <w:color w:val="000000" w:themeColor="text1"/>
          <w:lang w:val="es-CO"/>
        </w:rPr>
      </w:pPr>
    </w:p>
    <w:p w14:paraId="7526EFF9" w14:textId="6FBF1FCF" w:rsidR="0006302B" w:rsidRDefault="0006302B" w:rsidP="00295053">
      <w:pPr>
        <w:pStyle w:val="ARTICULOS"/>
        <w:numPr>
          <w:ilvl w:val="0"/>
          <w:numId w:val="0"/>
        </w:numPr>
        <w:tabs>
          <w:tab w:val="clear" w:pos="1559"/>
          <w:tab w:val="left" w:pos="1560"/>
        </w:tabs>
        <w:outlineLvl w:val="0"/>
        <w:rPr>
          <w:rFonts w:cs="Arial"/>
          <w:color w:val="000000" w:themeColor="text1"/>
          <w:lang w:val="es-CO"/>
        </w:rPr>
      </w:pPr>
      <w:r w:rsidRPr="00774E7C">
        <w:rPr>
          <w:rFonts w:cs="Arial"/>
          <w:color w:val="000000" w:themeColor="text1"/>
          <w:lang w:val="es-CO"/>
        </w:rPr>
        <w:t>No obstante</w:t>
      </w:r>
      <w:r w:rsidRPr="0013707D">
        <w:rPr>
          <w:rFonts w:cs="Arial"/>
          <w:color w:val="000000" w:themeColor="text1"/>
          <w:lang w:val="es-CO"/>
        </w:rPr>
        <w:t>, todos los contratos del mercado secundario deberán ser registrados ante el</w:t>
      </w:r>
      <w:r w:rsidRPr="002D5416">
        <w:rPr>
          <w:rFonts w:cs="Arial"/>
          <w:lang w:val="es-CO"/>
        </w:rPr>
        <w:t xml:space="preserve"> </w:t>
      </w:r>
      <w:r w:rsidR="0022131A" w:rsidRPr="002D5416">
        <w:rPr>
          <w:rFonts w:cs="Arial"/>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de conformidad con lo dispuesto en </w:t>
      </w:r>
      <w:r w:rsidRPr="0011653C">
        <w:rPr>
          <w:rFonts w:cs="Arial"/>
          <w:color w:val="000000" w:themeColor="text1"/>
          <w:lang w:val="es-CO"/>
        </w:rPr>
        <w:t xml:space="preserve">el </w:t>
      </w:r>
      <w:bookmarkStart w:id="85" w:name="_Hlk55316456"/>
      <w:r>
        <w:rPr>
          <w:rFonts w:cs="Arial"/>
          <w:color w:val="000000" w:themeColor="text1"/>
          <w:lang w:val="es-CO"/>
        </w:rPr>
        <w:fldChar w:fldCharType="begin"/>
      </w:r>
      <w:r>
        <w:rPr>
          <w:rFonts w:cs="Arial"/>
          <w:color w:val="000000" w:themeColor="text1"/>
          <w:lang w:val="es-CO"/>
        </w:rPr>
        <w:instrText xml:space="preserve"> REF _Ref55316068 \h </w:instrText>
      </w:r>
      <w:r>
        <w:rPr>
          <w:rFonts w:cs="Arial"/>
          <w:color w:val="000000" w:themeColor="text1"/>
          <w:lang w:val="es-CO"/>
        </w:rPr>
      </w:r>
      <w:r>
        <w:rPr>
          <w:rFonts w:cs="Arial"/>
          <w:color w:val="000000" w:themeColor="text1"/>
          <w:lang w:val="es-CO"/>
        </w:rPr>
        <w:fldChar w:fldCharType="separate"/>
      </w:r>
      <w:r w:rsidR="00636B6A" w:rsidRPr="007E56EE">
        <w:rPr>
          <w:color w:val="000000" w:themeColor="text1"/>
        </w:rPr>
        <w:t xml:space="preserve">Anexo </w:t>
      </w:r>
      <w:r w:rsidR="00636B6A">
        <w:rPr>
          <w:noProof/>
          <w:color w:val="000000" w:themeColor="text1"/>
        </w:rPr>
        <w:t>1</w:t>
      </w:r>
      <w:r>
        <w:rPr>
          <w:rFonts w:cs="Arial"/>
          <w:color w:val="000000" w:themeColor="text1"/>
          <w:lang w:val="es-CO"/>
        </w:rPr>
        <w:fldChar w:fldCharType="end"/>
      </w:r>
      <w:bookmarkEnd w:id="85"/>
      <w:r w:rsidRPr="00FF4ED7">
        <w:rPr>
          <w:rFonts w:cs="Arial"/>
          <w:color w:val="000000" w:themeColor="text1"/>
          <w:lang w:val="es-CO"/>
        </w:rPr>
        <w:t xml:space="preserve"> de esta Resolución.</w:t>
      </w:r>
    </w:p>
    <w:p w14:paraId="71D10982" w14:textId="77777777" w:rsidR="0006302B" w:rsidRPr="00FF4ED7" w:rsidRDefault="0006302B" w:rsidP="0006302B">
      <w:pPr>
        <w:rPr>
          <w:lang w:val="es-CO"/>
        </w:rPr>
      </w:pPr>
    </w:p>
    <w:p w14:paraId="7B66A959" w14:textId="2787A57B" w:rsidR="0006302B" w:rsidRPr="0013707D" w:rsidRDefault="0006302B" w:rsidP="0006302B">
      <w:pPr>
        <w:pStyle w:val="ARTICULOS"/>
        <w:tabs>
          <w:tab w:val="clear" w:pos="1559"/>
          <w:tab w:val="left" w:pos="1560"/>
        </w:tabs>
        <w:outlineLvl w:val="0"/>
        <w:rPr>
          <w:rFonts w:cs="Arial"/>
          <w:color w:val="000000" w:themeColor="text1"/>
          <w:lang w:val="es-CO"/>
        </w:rPr>
      </w:pPr>
      <w:r w:rsidRPr="0013707D">
        <w:rPr>
          <w:rFonts w:cs="Arial"/>
          <w:b/>
          <w:color w:val="000000" w:themeColor="text1"/>
          <w:lang w:val="es-CO"/>
        </w:rPr>
        <w:t xml:space="preserve">Registro en el </w:t>
      </w:r>
      <w:r w:rsidRPr="0013707D">
        <w:rPr>
          <w:rFonts w:cs="Arial"/>
          <w:b/>
          <w:bCs w:val="0"/>
          <w:color w:val="000000" w:themeColor="text1"/>
          <w:lang w:val="es-CO"/>
        </w:rPr>
        <w:t>BEC</w:t>
      </w:r>
      <w:r w:rsidRPr="0013707D">
        <w:rPr>
          <w:rFonts w:cs="Arial"/>
          <w:b/>
          <w:color w:val="000000" w:themeColor="text1"/>
          <w:lang w:val="es-CO"/>
        </w:rPr>
        <w:t>.</w:t>
      </w:r>
      <w:r w:rsidRPr="0013707D">
        <w:rPr>
          <w:rFonts w:cs="Arial"/>
          <w:color w:val="000000" w:themeColor="text1"/>
          <w:lang w:val="es-CO"/>
        </w:rPr>
        <w:t xml:space="preserve"> Los </w:t>
      </w:r>
      <w:r>
        <w:rPr>
          <w:rFonts w:cs="Arial"/>
          <w:color w:val="000000" w:themeColor="text1"/>
          <w:lang w:val="es-CO"/>
        </w:rPr>
        <w:t>Participantes del Mercado</w:t>
      </w:r>
      <w:r w:rsidRPr="0013707D">
        <w:rPr>
          <w:rFonts w:cs="Arial"/>
          <w:color w:val="000000" w:themeColor="text1"/>
          <w:lang w:val="es-CO"/>
        </w:rPr>
        <w:t xml:space="preserve"> a los que se hace referencia en los </w:t>
      </w:r>
      <w:r>
        <w:rPr>
          <w:rFonts w:cs="Arial"/>
          <w:color w:val="000000" w:themeColor="text1"/>
          <w:lang w:val="es-CO"/>
        </w:rPr>
        <w:t>a</w:t>
      </w:r>
      <w:r w:rsidRPr="0013707D">
        <w:rPr>
          <w:rFonts w:cs="Arial"/>
          <w:color w:val="000000" w:themeColor="text1"/>
          <w:lang w:val="es-CO"/>
        </w:rPr>
        <w:t xml:space="preserve">rtículos </w:t>
      </w:r>
      <w:r w:rsidR="008E7D39" w:rsidRPr="008E7D39">
        <w:rPr>
          <w:b/>
          <w:lang w:val="es-CO"/>
        </w:rPr>
        <w:t>29 y 30</w:t>
      </w:r>
      <w:r w:rsidRPr="008E7D39">
        <w:rPr>
          <w:b/>
          <w:lang w:val="es-CO"/>
        </w:rPr>
        <w:t xml:space="preserve"> </w:t>
      </w:r>
      <w:r w:rsidRPr="0013707D">
        <w:rPr>
          <w:rFonts w:cs="Arial"/>
          <w:color w:val="000000" w:themeColor="text1"/>
          <w:lang w:val="es-CO"/>
        </w:rPr>
        <w:t xml:space="preserve">de esta Resolución </w:t>
      </w:r>
      <w:r w:rsidRPr="00774E7C">
        <w:rPr>
          <w:rFonts w:cs="Arial"/>
          <w:color w:val="000000" w:themeColor="text1"/>
          <w:lang w:val="es-CO"/>
        </w:rPr>
        <w:t xml:space="preserve">podrán </w:t>
      </w:r>
      <w:r w:rsidRPr="0013707D">
        <w:rPr>
          <w:rFonts w:cs="Arial"/>
          <w:color w:val="000000" w:themeColor="text1"/>
          <w:lang w:val="es-CO"/>
        </w:rPr>
        <w:t xml:space="preserve">registrarse en el </w:t>
      </w:r>
      <w:r w:rsidRPr="0013707D">
        <w:rPr>
          <w:rFonts w:cs="Arial"/>
          <w:bCs w:val="0"/>
          <w:color w:val="000000" w:themeColor="text1"/>
          <w:lang w:val="es-CO"/>
        </w:rPr>
        <w:t>BEC</w:t>
      </w:r>
      <w:r w:rsidRPr="0013707D">
        <w:rPr>
          <w:rFonts w:cs="Arial"/>
          <w:color w:val="000000" w:themeColor="text1"/>
          <w:lang w:val="es-CO"/>
        </w:rPr>
        <w:t xml:space="preserve"> para tener acceso a información sobre ofertas </w:t>
      </w:r>
      <w:r w:rsidRPr="00CA5810">
        <w:rPr>
          <w:rFonts w:cs="Arial"/>
          <w:color w:val="000000" w:themeColor="text1"/>
          <w:lang w:val="es-CO"/>
        </w:rPr>
        <w:t>de venta</w:t>
      </w:r>
      <w:r>
        <w:rPr>
          <w:rFonts w:cs="Arial"/>
          <w:color w:val="000000" w:themeColor="text1"/>
          <w:lang w:val="es-CO"/>
        </w:rPr>
        <w:t xml:space="preserve"> </w:t>
      </w:r>
      <w:r>
        <w:rPr>
          <w:rFonts w:cs="Arial"/>
          <w:b/>
          <w:bCs w:val="0"/>
          <w:color w:val="000000" w:themeColor="text1"/>
          <w:lang w:val="es-CO"/>
        </w:rPr>
        <w:t xml:space="preserve">de derechos de suministro de gas </w:t>
      </w:r>
      <w:r w:rsidRPr="0013707D">
        <w:rPr>
          <w:rFonts w:cs="Arial"/>
          <w:color w:val="000000" w:themeColor="text1"/>
          <w:lang w:val="es-CO"/>
        </w:rPr>
        <w:t xml:space="preserve">y </w:t>
      </w:r>
      <w:r w:rsidRPr="00CA5810">
        <w:rPr>
          <w:rFonts w:cs="Arial"/>
          <w:color w:val="000000" w:themeColor="text1"/>
          <w:lang w:val="es-CO"/>
        </w:rPr>
        <w:t>solicitudes de compra</w:t>
      </w:r>
      <w:r w:rsidRPr="0013707D">
        <w:rPr>
          <w:rFonts w:cs="Arial"/>
          <w:color w:val="000000" w:themeColor="text1"/>
          <w:lang w:val="es-CO"/>
        </w:rPr>
        <w:t xml:space="preserve"> en el mercado secundario. </w:t>
      </w:r>
      <w:bookmarkStart w:id="86" w:name="_Ref359825041"/>
      <w:bookmarkEnd w:id="83"/>
      <w:bookmarkEnd w:id="84"/>
      <w:r w:rsidRPr="0013707D">
        <w:rPr>
          <w:rFonts w:cs="Arial"/>
          <w:color w:val="000000" w:themeColor="text1"/>
          <w:lang w:val="es-CO"/>
        </w:rPr>
        <w:t>El registro en el BEC no conllevará el pago de cargos adicionales</w:t>
      </w:r>
      <w:r w:rsidR="00A52406">
        <w:rPr>
          <w:rFonts w:cs="Arial"/>
          <w:color w:val="000000" w:themeColor="text1"/>
          <w:lang w:val="es-CO"/>
        </w:rPr>
        <w:t>,</w:t>
      </w:r>
      <w:r w:rsidRPr="0013707D">
        <w:rPr>
          <w:rFonts w:cs="Arial"/>
          <w:color w:val="000000" w:themeColor="text1"/>
          <w:lang w:val="es-CO"/>
        </w:rPr>
        <w:t xml:space="preserve"> y se realizará ante el </w:t>
      </w:r>
      <w:r w:rsidR="0022131A" w:rsidRPr="002D5416">
        <w:rPr>
          <w:rFonts w:cs="Arial"/>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a través del medio electrónico y los formatos que éste defina.</w:t>
      </w:r>
      <w:bookmarkEnd w:id="86"/>
    </w:p>
    <w:p w14:paraId="2C7BB58B" w14:textId="77777777" w:rsidR="0006302B" w:rsidRPr="0013707D" w:rsidRDefault="0006302B" w:rsidP="0006302B">
      <w:pPr>
        <w:pStyle w:val="ARTICULOS"/>
        <w:numPr>
          <w:ilvl w:val="0"/>
          <w:numId w:val="0"/>
        </w:numPr>
        <w:tabs>
          <w:tab w:val="clear" w:pos="1559"/>
          <w:tab w:val="left" w:pos="1560"/>
        </w:tabs>
        <w:rPr>
          <w:rFonts w:cs="Arial"/>
          <w:color w:val="000000" w:themeColor="text1"/>
          <w:lang w:val="es-CO"/>
        </w:rPr>
      </w:pPr>
    </w:p>
    <w:p w14:paraId="20F052DD" w14:textId="45B3E564" w:rsidR="0006302B" w:rsidRDefault="0006302B" w:rsidP="0006302B">
      <w:pPr>
        <w:pStyle w:val="ARTICULOS"/>
        <w:numPr>
          <w:ilvl w:val="0"/>
          <w:numId w:val="0"/>
        </w:numPr>
        <w:tabs>
          <w:tab w:val="clear" w:pos="1559"/>
          <w:tab w:val="left" w:pos="1560"/>
        </w:tabs>
        <w:rPr>
          <w:rFonts w:cs="Arial"/>
          <w:color w:val="000000" w:themeColor="text1"/>
          <w:lang w:val="es-CO"/>
        </w:rPr>
      </w:pPr>
      <w:r w:rsidRPr="0013707D">
        <w:rPr>
          <w:rFonts w:cs="Arial"/>
          <w:color w:val="000000" w:themeColor="text1"/>
          <w:lang w:val="es-CO"/>
        </w:rPr>
        <w:t xml:space="preserve">La información que el </w:t>
      </w:r>
      <w:r w:rsidR="0022131A" w:rsidRPr="002D5416">
        <w:rPr>
          <w:rFonts w:cs="Arial"/>
          <w:u w:color="FF0000"/>
          <w:lang w:val="es-CO"/>
        </w:rPr>
        <w:t>Gestor</w:t>
      </w:r>
      <w:r w:rsidRPr="002D5416">
        <w:rPr>
          <w:rFonts w:cs="Arial"/>
          <w:lang w:val="es-CO"/>
        </w:rPr>
        <w:t xml:space="preserve"> </w:t>
      </w:r>
      <w:r>
        <w:rPr>
          <w:rFonts w:cs="Arial"/>
          <w:color w:val="000000" w:themeColor="text1"/>
          <w:lang w:val="es-CO"/>
        </w:rPr>
        <w:t>del Mercado</w:t>
      </w:r>
      <w:r w:rsidRPr="0013707D">
        <w:rPr>
          <w:rFonts w:cs="Arial"/>
          <w:color w:val="000000" w:themeColor="text1"/>
          <w:lang w:val="es-CO"/>
        </w:rPr>
        <w:t xml:space="preserve"> solicite a través de los formatos de registro en el BEC</w:t>
      </w:r>
      <w:r>
        <w:rPr>
          <w:rFonts w:cs="Arial"/>
          <w:color w:val="000000" w:themeColor="text1"/>
          <w:lang w:val="es-CO"/>
        </w:rPr>
        <w:t>,</w:t>
      </w:r>
      <w:r w:rsidRPr="0013707D">
        <w:rPr>
          <w:rFonts w:cs="Arial"/>
          <w:color w:val="000000" w:themeColor="text1"/>
          <w:lang w:val="es-CO"/>
        </w:rPr>
        <w:t xml:space="preserve"> por lo menos</w:t>
      </w:r>
      <w:r>
        <w:rPr>
          <w:rFonts w:cs="Arial"/>
          <w:color w:val="000000" w:themeColor="text1"/>
          <w:lang w:val="es-CO"/>
        </w:rPr>
        <w:t>,</w:t>
      </w:r>
      <w:r w:rsidRPr="0013707D">
        <w:rPr>
          <w:rFonts w:cs="Arial"/>
          <w:color w:val="000000" w:themeColor="text1"/>
          <w:lang w:val="es-CO"/>
        </w:rPr>
        <w:t xml:space="preserve"> le deberá permitir identificar si el </w:t>
      </w:r>
      <w:r>
        <w:rPr>
          <w:rFonts w:cs="Arial"/>
          <w:color w:val="000000" w:themeColor="text1"/>
          <w:lang w:val="es-CO"/>
        </w:rPr>
        <w:t>P</w:t>
      </w:r>
      <w:r w:rsidRPr="00CA5810">
        <w:rPr>
          <w:rFonts w:cs="Arial"/>
          <w:color w:val="000000" w:themeColor="text1"/>
          <w:lang w:val="es-CO"/>
        </w:rPr>
        <w:t>articipante del mercado</w:t>
      </w:r>
      <w:r w:rsidRPr="0013707D">
        <w:rPr>
          <w:rFonts w:cs="Arial"/>
          <w:color w:val="000000" w:themeColor="text1"/>
          <w:lang w:val="es-CO"/>
        </w:rPr>
        <w:t xml:space="preserve"> que desea registrarse corresponde </w:t>
      </w:r>
      <w:r>
        <w:rPr>
          <w:rFonts w:cs="Arial"/>
          <w:color w:val="000000" w:themeColor="text1"/>
          <w:lang w:val="es-CO"/>
        </w:rPr>
        <w:t xml:space="preserve">a </w:t>
      </w:r>
      <w:r w:rsidRPr="00FA03DA">
        <w:rPr>
          <w:rFonts w:cs="Arial"/>
          <w:color w:val="000000" w:themeColor="text1"/>
          <w:lang w:val="es-CO"/>
        </w:rPr>
        <w:t xml:space="preserve">aquellos </w:t>
      </w:r>
      <w:r>
        <w:rPr>
          <w:rFonts w:cs="Arial"/>
          <w:color w:val="000000" w:themeColor="text1"/>
          <w:lang w:val="es-CO"/>
        </w:rPr>
        <w:t xml:space="preserve">Participantes del Mercado </w:t>
      </w:r>
      <w:r w:rsidRPr="005A3B81">
        <w:rPr>
          <w:rFonts w:cs="Arial"/>
          <w:color w:val="000000" w:themeColor="text1"/>
          <w:lang w:val="es-CO"/>
        </w:rPr>
        <w:t xml:space="preserve">a </w:t>
      </w:r>
      <w:r w:rsidRPr="0013707D">
        <w:rPr>
          <w:rFonts w:cs="Arial"/>
          <w:color w:val="000000" w:themeColor="text1"/>
          <w:lang w:val="es-CO"/>
        </w:rPr>
        <w:t>que</w:t>
      </w:r>
      <w:r>
        <w:rPr>
          <w:rFonts w:cs="Arial"/>
          <w:color w:val="000000" w:themeColor="text1"/>
          <w:lang w:val="es-CO"/>
        </w:rPr>
        <w:t xml:space="preserve"> </w:t>
      </w:r>
      <w:r w:rsidRPr="0013707D">
        <w:rPr>
          <w:rFonts w:cs="Arial"/>
          <w:color w:val="000000" w:themeColor="text1"/>
          <w:lang w:val="es-CO"/>
        </w:rPr>
        <w:t>hace</w:t>
      </w:r>
      <w:r>
        <w:rPr>
          <w:rFonts w:cs="Arial"/>
          <w:color w:val="000000" w:themeColor="text1"/>
          <w:lang w:val="es-CO"/>
        </w:rPr>
        <w:t>n</w:t>
      </w:r>
      <w:r w:rsidRPr="0013707D">
        <w:rPr>
          <w:rFonts w:cs="Arial"/>
          <w:color w:val="000000" w:themeColor="text1"/>
          <w:lang w:val="es-CO"/>
        </w:rPr>
        <w:t xml:space="preserve"> referencia </w:t>
      </w:r>
      <w:r w:rsidRPr="0011653C">
        <w:rPr>
          <w:rFonts w:cs="Arial"/>
          <w:color w:val="000000" w:themeColor="text1"/>
          <w:lang w:val="es-CO"/>
        </w:rPr>
        <w:t xml:space="preserve">los </w:t>
      </w:r>
      <w:r>
        <w:rPr>
          <w:rFonts w:cs="Arial"/>
          <w:color w:val="000000" w:themeColor="text1"/>
          <w:lang w:val="es-CO"/>
        </w:rPr>
        <w:t>a</w:t>
      </w:r>
      <w:r w:rsidRPr="0011653C">
        <w:rPr>
          <w:rFonts w:cs="Arial"/>
          <w:color w:val="000000" w:themeColor="text1"/>
          <w:lang w:val="es-CO"/>
        </w:rPr>
        <w:t xml:space="preserve">rtículos </w:t>
      </w:r>
      <w:r w:rsidR="008E7D39" w:rsidRPr="008E7D39">
        <w:rPr>
          <w:rFonts w:cs="Arial"/>
          <w:b/>
          <w:bCs w:val="0"/>
          <w:color w:val="000000" w:themeColor="text1"/>
          <w:lang w:val="es-CO"/>
        </w:rPr>
        <w:t>29 y 30</w:t>
      </w:r>
      <w:r w:rsidRPr="0013707D">
        <w:rPr>
          <w:rFonts w:cs="Arial"/>
          <w:color w:val="000000" w:themeColor="text1"/>
          <w:lang w:val="es-CO"/>
        </w:rPr>
        <w:t xml:space="preserve"> de esta</w:t>
      </w:r>
      <w:r>
        <w:rPr>
          <w:rFonts w:cs="Arial"/>
          <w:color w:val="000000" w:themeColor="text1"/>
          <w:lang w:val="es-CO"/>
        </w:rPr>
        <w:t xml:space="preserve"> resolución</w:t>
      </w:r>
      <w:r w:rsidRPr="0013707D">
        <w:rPr>
          <w:rFonts w:cs="Arial"/>
          <w:color w:val="000000" w:themeColor="text1"/>
          <w:lang w:val="es-CO"/>
        </w:rPr>
        <w:t>.</w:t>
      </w:r>
    </w:p>
    <w:p w14:paraId="571BC146" w14:textId="48D1DE3A" w:rsidR="00DF18B4" w:rsidRDefault="00DF18B4" w:rsidP="0006302B">
      <w:pPr>
        <w:pStyle w:val="ARTICULOS"/>
        <w:numPr>
          <w:ilvl w:val="0"/>
          <w:numId w:val="0"/>
        </w:numPr>
        <w:tabs>
          <w:tab w:val="clear" w:pos="1559"/>
          <w:tab w:val="left" w:pos="1560"/>
        </w:tabs>
        <w:rPr>
          <w:rFonts w:cs="Arial"/>
          <w:color w:val="000000" w:themeColor="text1"/>
          <w:lang w:val="es-CO"/>
        </w:rPr>
      </w:pPr>
    </w:p>
    <w:p w14:paraId="36474298" w14:textId="6E08B92D" w:rsidR="00DF18B4" w:rsidRPr="00295053" w:rsidRDefault="00DF18B4" w:rsidP="0006302B">
      <w:pPr>
        <w:pStyle w:val="ARTICULOS"/>
        <w:numPr>
          <w:ilvl w:val="0"/>
          <w:numId w:val="0"/>
        </w:numPr>
        <w:tabs>
          <w:tab w:val="clear" w:pos="1559"/>
          <w:tab w:val="left" w:pos="1560"/>
        </w:tabs>
        <w:rPr>
          <w:rFonts w:cs="Arial"/>
          <w:b/>
          <w:bCs w:val="0"/>
          <w:color w:val="000000" w:themeColor="text1"/>
          <w:lang w:val="es-CO"/>
        </w:rPr>
      </w:pPr>
      <w:r w:rsidRPr="00295053">
        <w:rPr>
          <w:rFonts w:cs="Arial"/>
          <w:b/>
          <w:bCs w:val="0"/>
          <w:color w:val="000000" w:themeColor="text1"/>
          <w:lang w:val="es-CO"/>
        </w:rPr>
        <w:t xml:space="preserve">Adicionalmente el Gestor del Mercado deberá verificar que </w:t>
      </w:r>
      <w:r w:rsidRPr="00A07019">
        <w:rPr>
          <w:rFonts w:cs="Arial"/>
          <w:b/>
          <w:bCs w:val="0"/>
          <w:color w:val="000000" w:themeColor="text1"/>
          <w:lang w:val="es-CO"/>
        </w:rPr>
        <w:t>el contrato que se desee registrar deberá haberse pactado a partir de la información publicada tanto por el vendedor como por el comprador</w:t>
      </w:r>
      <w:r w:rsidR="006376E1">
        <w:rPr>
          <w:rFonts w:cs="Arial"/>
          <w:b/>
          <w:bCs w:val="0"/>
          <w:color w:val="000000" w:themeColor="text1"/>
          <w:lang w:val="es-CO"/>
        </w:rPr>
        <w:t>,</w:t>
      </w:r>
      <w:r w:rsidRPr="00A07019">
        <w:rPr>
          <w:rFonts w:cs="Arial"/>
          <w:b/>
          <w:bCs w:val="0"/>
          <w:color w:val="000000" w:themeColor="text1"/>
          <w:lang w:val="es-CO"/>
        </w:rPr>
        <w:t xml:space="preserve"> de acuerdo con lo establecido en los artículos 3</w:t>
      </w:r>
      <w:r w:rsidRPr="00295053">
        <w:rPr>
          <w:rFonts w:cs="Arial"/>
          <w:b/>
          <w:bCs w:val="0"/>
          <w:color w:val="000000" w:themeColor="text1"/>
          <w:lang w:val="es-CO"/>
        </w:rPr>
        <w:t>3</w:t>
      </w:r>
      <w:r w:rsidRPr="00A07019">
        <w:rPr>
          <w:rFonts w:cs="Arial"/>
          <w:b/>
          <w:bCs w:val="0"/>
          <w:color w:val="000000" w:themeColor="text1"/>
          <w:lang w:val="es-CO"/>
        </w:rPr>
        <w:t xml:space="preserve"> y 34 de la presente resolución.</w:t>
      </w:r>
    </w:p>
    <w:p w14:paraId="656CDE83" w14:textId="77777777" w:rsidR="00DF18B4" w:rsidRPr="0013707D" w:rsidRDefault="00DF18B4" w:rsidP="0006302B">
      <w:pPr>
        <w:pStyle w:val="ARTICULOS"/>
        <w:numPr>
          <w:ilvl w:val="0"/>
          <w:numId w:val="0"/>
        </w:numPr>
        <w:tabs>
          <w:tab w:val="clear" w:pos="1559"/>
          <w:tab w:val="left" w:pos="1560"/>
        </w:tabs>
        <w:rPr>
          <w:rFonts w:cs="Arial"/>
          <w:b/>
          <w:color w:val="000000" w:themeColor="text1"/>
          <w:lang w:val="es-CO"/>
        </w:rPr>
      </w:pPr>
    </w:p>
    <w:p w14:paraId="3EA7B90F" w14:textId="77777777" w:rsidR="0006302B" w:rsidRPr="0013707D" w:rsidRDefault="0006302B" w:rsidP="0006302B">
      <w:pPr>
        <w:ind w:left="0"/>
        <w:rPr>
          <w:rFonts w:ascii="Bookman Old Style" w:hAnsi="Bookman Old Style" w:cs="Arial"/>
          <w:color w:val="000000" w:themeColor="text1"/>
          <w:sz w:val="14"/>
          <w:lang w:val="es-CO"/>
        </w:rPr>
      </w:pPr>
    </w:p>
    <w:p w14:paraId="437346F2" w14:textId="77777777" w:rsidR="0006302B" w:rsidRPr="0081092A" w:rsidRDefault="0006302B" w:rsidP="0006302B">
      <w:pPr>
        <w:keepNext/>
        <w:ind w:left="0"/>
        <w:jc w:val="center"/>
        <w:rPr>
          <w:rFonts w:ascii="Bookman Old Style" w:hAnsi="Bookman Old Style" w:cs="Arial"/>
          <w:b/>
          <w:bCs/>
          <w:color w:val="000000" w:themeColor="text1"/>
          <w:lang w:val="es-CO"/>
        </w:rPr>
      </w:pPr>
      <w:r w:rsidRPr="0081092A">
        <w:rPr>
          <w:rFonts w:ascii="Bookman Old Style" w:hAnsi="Bookman Old Style" w:cs="Arial"/>
          <w:b/>
          <w:bCs/>
          <w:color w:val="000000" w:themeColor="text1"/>
          <w:lang w:val="es-CO"/>
        </w:rPr>
        <w:t>Capítulo V</w:t>
      </w:r>
    </w:p>
    <w:p w14:paraId="38758B3B" w14:textId="220CBA46" w:rsidR="0006302B" w:rsidRPr="0081092A" w:rsidRDefault="0006302B" w:rsidP="0006302B">
      <w:pPr>
        <w:ind w:left="0"/>
        <w:jc w:val="center"/>
        <w:rPr>
          <w:rFonts w:ascii="Bookman Old Style" w:hAnsi="Bookman Old Style" w:cs="Arial"/>
          <w:color w:val="000000" w:themeColor="text1"/>
          <w:sz w:val="22"/>
          <w:lang w:val="es-CO"/>
        </w:rPr>
      </w:pPr>
      <w:r w:rsidRPr="0081092A">
        <w:rPr>
          <w:rFonts w:ascii="Bookman Old Style" w:hAnsi="Bookman Old Style" w:cs="Arial"/>
          <w:b/>
          <w:bCs/>
          <w:color w:val="000000" w:themeColor="text1"/>
          <w:lang w:val="es-CO"/>
        </w:rPr>
        <w:t>Proceso úselo o véndalo</w:t>
      </w:r>
    </w:p>
    <w:p w14:paraId="106B1DB2" w14:textId="77777777" w:rsidR="0006302B" w:rsidRPr="0013707D" w:rsidRDefault="0006302B" w:rsidP="0006302B">
      <w:pPr>
        <w:pStyle w:val="ARTICULOS"/>
        <w:numPr>
          <w:ilvl w:val="0"/>
          <w:numId w:val="0"/>
        </w:numPr>
        <w:rPr>
          <w:rFonts w:cs="Arial"/>
          <w:color w:val="000000" w:themeColor="text1"/>
          <w:lang w:val="es-CO"/>
        </w:rPr>
      </w:pPr>
    </w:p>
    <w:p w14:paraId="785EDF2C" w14:textId="654B7460" w:rsidR="0006302B" w:rsidRPr="0013707D" w:rsidRDefault="0006302B" w:rsidP="0006302B">
      <w:pPr>
        <w:pStyle w:val="ARTICULOS"/>
        <w:tabs>
          <w:tab w:val="clear" w:pos="1559"/>
          <w:tab w:val="left" w:pos="1560"/>
        </w:tabs>
        <w:outlineLvl w:val="0"/>
        <w:rPr>
          <w:rFonts w:cs="Arial"/>
          <w:color w:val="000000" w:themeColor="text1"/>
          <w:lang w:val="es-CO"/>
        </w:rPr>
      </w:pPr>
      <w:bookmarkStart w:id="87" w:name="_Ref327344515"/>
      <w:bookmarkStart w:id="88" w:name="_Ref329278976"/>
      <w:bookmarkStart w:id="89" w:name="_Ref335722683"/>
      <w:r w:rsidRPr="0013707D">
        <w:rPr>
          <w:rFonts w:cs="Arial"/>
          <w:b/>
          <w:color w:val="000000" w:themeColor="text1"/>
          <w:lang w:val="es-CO"/>
        </w:rPr>
        <w:t>Proceso úselo o véndalo de corto plazo para gas natural.</w:t>
      </w:r>
      <w:r w:rsidRPr="0013707D">
        <w:rPr>
          <w:rFonts w:cs="Arial"/>
          <w:color w:val="000000" w:themeColor="text1"/>
          <w:lang w:val="es-CO"/>
        </w:rPr>
        <w:t xml:space="preserve"> El gas natural que haya sido contratado en firme </w:t>
      </w:r>
      <w:r>
        <w:rPr>
          <w:rFonts w:cs="Arial"/>
          <w:b/>
          <w:bCs w:val="0"/>
          <w:color w:val="000000" w:themeColor="text1"/>
          <w:lang w:val="es-CO"/>
        </w:rPr>
        <w:t xml:space="preserve">en el Mercado Primario </w:t>
      </w:r>
      <w:r w:rsidRPr="0013707D">
        <w:rPr>
          <w:rFonts w:cs="Arial"/>
          <w:color w:val="000000" w:themeColor="text1"/>
          <w:lang w:val="es-CO"/>
        </w:rPr>
        <w:t xml:space="preserve">y no haya sido nominado </w:t>
      </w:r>
      <w:r>
        <w:rPr>
          <w:rFonts w:cs="Arial"/>
          <w:b/>
          <w:bCs w:val="0"/>
          <w:color w:val="000000" w:themeColor="text1"/>
          <w:lang w:val="es-CO"/>
        </w:rPr>
        <w:t xml:space="preserve">por los compradores del mercado antes mencionado, </w:t>
      </w:r>
      <w:r w:rsidRPr="0013707D">
        <w:rPr>
          <w:rFonts w:cs="Arial"/>
          <w:color w:val="000000" w:themeColor="text1"/>
          <w:lang w:val="es-CO"/>
        </w:rPr>
        <w:t xml:space="preserve">para el siguiente día de gas estará a disposición de los </w:t>
      </w:r>
      <w:r w:rsidRPr="006A2B7E">
        <w:rPr>
          <w:rFonts w:cs="Arial"/>
          <w:color w:val="000000" w:themeColor="text1"/>
          <w:lang w:val="es-CO"/>
        </w:rPr>
        <w:t>compradores</w:t>
      </w:r>
      <w:r w:rsidRPr="0013707D">
        <w:rPr>
          <w:rFonts w:cs="Arial"/>
          <w:color w:val="000000" w:themeColor="text1"/>
          <w:lang w:val="es-CO"/>
        </w:rPr>
        <w:t xml:space="preserve"> </w:t>
      </w:r>
      <w:r>
        <w:rPr>
          <w:rFonts w:cs="Arial"/>
          <w:b/>
          <w:bCs w:val="0"/>
          <w:color w:val="000000" w:themeColor="text1"/>
          <w:lang w:val="es-CO"/>
        </w:rPr>
        <w:t xml:space="preserve">del Mercado Secundario </w:t>
      </w:r>
      <w:r w:rsidRPr="0013707D">
        <w:rPr>
          <w:rFonts w:cs="Arial"/>
          <w:color w:val="000000" w:themeColor="text1"/>
          <w:lang w:val="es-CO"/>
        </w:rPr>
        <w:t xml:space="preserve">a los que se hace referencia en </w:t>
      </w:r>
      <w:r w:rsidRPr="0011653C">
        <w:rPr>
          <w:rFonts w:cs="Arial"/>
          <w:color w:val="000000" w:themeColor="text1"/>
          <w:lang w:val="es-CO"/>
        </w:rPr>
        <w:t>el</w:t>
      </w:r>
      <w:r w:rsidR="00DD53A4">
        <w:rPr>
          <w:rFonts w:cs="Arial"/>
          <w:color w:val="000000" w:themeColor="text1"/>
          <w:lang w:val="es-CO"/>
        </w:rPr>
        <w:t xml:space="preserve"> artículo 30</w:t>
      </w:r>
      <w:bookmarkStart w:id="90" w:name="_Ref334616551"/>
      <w:bookmarkEnd w:id="87"/>
      <w:bookmarkEnd w:id="88"/>
      <w:r w:rsidR="009A71C9" w:rsidRPr="00EB1DFE">
        <w:rPr>
          <w:rFonts w:cs="Arial"/>
          <w:color w:val="000000" w:themeColor="text1"/>
          <w:lang w:val="es-CO"/>
        </w:rPr>
        <w:t xml:space="preserve"> </w:t>
      </w:r>
      <w:r w:rsidRPr="00EB1DFE">
        <w:rPr>
          <w:rFonts w:cs="Arial"/>
          <w:color w:val="000000" w:themeColor="text1"/>
          <w:lang w:val="es-CO"/>
        </w:rPr>
        <w:t>de</w:t>
      </w:r>
      <w:r w:rsidRPr="0011653C">
        <w:rPr>
          <w:rFonts w:cs="Arial"/>
          <w:color w:val="000000" w:themeColor="text1"/>
          <w:lang w:val="es-CO"/>
        </w:rPr>
        <w:t xml:space="preserve"> esta Resolución que estén registrados en el BEC</w:t>
      </w:r>
      <w:r>
        <w:rPr>
          <w:rFonts w:cs="Arial"/>
          <w:color w:val="000000" w:themeColor="text1"/>
          <w:lang w:val="es-CO"/>
        </w:rPr>
        <w:t>,</w:t>
      </w:r>
      <w:r w:rsidRPr="0011653C">
        <w:rPr>
          <w:rFonts w:cs="Arial"/>
          <w:color w:val="000000" w:themeColor="text1"/>
          <w:lang w:val="es-CO"/>
        </w:rPr>
        <w:t xml:space="preserve"> según lo dispuesto en el</w:t>
      </w:r>
      <w:r w:rsidR="00DD53A4">
        <w:rPr>
          <w:rFonts w:cs="Arial"/>
          <w:color w:val="000000" w:themeColor="text1"/>
          <w:lang w:val="es-CO"/>
        </w:rPr>
        <w:t xml:space="preserve"> artículo 35</w:t>
      </w:r>
      <w:r w:rsidRPr="00135215">
        <w:rPr>
          <w:rFonts w:cs="Arial"/>
          <w:color w:val="000000" w:themeColor="text1"/>
          <w:lang w:val="es-CO"/>
        </w:rPr>
        <w:t xml:space="preserve"> de la misma. Para la negociación de este gas se seguirá el siguiente procedimiento:</w:t>
      </w:r>
      <w:bookmarkEnd w:id="89"/>
      <w:bookmarkEnd w:id="90"/>
    </w:p>
    <w:p w14:paraId="6AA48CF3" w14:textId="77777777" w:rsidR="0006302B" w:rsidRPr="0013707D" w:rsidRDefault="0006302B" w:rsidP="0006302B">
      <w:pPr>
        <w:pStyle w:val="ARTICULOS"/>
        <w:numPr>
          <w:ilvl w:val="0"/>
          <w:numId w:val="0"/>
        </w:numPr>
        <w:rPr>
          <w:rFonts w:cs="Arial"/>
          <w:color w:val="000000" w:themeColor="text1"/>
          <w:lang w:val="es-CO"/>
        </w:rPr>
      </w:pPr>
    </w:p>
    <w:p w14:paraId="45C02AC2" w14:textId="1ABC861B" w:rsidR="0006302B" w:rsidRPr="007E56EE" w:rsidRDefault="0006302B" w:rsidP="0006302B">
      <w:pPr>
        <w:pStyle w:val="ARTICULOS"/>
        <w:numPr>
          <w:ilvl w:val="1"/>
          <w:numId w:val="19"/>
        </w:numPr>
        <w:ind w:left="567" w:hanging="567"/>
        <w:rPr>
          <w:color w:val="000000" w:themeColor="text1"/>
          <w:lang w:val="es-CO"/>
        </w:rPr>
      </w:pPr>
      <w:bookmarkStart w:id="91" w:name="_Ref337225518"/>
      <w:r w:rsidRPr="0013707D">
        <w:rPr>
          <w:color w:val="000000" w:themeColor="text1"/>
          <w:lang w:val="es-CO"/>
        </w:rPr>
        <w:t xml:space="preserve">Declaración de las cantidades disponibles. A más tardar a las 15:55 horas del Día D-1, </w:t>
      </w:r>
      <w:r>
        <w:rPr>
          <w:b/>
          <w:bCs w:val="0"/>
          <w:color w:val="000000" w:themeColor="text1"/>
          <w:lang w:val="es-CO"/>
        </w:rPr>
        <w:t>los Vendedores del Mercado Primario</w:t>
      </w:r>
      <w:r w:rsidRPr="0013707D">
        <w:rPr>
          <w:rFonts w:cs="Arial"/>
          <w:color w:val="000000" w:themeColor="text1"/>
          <w:lang w:val="es-CO"/>
        </w:rPr>
        <w:t xml:space="preserve"> </w:t>
      </w:r>
      <w:r w:rsidRPr="0013707D">
        <w:rPr>
          <w:color w:val="000000" w:themeColor="text1"/>
          <w:lang w:val="es-CO"/>
        </w:rPr>
        <w:t>declararán</w:t>
      </w:r>
      <w:r>
        <w:rPr>
          <w:color w:val="000000" w:themeColor="text1"/>
          <w:lang w:val="es-CO"/>
        </w:rPr>
        <w:t xml:space="preserve"> </w:t>
      </w:r>
      <w:r>
        <w:rPr>
          <w:b/>
          <w:bCs w:val="0"/>
          <w:color w:val="000000" w:themeColor="text1"/>
          <w:lang w:val="es-CO"/>
        </w:rPr>
        <w:t xml:space="preserve">al </w:t>
      </w:r>
      <w:r w:rsidR="0022131A" w:rsidRPr="002D5416">
        <w:rPr>
          <w:b/>
          <w:u w:color="FF0000"/>
          <w:lang w:val="es-CO"/>
        </w:rPr>
        <w:t>Gestor</w:t>
      </w:r>
      <w:r>
        <w:rPr>
          <w:b/>
          <w:bCs w:val="0"/>
          <w:color w:val="000000" w:themeColor="text1"/>
          <w:lang w:val="es-CO"/>
        </w:rPr>
        <w:t xml:space="preserve"> del Mercado,</w:t>
      </w:r>
      <w:r w:rsidRPr="0013707D">
        <w:rPr>
          <w:color w:val="000000" w:themeColor="text1"/>
          <w:lang w:val="es-CO"/>
        </w:rPr>
        <w:t xml:space="preserve"> los titulares de los derechos de suministro del gas natural contratado, bajo las modalidades de contratos firmes,</w:t>
      </w:r>
      <w:r w:rsidRPr="00F80683">
        <w:rPr>
          <w:color w:val="000000" w:themeColor="text1"/>
          <w:lang w:val="es-CO"/>
        </w:rPr>
        <w:t xml:space="preserve"> </w:t>
      </w:r>
      <w:r w:rsidRPr="00D66B65">
        <w:rPr>
          <w:b/>
          <w:bCs w:val="0"/>
          <w:color w:val="000000" w:themeColor="text1"/>
          <w:lang w:val="es-CO"/>
        </w:rPr>
        <w:t>firmes CF80</w:t>
      </w:r>
      <w:r w:rsidR="00FE021C">
        <w:rPr>
          <w:b/>
          <w:bCs w:val="0"/>
          <w:color w:val="000000" w:themeColor="text1"/>
          <w:lang w:val="es-CO"/>
        </w:rPr>
        <w:t>,</w:t>
      </w:r>
      <w:r w:rsidRPr="00D66B65">
        <w:rPr>
          <w:b/>
          <w:bCs w:val="0"/>
          <w:color w:val="000000" w:themeColor="text1"/>
          <w:lang w:val="es-CO"/>
        </w:rPr>
        <w:t xml:space="preserve"> en el 80% de la cantidad contratada</w:t>
      </w:r>
      <w:r w:rsidRPr="0013707D">
        <w:rPr>
          <w:color w:val="000000" w:themeColor="text1"/>
          <w:lang w:val="es-CO"/>
        </w:rPr>
        <w:t>, firmes CF95</w:t>
      </w:r>
      <w:r w:rsidR="00FE021C">
        <w:rPr>
          <w:color w:val="000000" w:themeColor="text1"/>
          <w:lang w:val="es-CO"/>
        </w:rPr>
        <w:t xml:space="preserve">, </w:t>
      </w:r>
      <w:r w:rsidRPr="0013707D">
        <w:rPr>
          <w:color w:val="000000" w:themeColor="text1"/>
          <w:lang w:val="es-CO"/>
        </w:rPr>
        <w:t>en el 95% de la cantidad contratad</w:t>
      </w:r>
      <w:r w:rsidR="00A52406">
        <w:rPr>
          <w:color w:val="000000" w:themeColor="text1"/>
          <w:lang w:val="es-CO"/>
        </w:rPr>
        <w:t>a</w:t>
      </w:r>
      <w:r w:rsidRPr="0013707D">
        <w:rPr>
          <w:color w:val="000000" w:themeColor="text1"/>
          <w:lang w:val="es-CO"/>
        </w:rPr>
        <w:t xml:space="preserve">, de firmeza condicionada, </w:t>
      </w:r>
      <w:r w:rsidRPr="0000124E">
        <w:rPr>
          <w:color w:val="000000" w:themeColor="text1"/>
          <w:lang w:val="es-CO"/>
        </w:rPr>
        <w:t xml:space="preserve">que no haya sido nominado para el siguiente día </w:t>
      </w:r>
      <w:r w:rsidRPr="007E56EE">
        <w:rPr>
          <w:color w:val="000000" w:themeColor="text1"/>
          <w:lang w:val="es-CO"/>
        </w:rPr>
        <w:t xml:space="preserve">de gas, las respectivas cantidades de gas no nominado y los correspondientes puntos de entrega de dicho gas pactados en los contratos. </w:t>
      </w:r>
      <w:r w:rsidRPr="007E56EE">
        <w:rPr>
          <w:color w:val="000000" w:themeColor="text1"/>
          <w:lang w:val="es-CO"/>
        </w:rPr>
        <w:lastRenderedPageBreak/>
        <w:t xml:space="preserve">Esta declaración deberá presentarse de acuerdo con lo señalado en el numeral </w:t>
      </w:r>
      <w:r w:rsidRPr="007E56EE">
        <w:rPr>
          <w:color w:val="000000" w:themeColor="text1"/>
          <w:lang w:val="es-CO"/>
        </w:rPr>
        <w:fldChar w:fldCharType="begin"/>
      </w:r>
      <w:r w:rsidRPr="007E56EE">
        <w:rPr>
          <w:color w:val="000000" w:themeColor="text1"/>
          <w:lang w:val="es-CO"/>
        </w:rPr>
        <w:instrText xml:space="preserve"> REF _Ref336940374 \r \h  \* MERGEFORMAT </w:instrText>
      </w:r>
      <w:r w:rsidRPr="007E56EE">
        <w:rPr>
          <w:color w:val="000000" w:themeColor="text1"/>
          <w:lang w:val="es-CO"/>
        </w:rPr>
      </w:r>
      <w:r w:rsidRPr="007E56EE">
        <w:rPr>
          <w:color w:val="000000" w:themeColor="text1"/>
          <w:lang w:val="es-CO"/>
        </w:rPr>
        <w:fldChar w:fldCharType="separate"/>
      </w:r>
      <w:r w:rsidR="00636B6A">
        <w:rPr>
          <w:color w:val="000000" w:themeColor="text1"/>
          <w:lang w:val="es-CO"/>
        </w:rPr>
        <w:t>5.4</w:t>
      </w:r>
      <w:r w:rsidRPr="007E56EE">
        <w:rPr>
          <w:color w:val="000000" w:themeColor="text1"/>
          <w:lang w:val="es-CO"/>
        </w:rPr>
        <w:fldChar w:fldCharType="end"/>
      </w:r>
      <w:r w:rsidRPr="007E56EE">
        <w:rPr>
          <w:color w:val="000000" w:themeColor="text1"/>
          <w:lang w:val="es-CO"/>
        </w:rPr>
        <w:t xml:space="preserve"> del</w:t>
      </w:r>
      <w:r w:rsidR="00621AE2">
        <w:rPr>
          <w:color w:val="000000" w:themeColor="text1"/>
          <w:lang w:val="es-CO"/>
        </w:rPr>
        <w:t xml:space="preserve"> Anexo 4</w:t>
      </w:r>
      <w:r w:rsidRPr="007E56EE">
        <w:rPr>
          <w:color w:val="000000" w:themeColor="text1"/>
          <w:lang w:val="es-CO"/>
        </w:rPr>
        <w:t xml:space="preserve"> de la presente Resolución.</w:t>
      </w:r>
      <w:bookmarkEnd w:id="91"/>
    </w:p>
    <w:p w14:paraId="78351E34" w14:textId="77777777" w:rsidR="0006302B" w:rsidRPr="007E56EE" w:rsidRDefault="0006302B" w:rsidP="0006302B">
      <w:pPr>
        <w:pStyle w:val="ARTICULOS"/>
        <w:numPr>
          <w:ilvl w:val="0"/>
          <w:numId w:val="0"/>
        </w:numPr>
        <w:ind w:left="567"/>
        <w:rPr>
          <w:color w:val="000000" w:themeColor="text1"/>
          <w:lang w:val="es-CO"/>
        </w:rPr>
      </w:pPr>
    </w:p>
    <w:p w14:paraId="28D4A6E8" w14:textId="25A7B9A6" w:rsidR="0006302B" w:rsidRPr="0013707D" w:rsidRDefault="0006302B" w:rsidP="0006302B">
      <w:pPr>
        <w:pStyle w:val="ARTICULOS"/>
        <w:numPr>
          <w:ilvl w:val="0"/>
          <w:numId w:val="0"/>
        </w:numPr>
        <w:ind w:left="567"/>
        <w:rPr>
          <w:color w:val="000000" w:themeColor="text1"/>
          <w:lang w:val="es-CO"/>
        </w:rPr>
      </w:pPr>
      <w:r w:rsidRPr="0013707D">
        <w:rPr>
          <w:color w:val="000000" w:themeColor="text1"/>
          <w:lang w:val="es-CO"/>
        </w:rPr>
        <w:t>En esta declaración no se deberán incluir las cantidades que no fueron nominadas como consecuencia de uno de los eventos de fuerza mayor, caso fortuito o causa extraña</w:t>
      </w:r>
      <w:r w:rsidR="00A52406">
        <w:rPr>
          <w:color w:val="000000" w:themeColor="text1"/>
          <w:lang w:val="es-CO"/>
        </w:rPr>
        <w:t>,</w:t>
      </w:r>
      <w:r w:rsidRPr="0013707D">
        <w:rPr>
          <w:color w:val="000000" w:themeColor="text1"/>
          <w:lang w:val="es-CO"/>
        </w:rPr>
        <w:t xml:space="preserve"> o de uno de los eventos eximentes de responsabilidad a los que se hace referencia en los </w:t>
      </w:r>
      <w:r w:rsidRPr="00D66B65">
        <w:rPr>
          <w:color w:val="000000" w:themeColor="text1"/>
          <w:lang w:val="es-CO"/>
        </w:rPr>
        <w:t>artículos 10 y 11</w:t>
      </w:r>
      <w:r w:rsidRPr="0010361A">
        <w:rPr>
          <w:color w:val="000000" w:themeColor="text1"/>
          <w:lang w:val="es-CO"/>
        </w:rPr>
        <w:t xml:space="preserve"> de</w:t>
      </w:r>
      <w:r w:rsidRPr="0013707D">
        <w:rPr>
          <w:color w:val="000000" w:themeColor="text1"/>
          <w:lang w:val="es-CO"/>
        </w:rPr>
        <w:t xml:space="preserve"> esta Resolución.</w:t>
      </w:r>
    </w:p>
    <w:p w14:paraId="0113C90F" w14:textId="77777777" w:rsidR="0006302B" w:rsidRPr="0013707D" w:rsidRDefault="0006302B" w:rsidP="0006302B">
      <w:pPr>
        <w:pStyle w:val="ARTICULOS"/>
        <w:numPr>
          <w:ilvl w:val="0"/>
          <w:numId w:val="0"/>
        </w:numPr>
        <w:ind w:left="567"/>
        <w:rPr>
          <w:color w:val="000000" w:themeColor="text1"/>
          <w:sz w:val="16"/>
          <w:lang w:val="es-CO"/>
        </w:rPr>
      </w:pPr>
    </w:p>
    <w:p w14:paraId="6F14EF75" w14:textId="77777777" w:rsidR="0006302B" w:rsidRPr="0013707D" w:rsidRDefault="0006302B" w:rsidP="0006302B">
      <w:pPr>
        <w:pStyle w:val="ARTICULOS"/>
        <w:numPr>
          <w:ilvl w:val="0"/>
          <w:numId w:val="0"/>
        </w:numPr>
        <w:ind w:left="567"/>
        <w:rPr>
          <w:color w:val="000000" w:themeColor="text1"/>
          <w:lang w:val="es-CO"/>
        </w:rPr>
      </w:pPr>
      <w:r w:rsidRPr="0013707D">
        <w:rPr>
          <w:color w:val="000000" w:themeColor="text1"/>
          <w:lang w:val="es-CO"/>
        </w:rPr>
        <w:t xml:space="preserve">La no declaración de esta información o su declaración inoportuna podrá ser considerada por las autoridades competentes como una práctica contraria a la libre competencia. </w:t>
      </w:r>
      <w:r w:rsidRPr="0013707D">
        <w:rPr>
          <w:rFonts w:cs="Arial"/>
          <w:color w:val="000000" w:themeColor="text1"/>
          <w:lang w:val="es-CO"/>
        </w:rPr>
        <w:t>Lo anterior sin perjuicio de la responsabilidad derivada de la posible falla en la prestación del servicio que se cause por la no declaración de esta información.</w:t>
      </w:r>
    </w:p>
    <w:p w14:paraId="11333F63" w14:textId="77777777" w:rsidR="0006302B" w:rsidRPr="0013707D" w:rsidRDefault="0006302B" w:rsidP="0006302B">
      <w:pPr>
        <w:pStyle w:val="ARTICULOS"/>
        <w:numPr>
          <w:ilvl w:val="0"/>
          <w:numId w:val="0"/>
        </w:numPr>
        <w:ind w:left="567"/>
        <w:rPr>
          <w:color w:val="000000" w:themeColor="text1"/>
          <w:sz w:val="18"/>
          <w:lang w:val="es-CO"/>
        </w:rPr>
      </w:pPr>
    </w:p>
    <w:p w14:paraId="76137CEC" w14:textId="3285DDFD" w:rsidR="0006302B" w:rsidRPr="0013707D" w:rsidRDefault="0006302B" w:rsidP="0006302B">
      <w:pPr>
        <w:pStyle w:val="ARTICULOS"/>
        <w:numPr>
          <w:ilvl w:val="0"/>
          <w:numId w:val="0"/>
        </w:numPr>
        <w:ind w:left="567"/>
        <w:rPr>
          <w:color w:val="000000" w:themeColor="text1"/>
          <w:lang w:val="es-CO"/>
        </w:rPr>
      </w:pPr>
      <w:r w:rsidRPr="0013707D">
        <w:rPr>
          <w:color w:val="000000" w:themeColor="text1"/>
          <w:lang w:val="es-CO"/>
        </w:rPr>
        <w:t xml:space="preserve">Si en las cantidades declaradas como disponibles se encuentra gas natural contratado por generadores térmicos, estos le deberán informar al </w:t>
      </w:r>
      <w:r w:rsidR="0022131A" w:rsidRPr="002D5416">
        <w:rPr>
          <w:u w:color="FF0000"/>
          <w:lang w:val="es-CO"/>
        </w:rPr>
        <w:t>Gestor</w:t>
      </w:r>
      <w:r>
        <w:rPr>
          <w:color w:val="000000" w:themeColor="text1"/>
          <w:lang w:val="es-CO"/>
        </w:rPr>
        <w:t xml:space="preserve"> del Mercado</w:t>
      </w:r>
      <w:r w:rsidRPr="0013707D">
        <w:rPr>
          <w:color w:val="000000" w:themeColor="text1"/>
          <w:lang w:val="es-CO"/>
        </w:rPr>
        <w:t xml:space="preserve"> qué cantidad no debe ser ofrecida a través del proceso úselo o véndalo de corto plazo para gas natural. La cantidad informada por los generadores no será considerada parte del gas natural disponible</w:t>
      </w:r>
      <w:r>
        <w:rPr>
          <w:b/>
          <w:bCs w:val="0"/>
          <w:color w:val="000000" w:themeColor="text1"/>
          <w:lang w:val="es-CO"/>
        </w:rPr>
        <w:t xml:space="preserve"> para el proceso de úselo o véndalo de corto plazo</w:t>
      </w:r>
      <w:r w:rsidRPr="0013707D">
        <w:rPr>
          <w:color w:val="000000" w:themeColor="text1"/>
          <w:lang w:val="es-CO"/>
        </w:rPr>
        <w:t xml:space="preserve">. Si antes de las 16:00 horas el </w:t>
      </w:r>
      <w:r w:rsidR="0022131A" w:rsidRPr="002D5416">
        <w:rPr>
          <w:u w:color="FF0000"/>
          <w:lang w:val="es-CO"/>
        </w:rPr>
        <w:t>Gestor</w:t>
      </w:r>
      <w:r>
        <w:rPr>
          <w:color w:val="000000" w:themeColor="text1"/>
          <w:lang w:val="es-CO"/>
        </w:rPr>
        <w:t xml:space="preserve"> del Mercado</w:t>
      </w:r>
      <w:r w:rsidRPr="0013707D">
        <w:rPr>
          <w:color w:val="000000" w:themeColor="text1"/>
          <w:lang w:val="es-CO"/>
        </w:rPr>
        <w:t xml:space="preserve"> no recibe esta información, éste entenderá que la totalidad del gas no nominado por el correspondiente generador térmico sí está disponible para este proceso.</w:t>
      </w:r>
    </w:p>
    <w:p w14:paraId="64AC6045" w14:textId="77777777" w:rsidR="0006302B" w:rsidRPr="0013707D" w:rsidRDefault="0006302B" w:rsidP="0006302B">
      <w:pPr>
        <w:pStyle w:val="ARTICULOS"/>
        <w:numPr>
          <w:ilvl w:val="0"/>
          <w:numId w:val="0"/>
        </w:numPr>
        <w:ind w:left="567"/>
        <w:rPr>
          <w:color w:val="000000" w:themeColor="text1"/>
          <w:lang w:val="es-CO"/>
        </w:rPr>
      </w:pPr>
    </w:p>
    <w:p w14:paraId="43F61EB1" w14:textId="15ECFF00" w:rsidR="0006302B" w:rsidRPr="00D8590E" w:rsidRDefault="0006302B" w:rsidP="0006302B">
      <w:pPr>
        <w:pStyle w:val="ARTICULOS"/>
        <w:numPr>
          <w:ilvl w:val="1"/>
          <w:numId w:val="19"/>
        </w:numPr>
        <w:ind w:left="567" w:hanging="567"/>
        <w:rPr>
          <w:color w:val="000000" w:themeColor="text1"/>
          <w:lang w:val="es-CO"/>
        </w:rPr>
      </w:pPr>
      <w:r w:rsidRPr="0013707D">
        <w:rPr>
          <w:color w:val="000000" w:themeColor="text1"/>
          <w:lang w:val="es-CO"/>
        </w:rPr>
        <w:t xml:space="preserve">Definición del precio de oferta. El precio de oferta de las cantidades de gas disponibles de que trata </w:t>
      </w:r>
      <w:r w:rsidRPr="0048086E">
        <w:rPr>
          <w:color w:val="000000" w:themeColor="text1"/>
          <w:lang w:val="es-CO"/>
        </w:rPr>
        <w:t xml:space="preserve">el numeral anterior será el precio de reserva que declaren los titulares de las cantidades de gas natural disponibles conforme </w:t>
      </w:r>
      <w:r w:rsidRPr="00D8590E">
        <w:rPr>
          <w:color w:val="000000" w:themeColor="text1"/>
          <w:lang w:val="es-CO"/>
        </w:rPr>
        <w:t xml:space="preserve">a lo establecido en el numeral </w:t>
      </w:r>
      <w:r w:rsidRPr="00D8590E">
        <w:rPr>
          <w:color w:val="000000" w:themeColor="text1"/>
          <w:lang w:val="es-CO"/>
        </w:rPr>
        <w:fldChar w:fldCharType="begin"/>
      </w:r>
      <w:r w:rsidRPr="00D8590E">
        <w:rPr>
          <w:color w:val="000000" w:themeColor="text1"/>
          <w:lang w:val="es-CO"/>
        </w:rPr>
        <w:instrText xml:space="preserve"> REF _Ref359830889 \n \h  \* MERGEFORMAT </w:instrText>
      </w:r>
      <w:r w:rsidRPr="00D8590E">
        <w:rPr>
          <w:color w:val="000000" w:themeColor="text1"/>
          <w:lang w:val="es-CO"/>
        </w:rPr>
      </w:r>
      <w:r w:rsidRPr="00D8590E">
        <w:rPr>
          <w:color w:val="000000" w:themeColor="text1"/>
          <w:lang w:val="es-CO"/>
        </w:rPr>
        <w:fldChar w:fldCharType="separate"/>
      </w:r>
      <w:r w:rsidR="00636B6A">
        <w:rPr>
          <w:color w:val="000000" w:themeColor="text1"/>
          <w:lang w:val="es-CO"/>
        </w:rPr>
        <w:t>5.4</w:t>
      </w:r>
      <w:r w:rsidRPr="00D8590E">
        <w:rPr>
          <w:color w:val="000000" w:themeColor="text1"/>
          <w:lang w:val="es-CO"/>
        </w:rPr>
        <w:fldChar w:fldCharType="end"/>
      </w:r>
      <w:r w:rsidRPr="00D8590E">
        <w:rPr>
          <w:color w:val="000000" w:themeColor="text1"/>
          <w:lang w:val="es-CO"/>
        </w:rPr>
        <w:t xml:space="preserve"> del</w:t>
      </w:r>
      <w:r w:rsidR="00A82B3B">
        <w:rPr>
          <w:color w:val="000000" w:themeColor="text1"/>
          <w:lang w:val="es-CO"/>
        </w:rPr>
        <w:t xml:space="preserve"> Anexo 4</w:t>
      </w:r>
      <w:r w:rsidRPr="00D8590E">
        <w:rPr>
          <w:color w:val="000000" w:themeColor="text1"/>
          <w:lang w:val="es-CO"/>
        </w:rPr>
        <w:t xml:space="preserve"> de la presente Resolución.</w:t>
      </w:r>
    </w:p>
    <w:p w14:paraId="54044E28" w14:textId="77777777" w:rsidR="0006302B" w:rsidRPr="00D8590E" w:rsidRDefault="0006302B" w:rsidP="0006302B">
      <w:pPr>
        <w:pStyle w:val="ARTICULOS"/>
        <w:numPr>
          <w:ilvl w:val="0"/>
          <w:numId w:val="0"/>
        </w:numPr>
        <w:ind w:left="567"/>
        <w:rPr>
          <w:color w:val="000000" w:themeColor="text1"/>
          <w:lang w:val="es-CO"/>
        </w:rPr>
      </w:pPr>
    </w:p>
    <w:p w14:paraId="443736EA" w14:textId="67265B0D" w:rsidR="0006302B" w:rsidRPr="00D8590E" w:rsidRDefault="0006302B" w:rsidP="0006302B">
      <w:pPr>
        <w:pStyle w:val="ARTICULOS"/>
        <w:numPr>
          <w:ilvl w:val="1"/>
          <w:numId w:val="19"/>
        </w:numPr>
        <w:ind w:left="567" w:hanging="567"/>
        <w:rPr>
          <w:color w:val="000000" w:themeColor="text1"/>
          <w:lang w:val="es-CO"/>
        </w:rPr>
      </w:pPr>
      <w:bookmarkStart w:id="92" w:name="_Ref337225661"/>
      <w:r w:rsidRPr="00D8590E">
        <w:rPr>
          <w:color w:val="000000" w:themeColor="text1"/>
          <w:lang w:val="es-CO"/>
        </w:rPr>
        <w:t xml:space="preserve">Publicación de la cantidad disponible. A más tardar a las 16:10 horas del Día D-1, el </w:t>
      </w:r>
      <w:r w:rsidR="0022131A" w:rsidRPr="002D5416">
        <w:rPr>
          <w:u w:color="FF0000"/>
          <w:lang w:val="es-CO"/>
        </w:rPr>
        <w:t>Gestor</w:t>
      </w:r>
      <w:r w:rsidRPr="002D5416">
        <w:rPr>
          <w:lang w:val="es-CO"/>
        </w:rPr>
        <w:t xml:space="preserve"> </w:t>
      </w:r>
      <w:r w:rsidRPr="00D8590E">
        <w:rPr>
          <w:color w:val="000000" w:themeColor="text1"/>
          <w:lang w:val="es-CO"/>
        </w:rPr>
        <w:t>del Mercado publicará la cantidad total de gas disponible en cada</w:t>
      </w:r>
      <w:r w:rsidR="00B55C17" w:rsidRPr="00D8590E">
        <w:rPr>
          <w:color w:val="000000" w:themeColor="text1"/>
          <w:lang w:val="es-CO"/>
        </w:rPr>
        <w:t xml:space="preserve"> Punto de Entrega</w:t>
      </w:r>
      <w:r w:rsidRPr="00D8590E">
        <w:rPr>
          <w:color w:val="000000" w:themeColor="text1"/>
          <w:lang w:val="es-CO"/>
        </w:rPr>
        <w:t>.</w:t>
      </w:r>
      <w:bookmarkEnd w:id="92"/>
    </w:p>
    <w:p w14:paraId="15427571" w14:textId="77777777" w:rsidR="0006302B" w:rsidRPr="0048086E" w:rsidRDefault="0006302B" w:rsidP="0006302B">
      <w:pPr>
        <w:pStyle w:val="ARTICULOS"/>
        <w:numPr>
          <w:ilvl w:val="0"/>
          <w:numId w:val="0"/>
        </w:numPr>
        <w:rPr>
          <w:color w:val="000000" w:themeColor="text1"/>
          <w:lang w:val="es-CO"/>
        </w:rPr>
      </w:pPr>
    </w:p>
    <w:p w14:paraId="31A04000" w14:textId="4A732909" w:rsidR="0006302B" w:rsidRPr="00130F45" w:rsidRDefault="0006302B" w:rsidP="0006302B">
      <w:pPr>
        <w:pStyle w:val="ARTICULOS"/>
        <w:numPr>
          <w:ilvl w:val="1"/>
          <w:numId w:val="19"/>
        </w:numPr>
        <w:ind w:left="567" w:hanging="567"/>
        <w:rPr>
          <w:b/>
          <w:bCs w:val="0"/>
          <w:color w:val="000000" w:themeColor="text1"/>
          <w:lang w:val="es-CO"/>
        </w:rPr>
      </w:pPr>
      <w:bookmarkStart w:id="93" w:name="_Ref337225676"/>
      <w:r w:rsidRPr="0048086E">
        <w:rPr>
          <w:color w:val="000000" w:themeColor="text1"/>
          <w:lang w:val="es-CO"/>
        </w:rPr>
        <w:t xml:space="preserve">Recibo de las solicitudes de compra. A más tardar, a las 16:35 horas del Día D-1, los compradores de que trata </w:t>
      </w:r>
      <w:r w:rsidRPr="00D66B65">
        <w:rPr>
          <w:color w:val="000000" w:themeColor="text1"/>
          <w:lang w:val="es-CO"/>
        </w:rPr>
        <w:t>el</w:t>
      </w:r>
      <w:r w:rsidR="00A82B3B">
        <w:rPr>
          <w:color w:val="000000" w:themeColor="text1"/>
          <w:lang w:val="es-CO"/>
        </w:rPr>
        <w:t xml:space="preserve"> artículo 30</w:t>
      </w:r>
      <w:r w:rsidR="009A71C9" w:rsidRPr="0048086E">
        <w:rPr>
          <w:color w:val="000000" w:themeColor="text1"/>
          <w:lang w:val="es-CO"/>
        </w:rPr>
        <w:t xml:space="preserve"> </w:t>
      </w:r>
      <w:r w:rsidRPr="0048086E">
        <w:rPr>
          <w:color w:val="000000" w:themeColor="text1"/>
          <w:lang w:val="es-CO"/>
        </w:rPr>
        <w:t xml:space="preserve">de esta Resolución, que se hayan registrado en el BEC </w:t>
      </w:r>
      <w:r w:rsidRPr="0048086E">
        <w:rPr>
          <w:rFonts w:cs="Arial"/>
          <w:color w:val="000000" w:themeColor="text1"/>
          <w:lang w:val="es-CO"/>
        </w:rPr>
        <w:t>según lo dispuesto en el</w:t>
      </w:r>
      <w:r w:rsidR="00A82B3B">
        <w:rPr>
          <w:rFonts w:cs="Arial"/>
          <w:color w:val="000000" w:themeColor="text1"/>
          <w:lang w:val="es-CO"/>
        </w:rPr>
        <w:t xml:space="preserve"> artículo 35</w:t>
      </w:r>
      <w:r w:rsidRPr="0048086E">
        <w:rPr>
          <w:rFonts w:cs="Arial"/>
          <w:color w:val="000000" w:themeColor="text1"/>
          <w:lang w:val="es-CO"/>
        </w:rPr>
        <w:t xml:space="preserve"> de esta Resolución</w:t>
      </w:r>
      <w:r w:rsidR="00B4324F">
        <w:rPr>
          <w:rFonts w:cs="Arial"/>
          <w:color w:val="000000" w:themeColor="text1"/>
          <w:lang w:val="es-CO"/>
        </w:rPr>
        <w:t>,</w:t>
      </w:r>
      <w:r w:rsidRPr="0048086E">
        <w:rPr>
          <w:color w:val="000000" w:themeColor="text1"/>
          <w:lang w:val="es-CO"/>
        </w:rPr>
        <w:t xml:space="preserve"> y que </w:t>
      </w:r>
      <w:r>
        <w:rPr>
          <w:color w:val="000000" w:themeColor="text1"/>
          <w:lang w:val="es-CO"/>
        </w:rPr>
        <w:t xml:space="preserve">quieran </w:t>
      </w:r>
      <w:r w:rsidRPr="0048086E">
        <w:rPr>
          <w:color w:val="000000" w:themeColor="text1"/>
          <w:lang w:val="es-CO"/>
        </w:rPr>
        <w:t xml:space="preserve">contratar el gas ofrecido en el proceso úselo o véndalo de corto plazo para gas natural, enviarán sus solicitudes de compra al </w:t>
      </w:r>
      <w:r w:rsidR="0022131A" w:rsidRPr="002D5416">
        <w:rPr>
          <w:u w:color="FF0000"/>
          <w:lang w:val="es-CO"/>
        </w:rPr>
        <w:t>Gestor</w:t>
      </w:r>
      <w:r w:rsidRPr="002D5416">
        <w:rPr>
          <w:lang w:val="es-CO"/>
        </w:rPr>
        <w:t xml:space="preserve"> </w:t>
      </w:r>
      <w:r w:rsidRPr="0048086E">
        <w:rPr>
          <w:color w:val="000000" w:themeColor="text1"/>
          <w:lang w:val="es-CO"/>
        </w:rPr>
        <w:t xml:space="preserve">del Mercado. Estas solicitudes de compra deberán presentarse de conformidad con lo establecido en el </w:t>
      </w:r>
      <w:r w:rsidRPr="00D66B65">
        <w:rPr>
          <w:color w:val="000000" w:themeColor="text1"/>
          <w:lang w:val="es-CO"/>
        </w:rPr>
        <w:t xml:space="preserve">numeral </w:t>
      </w:r>
      <w:r w:rsidRPr="00D66B65">
        <w:rPr>
          <w:color w:val="000000" w:themeColor="text1"/>
          <w:lang w:val="es-CO"/>
        </w:rPr>
        <w:fldChar w:fldCharType="begin"/>
      </w:r>
      <w:r w:rsidRPr="00D66B65">
        <w:rPr>
          <w:color w:val="000000" w:themeColor="text1"/>
          <w:lang w:val="es-CO"/>
        </w:rPr>
        <w:instrText xml:space="preserve"> REF _Ref336941061 \r \h  \* MERGEFORMAT </w:instrText>
      </w:r>
      <w:r w:rsidRPr="00D66B65">
        <w:rPr>
          <w:color w:val="000000" w:themeColor="text1"/>
          <w:lang w:val="es-CO"/>
        </w:rPr>
      </w:r>
      <w:r w:rsidRPr="00D66B65">
        <w:rPr>
          <w:color w:val="000000" w:themeColor="text1"/>
          <w:lang w:val="es-CO"/>
        </w:rPr>
        <w:fldChar w:fldCharType="separate"/>
      </w:r>
      <w:r w:rsidR="00636B6A">
        <w:rPr>
          <w:color w:val="000000" w:themeColor="text1"/>
          <w:lang w:val="es-CO"/>
        </w:rPr>
        <w:t>5.6</w:t>
      </w:r>
      <w:r w:rsidRPr="00D66B65">
        <w:rPr>
          <w:color w:val="000000" w:themeColor="text1"/>
          <w:lang w:val="es-CO"/>
        </w:rPr>
        <w:fldChar w:fldCharType="end"/>
      </w:r>
      <w:r w:rsidRPr="00D66B65">
        <w:rPr>
          <w:color w:val="000000" w:themeColor="text1"/>
          <w:lang w:val="es-CO"/>
        </w:rPr>
        <w:t xml:space="preserve"> del </w:t>
      </w:r>
      <w:r w:rsidRPr="00D66B65">
        <w:rPr>
          <w:color w:val="000000" w:themeColor="text1"/>
          <w:lang w:val="es-CO"/>
        </w:rPr>
        <w:fldChar w:fldCharType="begin"/>
      </w:r>
      <w:r w:rsidRPr="00D66B65">
        <w:rPr>
          <w:color w:val="000000" w:themeColor="text1"/>
          <w:lang w:val="es-CO"/>
        </w:rPr>
        <w:instrText xml:space="preserve"> REF _Ref442967428 \h  \* MERGEFORMAT </w:instrText>
      </w:r>
      <w:r w:rsidRPr="00D66B65">
        <w:rPr>
          <w:color w:val="000000" w:themeColor="text1"/>
          <w:lang w:val="es-CO"/>
        </w:rPr>
      </w:r>
      <w:r w:rsidRPr="00D66B65">
        <w:rPr>
          <w:color w:val="000000" w:themeColor="text1"/>
          <w:lang w:val="es-CO"/>
        </w:rPr>
        <w:fldChar w:fldCharType="separate"/>
      </w:r>
      <w:r w:rsidR="00636B6A" w:rsidRPr="00996A90">
        <w:rPr>
          <w:color w:val="000000" w:themeColor="text1"/>
          <w:lang w:val="es-CO"/>
        </w:rPr>
        <w:t xml:space="preserve">Anexo </w:t>
      </w:r>
      <w:r w:rsidRPr="00D66B65">
        <w:rPr>
          <w:color w:val="000000" w:themeColor="text1"/>
          <w:lang w:val="es-CO"/>
        </w:rPr>
        <w:fldChar w:fldCharType="end"/>
      </w:r>
      <w:r w:rsidRPr="00D66B65">
        <w:rPr>
          <w:color w:val="000000" w:themeColor="text1"/>
          <w:lang w:val="es-CO"/>
        </w:rPr>
        <w:t xml:space="preserve"> de la</w:t>
      </w:r>
      <w:r w:rsidRPr="0048086E">
        <w:rPr>
          <w:color w:val="000000" w:themeColor="text1"/>
          <w:lang w:val="es-CO"/>
        </w:rPr>
        <w:t xml:space="preserve"> presente Resolución.</w:t>
      </w:r>
      <w:bookmarkEnd w:id="93"/>
      <w:r>
        <w:rPr>
          <w:color w:val="000000" w:themeColor="text1"/>
          <w:lang w:val="es-CO"/>
        </w:rPr>
        <w:t xml:space="preserve"> </w:t>
      </w:r>
      <w:r w:rsidRPr="00130F45">
        <w:rPr>
          <w:b/>
          <w:bCs w:val="0"/>
          <w:color w:val="000000" w:themeColor="text1"/>
          <w:lang w:val="es-CO"/>
        </w:rPr>
        <w:t xml:space="preserve">Los contratos de </w:t>
      </w:r>
      <w:r w:rsidR="00387CE1">
        <w:rPr>
          <w:b/>
          <w:bCs w:val="0"/>
          <w:color w:val="000000" w:themeColor="text1"/>
          <w:lang w:val="es-CO"/>
        </w:rPr>
        <w:t xml:space="preserve">derechos de </w:t>
      </w:r>
      <w:r w:rsidRPr="00130F45">
        <w:rPr>
          <w:b/>
          <w:bCs w:val="0"/>
          <w:color w:val="000000" w:themeColor="text1"/>
          <w:lang w:val="es-CO"/>
        </w:rPr>
        <w:t xml:space="preserve">suministro que deriven del proceso de úselo o véndalo de corto plazo se entenderán como operaciones del Mercado </w:t>
      </w:r>
      <w:r>
        <w:rPr>
          <w:b/>
          <w:bCs w:val="0"/>
          <w:color w:val="000000" w:themeColor="text1"/>
          <w:lang w:val="es-CO"/>
        </w:rPr>
        <w:t>secundario</w:t>
      </w:r>
      <w:r w:rsidR="00B4324F">
        <w:rPr>
          <w:b/>
          <w:bCs w:val="0"/>
          <w:color w:val="000000" w:themeColor="text1"/>
          <w:lang w:val="es-CO"/>
        </w:rPr>
        <w:t>,</w:t>
      </w:r>
      <w:r>
        <w:rPr>
          <w:b/>
          <w:bCs w:val="0"/>
          <w:color w:val="000000" w:themeColor="text1"/>
          <w:lang w:val="es-CO"/>
        </w:rPr>
        <w:t xml:space="preserve"> </w:t>
      </w:r>
      <w:r w:rsidRPr="00130F45">
        <w:rPr>
          <w:b/>
          <w:bCs w:val="0"/>
          <w:color w:val="000000" w:themeColor="text1"/>
          <w:lang w:val="es-CO"/>
        </w:rPr>
        <w:t>les aplicar</w:t>
      </w:r>
      <w:r w:rsidR="00387CE1">
        <w:rPr>
          <w:b/>
          <w:bCs w:val="0"/>
          <w:color w:val="000000" w:themeColor="text1"/>
          <w:lang w:val="es-CO"/>
        </w:rPr>
        <w:t>á</w:t>
      </w:r>
      <w:r w:rsidRPr="00130F45">
        <w:rPr>
          <w:b/>
          <w:bCs w:val="0"/>
          <w:color w:val="000000" w:themeColor="text1"/>
          <w:lang w:val="es-CO"/>
        </w:rPr>
        <w:t>n todas las disposiciones previstas en esta resolución para ese mercado</w:t>
      </w:r>
      <w:r w:rsidR="00B4324F">
        <w:rPr>
          <w:b/>
          <w:bCs w:val="0"/>
          <w:color w:val="000000" w:themeColor="text1"/>
          <w:lang w:val="es-CO"/>
        </w:rPr>
        <w:t>,</w:t>
      </w:r>
      <w:r w:rsidRPr="00130F45">
        <w:rPr>
          <w:b/>
          <w:bCs w:val="0"/>
          <w:color w:val="000000" w:themeColor="text1"/>
          <w:lang w:val="es-CO"/>
        </w:rPr>
        <w:t xml:space="preserve"> y así </w:t>
      </w:r>
      <w:r w:rsidR="00B4324F" w:rsidRPr="00130F45">
        <w:rPr>
          <w:b/>
          <w:bCs w:val="0"/>
          <w:color w:val="000000" w:themeColor="text1"/>
          <w:lang w:val="es-CO"/>
        </w:rPr>
        <w:t>quedar</w:t>
      </w:r>
      <w:r w:rsidR="00B4324F">
        <w:rPr>
          <w:b/>
          <w:bCs w:val="0"/>
          <w:color w:val="000000" w:themeColor="text1"/>
          <w:lang w:val="es-CO"/>
        </w:rPr>
        <w:t>á</w:t>
      </w:r>
      <w:r w:rsidR="00B4324F" w:rsidRPr="00130F45">
        <w:rPr>
          <w:b/>
          <w:bCs w:val="0"/>
          <w:color w:val="000000" w:themeColor="text1"/>
          <w:lang w:val="es-CO"/>
        </w:rPr>
        <w:t xml:space="preserve">n </w:t>
      </w:r>
      <w:r w:rsidRPr="00130F45">
        <w:rPr>
          <w:b/>
          <w:bCs w:val="0"/>
          <w:color w:val="000000" w:themeColor="text1"/>
          <w:lang w:val="es-CO"/>
        </w:rPr>
        <w:t xml:space="preserve">registradas por el </w:t>
      </w:r>
      <w:r w:rsidR="0022131A" w:rsidRPr="002D5416">
        <w:rPr>
          <w:bCs w:val="0"/>
          <w:u w:color="FF0000"/>
          <w:lang w:val="es-CO"/>
        </w:rPr>
        <w:t>Gestor</w:t>
      </w:r>
      <w:r w:rsidRPr="00130F45">
        <w:rPr>
          <w:b/>
          <w:bCs w:val="0"/>
          <w:color w:val="000000" w:themeColor="text1"/>
          <w:lang w:val="es-CO"/>
        </w:rPr>
        <w:t>.</w:t>
      </w:r>
    </w:p>
    <w:p w14:paraId="6BC41292" w14:textId="77777777" w:rsidR="0006302B" w:rsidRPr="0048086E" w:rsidRDefault="0006302B" w:rsidP="0006302B">
      <w:pPr>
        <w:pStyle w:val="ARTICULOS"/>
        <w:numPr>
          <w:ilvl w:val="0"/>
          <w:numId w:val="0"/>
        </w:numPr>
        <w:rPr>
          <w:color w:val="000000" w:themeColor="text1"/>
          <w:lang w:val="es-CO"/>
        </w:rPr>
      </w:pPr>
    </w:p>
    <w:p w14:paraId="5C094B52" w14:textId="70E0A932" w:rsidR="0006302B" w:rsidRPr="0048086E" w:rsidRDefault="0006302B" w:rsidP="0006302B">
      <w:pPr>
        <w:pStyle w:val="ARTICULOS"/>
        <w:numPr>
          <w:ilvl w:val="1"/>
          <w:numId w:val="19"/>
        </w:numPr>
        <w:ind w:left="567" w:hanging="567"/>
        <w:rPr>
          <w:color w:val="000000" w:themeColor="text1"/>
          <w:lang w:val="es-CO"/>
        </w:rPr>
      </w:pPr>
      <w:bookmarkStart w:id="94" w:name="_Ref337225704"/>
      <w:r w:rsidRPr="0048086E">
        <w:rPr>
          <w:color w:val="000000" w:themeColor="text1"/>
          <w:lang w:val="es-CO"/>
        </w:rPr>
        <w:t xml:space="preserve">Subasta de la cantidad disponible. </w:t>
      </w:r>
      <w:r w:rsidRPr="0048086E">
        <w:rPr>
          <w:rFonts w:cs="Arial"/>
          <w:color w:val="000000" w:themeColor="text1"/>
          <w:lang w:val="es-CO"/>
        </w:rPr>
        <w:t>El</w:t>
      </w:r>
      <w:r w:rsidRPr="002D5416">
        <w:rPr>
          <w:rFonts w:cs="Arial"/>
          <w:lang w:val="es-CO"/>
        </w:rPr>
        <w:t xml:space="preserve"> </w:t>
      </w:r>
      <w:r w:rsidR="0022131A" w:rsidRPr="002D5416">
        <w:rPr>
          <w:rFonts w:cs="Arial"/>
          <w:u w:color="FF0000"/>
          <w:lang w:val="es-CO"/>
        </w:rPr>
        <w:t>Gestor</w:t>
      </w:r>
      <w:r w:rsidRPr="002D5416">
        <w:rPr>
          <w:rFonts w:cs="Arial"/>
          <w:lang w:val="es-CO"/>
        </w:rPr>
        <w:t xml:space="preserve"> </w:t>
      </w:r>
      <w:r w:rsidRPr="0048086E">
        <w:rPr>
          <w:rFonts w:cs="Arial"/>
          <w:color w:val="000000" w:themeColor="text1"/>
          <w:lang w:val="es-CO"/>
        </w:rPr>
        <w:t>del Mercado deberá facilitar la comercialización de las cantidades disponibles de gas natural</w:t>
      </w:r>
      <w:r>
        <w:rPr>
          <w:rFonts w:cs="Arial"/>
          <w:color w:val="000000" w:themeColor="text1"/>
          <w:lang w:val="es-CO"/>
        </w:rPr>
        <w:t xml:space="preserve"> </w:t>
      </w:r>
      <w:r>
        <w:rPr>
          <w:rFonts w:cs="Arial"/>
          <w:b/>
          <w:bCs w:val="0"/>
          <w:color w:val="000000" w:themeColor="text1"/>
          <w:lang w:val="es-CO"/>
        </w:rPr>
        <w:t>no nominadas por los compradores del Mercado Primario</w:t>
      </w:r>
      <w:r w:rsidRPr="0048086E">
        <w:rPr>
          <w:rFonts w:cs="Arial"/>
          <w:color w:val="000000" w:themeColor="text1"/>
          <w:lang w:val="es-CO"/>
        </w:rPr>
        <w:t xml:space="preserve">, para lo cual dará aplicación al procedimiento de negociación mediante el mecanismo de subasta a que se refiere el </w:t>
      </w:r>
      <w:r w:rsidRPr="00D66B65">
        <w:rPr>
          <w:rFonts w:cs="Arial"/>
          <w:color w:val="000000" w:themeColor="text1"/>
          <w:lang w:val="es-CO"/>
        </w:rPr>
        <w:t xml:space="preserve">numeral </w:t>
      </w:r>
      <w:r w:rsidRPr="00D66B65">
        <w:rPr>
          <w:rFonts w:cs="Arial"/>
          <w:color w:val="000000" w:themeColor="text1"/>
          <w:lang w:val="es-CO"/>
        </w:rPr>
        <w:fldChar w:fldCharType="begin"/>
      </w:r>
      <w:r w:rsidRPr="00D66B65">
        <w:rPr>
          <w:rFonts w:cs="Arial"/>
          <w:color w:val="000000" w:themeColor="text1"/>
          <w:lang w:val="es-CO"/>
        </w:rPr>
        <w:instrText xml:space="preserve"> REF _Ref356570809 \r \h  \* MERGEFORMAT </w:instrText>
      </w:r>
      <w:r w:rsidRPr="00D66B65">
        <w:rPr>
          <w:rFonts w:cs="Arial"/>
          <w:color w:val="000000" w:themeColor="text1"/>
          <w:lang w:val="es-CO"/>
        </w:rPr>
      </w:r>
      <w:r w:rsidRPr="00D66B65">
        <w:rPr>
          <w:rFonts w:cs="Arial"/>
          <w:color w:val="000000" w:themeColor="text1"/>
          <w:lang w:val="es-CO"/>
        </w:rPr>
        <w:fldChar w:fldCharType="separate"/>
      </w:r>
      <w:r w:rsidR="00636B6A">
        <w:rPr>
          <w:rFonts w:cs="Arial"/>
          <w:color w:val="000000" w:themeColor="text1"/>
          <w:lang w:val="es-CO"/>
        </w:rPr>
        <w:t>5.7</w:t>
      </w:r>
      <w:r w:rsidRPr="00D66B65">
        <w:rPr>
          <w:rFonts w:cs="Arial"/>
          <w:color w:val="000000" w:themeColor="text1"/>
          <w:lang w:val="es-CO"/>
        </w:rPr>
        <w:fldChar w:fldCharType="end"/>
      </w:r>
      <w:r w:rsidRPr="00D66B65">
        <w:rPr>
          <w:rFonts w:cs="Arial"/>
          <w:color w:val="000000" w:themeColor="text1"/>
          <w:lang w:val="es-CO"/>
        </w:rPr>
        <w:t xml:space="preserve"> del </w:t>
      </w:r>
      <w:r w:rsidRPr="00D66B65">
        <w:rPr>
          <w:color w:val="000000" w:themeColor="text1"/>
          <w:lang w:val="es-CO"/>
        </w:rPr>
        <w:fldChar w:fldCharType="begin"/>
      </w:r>
      <w:r w:rsidRPr="00D66B65">
        <w:rPr>
          <w:color w:val="000000" w:themeColor="text1"/>
          <w:lang w:val="es-CO"/>
        </w:rPr>
        <w:instrText xml:space="preserve"> REF _Ref442967428 \h  \* MERGEFORMAT </w:instrText>
      </w:r>
      <w:r w:rsidRPr="00D66B65">
        <w:rPr>
          <w:color w:val="000000" w:themeColor="text1"/>
          <w:lang w:val="es-CO"/>
        </w:rPr>
      </w:r>
      <w:r w:rsidRPr="00D66B65">
        <w:rPr>
          <w:color w:val="000000" w:themeColor="text1"/>
          <w:lang w:val="es-CO"/>
        </w:rPr>
        <w:fldChar w:fldCharType="separate"/>
      </w:r>
      <w:r w:rsidR="00636B6A" w:rsidRPr="00996A90">
        <w:rPr>
          <w:color w:val="000000" w:themeColor="text1"/>
          <w:lang w:val="es-CO"/>
        </w:rPr>
        <w:t xml:space="preserve">Anexo </w:t>
      </w:r>
      <w:r w:rsidRPr="00D66B65">
        <w:rPr>
          <w:color w:val="000000" w:themeColor="text1"/>
          <w:lang w:val="es-CO"/>
        </w:rPr>
        <w:fldChar w:fldCharType="end"/>
      </w:r>
      <w:r w:rsidRPr="0048086E">
        <w:rPr>
          <w:rFonts w:cs="Arial"/>
          <w:color w:val="000000" w:themeColor="text1"/>
          <w:lang w:val="es-CO"/>
        </w:rPr>
        <w:t xml:space="preserve">de la presente Resolución. </w:t>
      </w:r>
      <w:r w:rsidRPr="0048086E">
        <w:rPr>
          <w:rFonts w:cs="Arial"/>
          <w:color w:val="000000" w:themeColor="text1"/>
          <w:lang w:val="es-CO"/>
        </w:rPr>
        <w:lastRenderedPageBreak/>
        <w:t>Este mecanismo se aplicará e</w:t>
      </w:r>
      <w:r w:rsidRPr="0048086E">
        <w:rPr>
          <w:color w:val="000000" w:themeColor="text1"/>
          <w:lang w:val="es-CO"/>
        </w:rPr>
        <w:t xml:space="preserve">ntre las 16:35 y las 17:00 horas del Día D-1 para cada </w:t>
      </w:r>
      <w:r w:rsidR="00A010F1">
        <w:rPr>
          <w:color w:val="000000" w:themeColor="text1"/>
          <w:lang w:val="es-CO"/>
        </w:rPr>
        <w:t xml:space="preserve">Punto de Entrega </w:t>
      </w:r>
      <w:r w:rsidRPr="0048086E">
        <w:rPr>
          <w:rFonts w:cs="Arial"/>
          <w:color w:val="000000" w:themeColor="text1"/>
          <w:lang w:val="es-CO"/>
        </w:rPr>
        <w:t xml:space="preserve">de gas. </w:t>
      </w:r>
      <w:r w:rsidRPr="0048086E">
        <w:rPr>
          <w:color w:val="000000" w:themeColor="text1"/>
          <w:lang w:val="es-CO"/>
        </w:rPr>
        <w:t>Habrá tantas subastas como puntos de entrega con gas disponible para subastar</w:t>
      </w:r>
      <w:r w:rsidR="00EF4610">
        <w:rPr>
          <w:color w:val="000000" w:themeColor="text1"/>
          <w:lang w:val="es-CO"/>
        </w:rPr>
        <w:t>,</w:t>
      </w:r>
      <w:r w:rsidRPr="0048086E">
        <w:rPr>
          <w:color w:val="000000" w:themeColor="text1"/>
          <w:lang w:val="es-CO"/>
        </w:rPr>
        <w:t xml:space="preserve"> y será entregado en el punto especificado para la correspondiente subasta.</w:t>
      </w:r>
      <w:bookmarkEnd w:id="94"/>
    </w:p>
    <w:p w14:paraId="6B9B725C" w14:textId="77777777" w:rsidR="0006302B" w:rsidRPr="0011653C" w:rsidRDefault="0006302B" w:rsidP="0006302B">
      <w:pPr>
        <w:pStyle w:val="ARTICULOS"/>
        <w:numPr>
          <w:ilvl w:val="0"/>
          <w:numId w:val="0"/>
        </w:numPr>
        <w:rPr>
          <w:color w:val="000000" w:themeColor="text1"/>
          <w:lang w:val="es-CO"/>
        </w:rPr>
      </w:pPr>
    </w:p>
    <w:p w14:paraId="457F3100" w14:textId="2A0C1962" w:rsidR="0006302B" w:rsidRPr="00F5741D" w:rsidRDefault="0006302B" w:rsidP="0006302B">
      <w:pPr>
        <w:pStyle w:val="ARTICULOS"/>
        <w:numPr>
          <w:ilvl w:val="1"/>
          <w:numId w:val="19"/>
        </w:numPr>
        <w:ind w:left="567" w:hanging="567"/>
        <w:rPr>
          <w:color w:val="000000" w:themeColor="text1"/>
        </w:rPr>
      </w:pPr>
      <w:bookmarkStart w:id="95" w:name="_Ref337225723"/>
      <w:r w:rsidRPr="00F5741D">
        <w:rPr>
          <w:color w:val="000000" w:themeColor="text1"/>
          <w:lang w:val="es-CO"/>
        </w:rPr>
        <w:t xml:space="preserve">Información de los resultados de las subastas. A más tardar a las 17:00 horas del Día D-1, una vez finalizadas las subastas, el </w:t>
      </w:r>
      <w:r w:rsidR="0022131A" w:rsidRPr="002D5416">
        <w:rPr>
          <w:u w:color="FF0000"/>
          <w:lang w:val="es-CO"/>
        </w:rPr>
        <w:t>Gestor</w:t>
      </w:r>
      <w:r w:rsidRPr="002D5416">
        <w:rPr>
          <w:lang w:val="es-CO"/>
        </w:rPr>
        <w:t xml:space="preserve"> </w:t>
      </w:r>
      <w:r w:rsidRPr="00F5741D">
        <w:rPr>
          <w:color w:val="000000" w:themeColor="text1"/>
          <w:lang w:val="es-CO"/>
        </w:rPr>
        <w:t xml:space="preserve">del Mercado deberá informar a los vendedores y compradores </w:t>
      </w:r>
      <w:r w:rsidRPr="00F5741D">
        <w:rPr>
          <w:b/>
          <w:color w:val="000000" w:themeColor="text1"/>
          <w:lang w:val="es-CO"/>
        </w:rPr>
        <w:t xml:space="preserve">del Mercado </w:t>
      </w:r>
      <w:r w:rsidR="00316405">
        <w:rPr>
          <w:b/>
          <w:color w:val="000000" w:themeColor="text1"/>
          <w:lang w:val="es-CO"/>
        </w:rPr>
        <w:t>Secundario</w:t>
      </w:r>
      <w:r w:rsidRPr="00F5741D">
        <w:rPr>
          <w:b/>
          <w:color w:val="000000" w:themeColor="text1"/>
          <w:lang w:val="es-CO"/>
        </w:rPr>
        <w:t xml:space="preserve"> </w:t>
      </w:r>
      <w:r w:rsidRPr="00F5741D">
        <w:rPr>
          <w:color w:val="000000" w:themeColor="text1"/>
          <w:lang w:val="es-CO"/>
        </w:rPr>
        <w:t xml:space="preserve">las cantidades asignadas </w:t>
      </w:r>
      <w:r w:rsidRPr="00F5741D">
        <w:rPr>
          <w:b/>
          <w:color w:val="000000" w:themeColor="text1"/>
          <w:lang w:val="es-CO"/>
        </w:rPr>
        <w:t xml:space="preserve">a los compradores de corto plazo </w:t>
      </w:r>
      <w:r w:rsidRPr="00F5741D">
        <w:rPr>
          <w:color w:val="000000" w:themeColor="text1"/>
          <w:lang w:val="es-CO"/>
        </w:rPr>
        <w:t>bajo este proce</w:t>
      </w:r>
      <w:r w:rsidR="00D01DAF">
        <w:rPr>
          <w:color w:val="000000" w:themeColor="text1"/>
          <w:lang w:val="es-CO"/>
        </w:rPr>
        <w:t>so</w:t>
      </w:r>
      <w:r w:rsidRPr="00F5741D">
        <w:rPr>
          <w:color w:val="000000" w:themeColor="text1"/>
          <w:lang w:val="es-CO"/>
        </w:rPr>
        <w:t>.</w:t>
      </w:r>
      <w:r w:rsidR="00D01DAF">
        <w:rPr>
          <w:color w:val="000000" w:themeColor="text1"/>
          <w:lang w:val="es-CO"/>
        </w:rPr>
        <w:t xml:space="preserve"> </w:t>
      </w:r>
      <w:r w:rsidR="00D01DAF" w:rsidRPr="00D01DAF">
        <w:rPr>
          <w:color w:val="000000" w:themeColor="text1"/>
          <w:lang w:val="es-CO"/>
        </w:rPr>
        <w:t>El gestor del mercado igualmente informará dichas cantidades a los productores-comercializadores y a los comercializadores de gas importado involucrados en este proceso.</w:t>
      </w:r>
      <w:r w:rsidRPr="00F5741D">
        <w:rPr>
          <w:color w:val="000000" w:themeColor="text1"/>
          <w:lang w:val="es-CO"/>
        </w:rPr>
        <w:t xml:space="preserve"> </w:t>
      </w:r>
      <w:bookmarkEnd w:id="95"/>
    </w:p>
    <w:p w14:paraId="3B87B753" w14:textId="77777777" w:rsidR="0006302B" w:rsidRDefault="0006302B" w:rsidP="0006302B">
      <w:pPr>
        <w:pStyle w:val="Prrafodelista"/>
        <w:rPr>
          <w:color w:val="000000" w:themeColor="text1"/>
        </w:rPr>
      </w:pPr>
    </w:p>
    <w:p w14:paraId="6090BB53" w14:textId="1E79C42E" w:rsidR="0006302B" w:rsidRPr="0011653C" w:rsidRDefault="0006302B" w:rsidP="0006302B">
      <w:pPr>
        <w:pStyle w:val="ARTICULOS"/>
        <w:numPr>
          <w:ilvl w:val="1"/>
          <w:numId w:val="19"/>
        </w:numPr>
        <w:ind w:left="567" w:hanging="567"/>
        <w:rPr>
          <w:color w:val="000000" w:themeColor="text1"/>
          <w:lang w:val="es-CO"/>
        </w:rPr>
      </w:pPr>
      <w:r w:rsidRPr="0011653C">
        <w:rPr>
          <w:color w:val="000000" w:themeColor="text1"/>
          <w:lang w:val="es-CO"/>
        </w:rPr>
        <w:t xml:space="preserve">Celebración de contratos. El </w:t>
      </w:r>
      <w:r>
        <w:rPr>
          <w:color w:val="000000" w:themeColor="text1"/>
          <w:lang w:val="es-CO"/>
        </w:rPr>
        <w:t>vendedor</w:t>
      </w:r>
      <w:r w:rsidRPr="0011653C">
        <w:rPr>
          <w:color w:val="000000" w:themeColor="text1"/>
          <w:lang w:val="es-CO"/>
        </w:rPr>
        <w:t xml:space="preserve"> </w:t>
      </w:r>
      <w:r>
        <w:rPr>
          <w:b/>
          <w:bCs w:val="0"/>
          <w:color w:val="000000" w:themeColor="text1"/>
          <w:lang w:val="es-CO"/>
        </w:rPr>
        <w:t xml:space="preserve">del Mercado </w:t>
      </w:r>
      <w:r w:rsidR="00C16D07">
        <w:rPr>
          <w:b/>
          <w:bCs w:val="0"/>
          <w:color w:val="000000" w:themeColor="text1"/>
          <w:lang w:val="es-CO"/>
        </w:rPr>
        <w:t>Secundar</w:t>
      </w:r>
      <w:r>
        <w:rPr>
          <w:b/>
          <w:bCs w:val="0"/>
          <w:color w:val="000000" w:themeColor="text1"/>
          <w:lang w:val="es-CO"/>
        </w:rPr>
        <w:t xml:space="preserve">io </w:t>
      </w:r>
      <w:r w:rsidRPr="0011653C">
        <w:rPr>
          <w:color w:val="000000" w:themeColor="text1"/>
          <w:lang w:val="es-CO"/>
        </w:rPr>
        <w:t xml:space="preserve">y el respectivo </w:t>
      </w:r>
      <w:r>
        <w:rPr>
          <w:color w:val="000000" w:themeColor="text1"/>
          <w:lang w:val="es-CO"/>
        </w:rPr>
        <w:t xml:space="preserve">comprador </w:t>
      </w:r>
      <w:r>
        <w:rPr>
          <w:b/>
          <w:bCs w:val="0"/>
          <w:color w:val="000000" w:themeColor="text1"/>
          <w:lang w:val="es-CO"/>
        </w:rPr>
        <w:t xml:space="preserve">de corto plazo determinado por </w:t>
      </w:r>
      <w:r w:rsidRPr="00F316FA">
        <w:rPr>
          <w:b/>
          <w:bCs w:val="0"/>
          <w:color w:val="000000" w:themeColor="text1"/>
          <w:lang w:val="es-CO"/>
        </w:rPr>
        <w:t xml:space="preserve">el </w:t>
      </w:r>
      <w:r w:rsidR="00F316FA" w:rsidRPr="002D5416">
        <w:rPr>
          <w:b/>
          <w:bCs w:val="0"/>
          <w:u w:color="FF0000"/>
          <w:lang w:val="es-CO"/>
        </w:rPr>
        <w:t>Gestor</w:t>
      </w:r>
      <w:r>
        <w:rPr>
          <w:b/>
          <w:bCs w:val="0"/>
          <w:color w:val="000000" w:themeColor="text1"/>
          <w:lang w:val="es-CO"/>
        </w:rPr>
        <w:t xml:space="preserve"> del Mercado </w:t>
      </w:r>
      <w:r w:rsidRPr="0011653C">
        <w:rPr>
          <w:color w:val="000000" w:themeColor="text1"/>
          <w:lang w:val="es-CO"/>
        </w:rPr>
        <w:t xml:space="preserve">serán responsables de suscribir el </w:t>
      </w:r>
      <w:r w:rsidRPr="00191320">
        <w:rPr>
          <w:b/>
          <w:bCs w:val="0"/>
          <w:color w:val="000000" w:themeColor="text1"/>
          <w:lang w:val="es-CO"/>
        </w:rPr>
        <w:t xml:space="preserve">contrato </w:t>
      </w:r>
      <w:r w:rsidR="00F043B3" w:rsidRPr="00191320">
        <w:rPr>
          <w:b/>
          <w:bCs w:val="0"/>
          <w:color w:val="000000" w:themeColor="text1"/>
          <w:lang w:val="es-CO"/>
        </w:rPr>
        <w:t>de derechos de</w:t>
      </w:r>
      <w:r w:rsidR="00F043B3">
        <w:rPr>
          <w:color w:val="000000" w:themeColor="text1"/>
          <w:lang w:val="es-CO"/>
        </w:rPr>
        <w:t xml:space="preserve"> </w:t>
      </w:r>
      <w:r w:rsidRPr="00191320">
        <w:rPr>
          <w:b/>
          <w:bCs w:val="0"/>
          <w:color w:val="000000" w:themeColor="text1"/>
          <w:lang w:val="es-CO"/>
        </w:rPr>
        <w:t>suministro</w:t>
      </w:r>
      <w:r>
        <w:rPr>
          <w:color w:val="000000" w:themeColor="text1"/>
          <w:lang w:val="es-CO"/>
        </w:rPr>
        <w:t xml:space="preserve"> </w:t>
      </w:r>
      <w:r w:rsidRPr="0011653C">
        <w:rPr>
          <w:color w:val="000000" w:themeColor="text1"/>
          <w:lang w:val="es-CO"/>
        </w:rPr>
        <w:t>de gas natural</w:t>
      </w:r>
      <w:r>
        <w:rPr>
          <w:color w:val="000000" w:themeColor="text1"/>
          <w:lang w:val="es-CO"/>
        </w:rPr>
        <w:t xml:space="preserve">. Este </w:t>
      </w:r>
      <w:r w:rsidRPr="0011653C">
        <w:rPr>
          <w:color w:val="000000" w:themeColor="text1"/>
          <w:lang w:val="es-CO"/>
        </w:rPr>
        <w:t xml:space="preserve">deberá cumplir las condiciones y los </w:t>
      </w:r>
      <w:r w:rsidRPr="00E4710F">
        <w:rPr>
          <w:color w:val="000000" w:themeColor="text1"/>
          <w:lang w:val="es-CO"/>
        </w:rPr>
        <w:t xml:space="preserve">requisitos mínimos de un contrato firme </w:t>
      </w:r>
      <w:r w:rsidRPr="00E4710F">
        <w:rPr>
          <w:rFonts w:cs="Arial"/>
          <w:color w:val="000000" w:themeColor="text1"/>
          <w:lang w:val="es-CO"/>
        </w:rPr>
        <w:t xml:space="preserve">sujeto a lo dispuesto en el </w:t>
      </w:r>
      <w:r w:rsidRPr="00D66B65">
        <w:rPr>
          <w:rFonts w:cs="Arial"/>
          <w:color w:val="000000" w:themeColor="text1"/>
          <w:lang w:val="es-CO"/>
        </w:rPr>
        <w:t>capítulo I del título IV</w:t>
      </w:r>
      <w:r w:rsidRPr="00E4710F">
        <w:rPr>
          <w:rFonts w:cs="Arial"/>
          <w:color w:val="000000" w:themeColor="text1"/>
          <w:lang w:val="es-CO"/>
        </w:rPr>
        <w:t xml:space="preserve"> de la presente Resolución.</w:t>
      </w:r>
    </w:p>
    <w:p w14:paraId="2B6F46A1" w14:textId="77777777" w:rsidR="0006302B" w:rsidRPr="0011653C" w:rsidRDefault="0006302B" w:rsidP="0006302B">
      <w:pPr>
        <w:pStyle w:val="Prrafodelista"/>
        <w:ind w:left="567"/>
        <w:jc w:val="both"/>
        <w:rPr>
          <w:rFonts w:ascii="Bookman Old Style" w:hAnsi="Bookman Old Style" w:cs="Arial"/>
          <w:bCs/>
          <w:color w:val="000000" w:themeColor="text1"/>
          <w:sz w:val="18"/>
          <w:szCs w:val="24"/>
        </w:rPr>
      </w:pPr>
    </w:p>
    <w:p w14:paraId="66F56268" w14:textId="3A10BFF3" w:rsidR="0006302B" w:rsidRPr="0013707D" w:rsidRDefault="0006302B" w:rsidP="0006302B">
      <w:pPr>
        <w:pStyle w:val="Prrafodelista"/>
        <w:ind w:left="567"/>
        <w:jc w:val="both"/>
        <w:rPr>
          <w:rFonts w:ascii="Bookman Old Style" w:hAnsi="Bookman Old Style" w:cs="Arial"/>
          <w:bCs/>
          <w:color w:val="000000" w:themeColor="text1"/>
          <w:sz w:val="24"/>
          <w:szCs w:val="24"/>
        </w:rPr>
      </w:pPr>
      <w:r w:rsidRPr="0011653C">
        <w:rPr>
          <w:rFonts w:ascii="Bookman Old Style" w:hAnsi="Bookman Old Style" w:cs="Arial"/>
          <w:bCs/>
          <w:color w:val="000000" w:themeColor="text1"/>
          <w:sz w:val="24"/>
          <w:szCs w:val="24"/>
        </w:rPr>
        <w:t xml:space="preserve">El vendedor </w:t>
      </w:r>
      <w:r>
        <w:rPr>
          <w:rFonts w:ascii="Bookman Old Style" w:hAnsi="Bookman Old Style" w:cs="Arial"/>
          <w:b/>
          <w:color w:val="000000" w:themeColor="text1"/>
          <w:sz w:val="24"/>
          <w:szCs w:val="24"/>
        </w:rPr>
        <w:t xml:space="preserve">del Mercado </w:t>
      </w:r>
      <w:r w:rsidR="00C16D07">
        <w:rPr>
          <w:rFonts w:ascii="Bookman Old Style" w:hAnsi="Bookman Old Style" w:cs="Arial"/>
          <w:b/>
          <w:color w:val="000000" w:themeColor="text1"/>
          <w:sz w:val="24"/>
          <w:szCs w:val="24"/>
        </w:rPr>
        <w:t>Secund</w:t>
      </w:r>
      <w:r>
        <w:rPr>
          <w:rFonts w:ascii="Bookman Old Style" w:hAnsi="Bookman Old Style" w:cs="Arial"/>
          <w:b/>
          <w:color w:val="000000" w:themeColor="text1"/>
          <w:sz w:val="24"/>
          <w:szCs w:val="24"/>
        </w:rPr>
        <w:t xml:space="preserve">ario </w:t>
      </w:r>
      <w:r w:rsidRPr="0011653C">
        <w:rPr>
          <w:rFonts w:ascii="Bookman Old Style" w:hAnsi="Bookman Old Style" w:cs="Arial"/>
          <w:bCs/>
          <w:color w:val="000000" w:themeColor="text1"/>
          <w:sz w:val="24"/>
          <w:szCs w:val="24"/>
        </w:rPr>
        <w:t>podrá supeditar el perfeccionamiento y la ejecución del contrato y, por tanto, la nominación del gas</w:t>
      </w:r>
      <w:r w:rsidR="00213720">
        <w:rPr>
          <w:rFonts w:ascii="Bookman Old Style" w:hAnsi="Bookman Old Style" w:cs="Arial"/>
          <w:bCs/>
          <w:color w:val="000000" w:themeColor="text1"/>
          <w:sz w:val="24"/>
          <w:szCs w:val="24"/>
        </w:rPr>
        <w:t>,</w:t>
      </w:r>
      <w:r w:rsidRPr="0011653C">
        <w:rPr>
          <w:rFonts w:ascii="Bookman Old Style" w:hAnsi="Bookman Old Style" w:cs="Arial"/>
          <w:bCs/>
          <w:color w:val="000000" w:themeColor="text1"/>
          <w:sz w:val="24"/>
          <w:szCs w:val="24"/>
        </w:rPr>
        <w:t xml:space="preserve"> a un acuerdo sobre los mecanismos para el cubrimiento del riesgo de cartera al que él se enfrenta. En todo caso, el vendedor</w:t>
      </w:r>
      <w:r>
        <w:rPr>
          <w:rFonts w:ascii="Bookman Old Style" w:hAnsi="Bookman Old Style" w:cs="Arial"/>
          <w:b/>
          <w:color w:val="000000" w:themeColor="text1"/>
          <w:sz w:val="24"/>
          <w:szCs w:val="24"/>
        </w:rPr>
        <w:t xml:space="preserve"> del Mercado </w:t>
      </w:r>
      <w:r w:rsidR="00C16D07">
        <w:rPr>
          <w:rFonts w:ascii="Bookman Old Style" w:hAnsi="Bookman Old Style" w:cs="Arial"/>
          <w:b/>
          <w:color w:val="000000" w:themeColor="text1"/>
          <w:sz w:val="24"/>
          <w:szCs w:val="24"/>
        </w:rPr>
        <w:t>Secund</w:t>
      </w:r>
      <w:r>
        <w:rPr>
          <w:rFonts w:ascii="Bookman Old Style" w:hAnsi="Bookman Old Style" w:cs="Arial"/>
          <w:b/>
          <w:color w:val="000000" w:themeColor="text1"/>
          <w:sz w:val="24"/>
          <w:szCs w:val="24"/>
        </w:rPr>
        <w:t xml:space="preserve">ario </w:t>
      </w:r>
      <w:r w:rsidRPr="0011653C">
        <w:rPr>
          <w:rFonts w:ascii="Bookman Old Style" w:hAnsi="Bookman Old Style" w:cs="Arial"/>
          <w:bCs/>
          <w:color w:val="000000" w:themeColor="text1"/>
          <w:sz w:val="24"/>
          <w:szCs w:val="24"/>
        </w:rPr>
        <w:t xml:space="preserve">siempre podrá exigir </w:t>
      </w:r>
      <w:r>
        <w:rPr>
          <w:rFonts w:ascii="Bookman Old Style" w:hAnsi="Bookman Old Style" w:cs="Arial"/>
          <w:b/>
          <w:color w:val="000000" w:themeColor="text1"/>
          <w:sz w:val="24"/>
          <w:szCs w:val="24"/>
        </w:rPr>
        <w:t xml:space="preserve">al Comprador de corto plazo, </w:t>
      </w:r>
      <w:r w:rsidRPr="0011653C">
        <w:rPr>
          <w:rFonts w:ascii="Bookman Old Style" w:hAnsi="Bookman Old Style" w:cs="Arial"/>
          <w:bCs/>
          <w:color w:val="000000" w:themeColor="text1"/>
          <w:sz w:val="24"/>
          <w:szCs w:val="24"/>
        </w:rPr>
        <w:t>como garantía el mecanismo de prepago</w:t>
      </w:r>
      <w:r w:rsidR="00213720">
        <w:rPr>
          <w:rFonts w:ascii="Bookman Old Style" w:hAnsi="Bookman Old Style" w:cs="Arial"/>
          <w:bCs/>
          <w:color w:val="000000" w:themeColor="text1"/>
          <w:sz w:val="24"/>
          <w:szCs w:val="24"/>
        </w:rPr>
        <w:t>,</w:t>
      </w:r>
      <w:r w:rsidRPr="0011653C">
        <w:rPr>
          <w:rFonts w:ascii="Bookman Old Style" w:hAnsi="Bookman Old Style" w:cs="Arial"/>
          <w:bCs/>
          <w:color w:val="000000" w:themeColor="text1"/>
          <w:sz w:val="24"/>
          <w:szCs w:val="24"/>
        </w:rPr>
        <w:t xml:space="preserve"> y deberá aceptarlo cuando el comprador elija este mecanismo de cubrimiento</w:t>
      </w:r>
      <w:r w:rsidRPr="0013707D">
        <w:rPr>
          <w:rFonts w:ascii="Bookman Old Style" w:hAnsi="Bookman Old Style" w:cs="Arial"/>
          <w:bCs/>
          <w:color w:val="000000" w:themeColor="text1"/>
          <w:sz w:val="24"/>
          <w:szCs w:val="24"/>
        </w:rPr>
        <w:t>.</w:t>
      </w:r>
    </w:p>
    <w:p w14:paraId="6ECD1A67" w14:textId="77777777" w:rsidR="0006302B" w:rsidRPr="0013707D" w:rsidRDefault="0006302B" w:rsidP="0006302B">
      <w:pPr>
        <w:pStyle w:val="Prrafodelista"/>
        <w:ind w:left="567"/>
        <w:jc w:val="both"/>
        <w:rPr>
          <w:rFonts w:ascii="Bookman Old Style" w:hAnsi="Bookman Old Style" w:cs="Arial"/>
          <w:bCs/>
          <w:color w:val="000000" w:themeColor="text1"/>
          <w:sz w:val="24"/>
          <w:szCs w:val="24"/>
        </w:rPr>
      </w:pPr>
    </w:p>
    <w:p w14:paraId="4D7ACD77" w14:textId="2BD8610F" w:rsidR="0006302B" w:rsidRPr="0013707D" w:rsidRDefault="0006302B" w:rsidP="0006302B">
      <w:pPr>
        <w:pStyle w:val="Prrafodelista"/>
        <w:ind w:left="567"/>
        <w:jc w:val="both"/>
        <w:rPr>
          <w:rFonts w:ascii="Bookman Old Style" w:hAnsi="Bookman Old Style" w:cs="Arial"/>
          <w:bCs/>
          <w:color w:val="000000" w:themeColor="text1"/>
          <w:sz w:val="24"/>
          <w:szCs w:val="24"/>
        </w:rPr>
      </w:pPr>
      <w:r w:rsidRPr="0013707D">
        <w:rPr>
          <w:rFonts w:ascii="Bookman Old Style" w:hAnsi="Bookman Old Style" w:cs="Arial"/>
          <w:bCs/>
          <w:color w:val="000000" w:themeColor="text1"/>
          <w:sz w:val="24"/>
          <w:szCs w:val="24"/>
        </w:rPr>
        <w:t xml:space="preserve">Si el comprador </w:t>
      </w:r>
      <w:r>
        <w:rPr>
          <w:rFonts w:ascii="Bookman Old Style" w:hAnsi="Bookman Old Style" w:cs="Arial"/>
          <w:b/>
          <w:color w:val="000000" w:themeColor="text1"/>
          <w:sz w:val="24"/>
          <w:szCs w:val="24"/>
        </w:rPr>
        <w:t xml:space="preserve">de corto plazo </w:t>
      </w:r>
      <w:r w:rsidRPr="0013707D">
        <w:rPr>
          <w:rFonts w:ascii="Bookman Old Style" w:hAnsi="Bookman Old Style" w:cs="Arial"/>
          <w:bCs/>
          <w:color w:val="000000" w:themeColor="text1"/>
          <w:sz w:val="24"/>
          <w:szCs w:val="24"/>
        </w:rPr>
        <w:t>realiza el prepago del gas natural</w:t>
      </w:r>
      <w:r w:rsidR="00213720">
        <w:rPr>
          <w:rFonts w:ascii="Bookman Old Style" w:hAnsi="Bookman Old Style" w:cs="Arial"/>
          <w:bCs/>
          <w:color w:val="000000" w:themeColor="text1"/>
          <w:sz w:val="24"/>
          <w:szCs w:val="24"/>
        </w:rPr>
        <w:t>,</w:t>
      </w:r>
      <w:r w:rsidRPr="0013707D">
        <w:rPr>
          <w:rFonts w:ascii="Bookman Old Style" w:hAnsi="Bookman Old Style" w:cs="Arial"/>
          <w:bCs/>
          <w:color w:val="000000" w:themeColor="text1"/>
          <w:sz w:val="24"/>
          <w:szCs w:val="24"/>
        </w:rPr>
        <w:t xml:space="preserve"> adoptará la condición de comprador de corto plazo y</w:t>
      </w:r>
      <w:r w:rsidR="00213720">
        <w:rPr>
          <w:rFonts w:ascii="Bookman Old Style" w:hAnsi="Bookman Old Style" w:cs="Arial"/>
          <w:bCs/>
          <w:color w:val="000000" w:themeColor="text1"/>
          <w:sz w:val="24"/>
          <w:szCs w:val="24"/>
        </w:rPr>
        <w:t>,</w:t>
      </w:r>
      <w:r w:rsidRPr="0013707D">
        <w:rPr>
          <w:rFonts w:ascii="Bookman Old Style" w:hAnsi="Bookman Old Style" w:cs="Arial"/>
          <w:bCs/>
          <w:color w:val="000000" w:themeColor="text1"/>
          <w:sz w:val="24"/>
          <w:szCs w:val="24"/>
        </w:rPr>
        <w:t xml:space="preserve"> como tal</w:t>
      </w:r>
      <w:r w:rsidR="00213720">
        <w:rPr>
          <w:rFonts w:ascii="Bookman Old Style" w:hAnsi="Bookman Old Style" w:cs="Arial"/>
          <w:bCs/>
          <w:color w:val="000000" w:themeColor="text1"/>
          <w:sz w:val="24"/>
          <w:szCs w:val="24"/>
        </w:rPr>
        <w:t>,</w:t>
      </w:r>
      <w:r w:rsidRPr="0013707D">
        <w:rPr>
          <w:rFonts w:ascii="Bookman Old Style" w:hAnsi="Bookman Old Style" w:cs="Arial"/>
          <w:bCs/>
          <w:color w:val="000000" w:themeColor="text1"/>
          <w:sz w:val="24"/>
          <w:szCs w:val="24"/>
        </w:rPr>
        <w:t xml:space="preserve"> será el titular de los derechos de suministro de gas para el día de gas. En este evento</w:t>
      </w:r>
      <w:r w:rsidR="00213720">
        <w:rPr>
          <w:rFonts w:ascii="Bookman Old Style" w:hAnsi="Bookman Old Style" w:cs="Arial"/>
          <w:bCs/>
          <w:color w:val="000000" w:themeColor="text1"/>
          <w:sz w:val="24"/>
          <w:szCs w:val="24"/>
        </w:rPr>
        <w:t>,</w:t>
      </w:r>
      <w:r w:rsidRPr="0013707D">
        <w:rPr>
          <w:rFonts w:ascii="Bookman Old Style" w:hAnsi="Bookman Old Style" w:cs="Arial"/>
          <w:bCs/>
          <w:color w:val="000000" w:themeColor="text1"/>
          <w:sz w:val="24"/>
          <w:szCs w:val="24"/>
        </w:rPr>
        <w:t xml:space="preserve"> el vendedor estará obligado a nominar el gas negociado</w:t>
      </w:r>
      <w:r w:rsidR="00213720">
        <w:rPr>
          <w:rFonts w:ascii="Bookman Old Style" w:hAnsi="Bookman Old Style" w:cs="Arial"/>
          <w:bCs/>
          <w:color w:val="000000" w:themeColor="text1"/>
          <w:sz w:val="24"/>
          <w:szCs w:val="24"/>
        </w:rPr>
        <w:t>,</w:t>
      </w:r>
      <w:r w:rsidRPr="0013707D">
        <w:rPr>
          <w:rFonts w:ascii="Bookman Old Style" w:hAnsi="Bookman Old Style" w:cs="Arial"/>
          <w:bCs/>
          <w:color w:val="000000" w:themeColor="text1"/>
          <w:sz w:val="24"/>
          <w:szCs w:val="24"/>
        </w:rPr>
        <w:t xml:space="preserve"> o a solicitar la nominación del gas al responsable de la misma, según corresponda.</w:t>
      </w:r>
    </w:p>
    <w:p w14:paraId="7B29255E" w14:textId="77777777" w:rsidR="0006302B" w:rsidRDefault="0006302B" w:rsidP="0006302B">
      <w:pPr>
        <w:pStyle w:val="Prrafodelista"/>
        <w:ind w:left="567"/>
        <w:jc w:val="both"/>
        <w:rPr>
          <w:rFonts w:ascii="Bookman Old Style" w:hAnsi="Bookman Old Style" w:cs="Arial"/>
          <w:bCs/>
          <w:color w:val="000000" w:themeColor="text1"/>
          <w:sz w:val="24"/>
          <w:szCs w:val="24"/>
        </w:rPr>
      </w:pPr>
    </w:p>
    <w:p w14:paraId="748B90DD" w14:textId="5CDBFF4D" w:rsidR="0006302B" w:rsidRPr="0013707D" w:rsidRDefault="0006302B" w:rsidP="0006302B">
      <w:pPr>
        <w:pStyle w:val="Prrafodelista"/>
        <w:ind w:left="567"/>
        <w:jc w:val="both"/>
        <w:rPr>
          <w:rFonts w:ascii="Bookman Old Style" w:hAnsi="Bookman Old Style" w:cs="Arial"/>
          <w:bCs/>
          <w:color w:val="000000" w:themeColor="text1"/>
          <w:sz w:val="24"/>
          <w:szCs w:val="24"/>
        </w:rPr>
      </w:pPr>
      <w:r w:rsidRPr="0013707D">
        <w:rPr>
          <w:rFonts w:ascii="Bookman Old Style" w:hAnsi="Bookman Old Style" w:cs="Arial"/>
          <w:bCs/>
          <w:color w:val="000000" w:themeColor="text1"/>
          <w:sz w:val="24"/>
          <w:szCs w:val="24"/>
        </w:rPr>
        <w:t>Para facilitar el funcionamiento del mecanismo de prepago, el</w:t>
      </w:r>
      <w:r w:rsidRPr="00F316FA">
        <w:rPr>
          <w:rFonts w:ascii="Bookman Old Style" w:hAnsi="Bookman Old Style" w:cs="Arial"/>
          <w:bCs/>
          <w:color w:val="000000" w:themeColor="text1"/>
          <w:sz w:val="24"/>
          <w:szCs w:val="24"/>
        </w:rPr>
        <w:t xml:space="preserve"> </w:t>
      </w:r>
      <w:r w:rsidR="00F316FA" w:rsidRPr="002D5416">
        <w:rPr>
          <w:rFonts w:ascii="Bookman Old Style" w:hAnsi="Bookman Old Style"/>
          <w:sz w:val="24"/>
          <w:szCs w:val="24"/>
          <w:u w:color="FF0000"/>
        </w:rPr>
        <w:t>Gestor</w:t>
      </w:r>
      <w:r w:rsidR="00F316FA" w:rsidRPr="002D5416">
        <w:rPr>
          <w:rFonts w:ascii="Bookman Old Style" w:hAnsi="Bookman Old Style" w:cs="Arial"/>
          <w:bCs/>
          <w:color w:val="FF0000"/>
          <w:sz w:val="28"/>
          <w:szCs w:val="24"/>
          <w:u w:color="FF0000"/>
        </w:rPr>
        <w:t xml:space="preserve"> </w:t>
      </w:r>
      <w:r>
        <w:rPr>
          <w:rFonts w:ascii="Bookman Old Style" w:hAnsi="Bookman Old Style" w:cs="Arial"/>
          <w:bCs/>
          <w:color w:val="000000" w:themeColor="text1"/>
          <w:sz w:val="24"/>
          <w:szCs w:val="24"/>
        </w:rPr>
        <w:t>del Mercado</w:t>
      </w:r>
      <w:r w:rsidRPr="0013707D">
        <w:rPr>
          <w:rFonts w:ascii="Bookman Old Style" w:hAnsi="Bookman Old Style" w:cs="Arial"/>
          <w:bCs/>
          <w:color w:val="000000" w:themeColor="text1"/>
          <w:sz w:val="24"/>
          <w:szCs w:val="24"/>
        </w:rPr>
        <w:t xml:space="preserve"> fungirá como depositario del dinero en prepago por medio de un instrumento fiduciario regido por los criterios que defina la CREG en resolución aparte.</w:t>
      </w:r>
    </w:p>
    <w:p w14:paraId="29416918" w14:textId="77777777" w:rsidR="0006302B" w:rsidRPr="0013707D" w:rsidRDefault="0006302B" w:rsidP="0006302B">
      <w:pPr>
        <w:ind w:left="0"/>
        <w:jc w:val="both"/>
        <w:rPr>
          <w:rFonts w:ascii="Bookman Old Style" w:hAnsi="Bookman Old Style" w:cs="Arial"/>
          <w:bCs/>
          <w:color w:val="000000" w:themeColor="text1"/>
          <w:lang w:val="es-CO"/>
        </w:rPr>
      </w:pPr>
    </w:p>
    <w:p w14:paraId="4D698C78" w14:textId="7F199EEB" w:rsidR="0006302B" w:rsidRPr="00F316FA" w:rsidRDefault="0006302B" w:rsidP="0006302B">
      <w:pPr>
        <w:pStyle w:val="ARTICULOS"/>
        <w:numPr>
          <w:ilvl w:val="1"/>
          <w:numId w:val="19"/>
        </w:numPr>
        <w:ind w:left="567" w:hanging="567"/>
        <w:rPr>
          <w:color w:val="000000" w:themeColor="text1"/>
          <w:lang w:val="es-CO"/>
        </w:rPr>
      </w:pPr>
      <w:r w:rsidRPr="00605E0B">
        <w:rPr>
          <w:color w:val="000000" w:themeColor="text1"/>
          <w:lang w:val="es-CO"/>
        </w:rPr>
        <w:t xml:space="preserve">Programación definitiva del suministro. A más tardar a las 18:50 horas del Día D-1, el responsable de la nominación de gas confirmará </w:t>
      </w:r>
      <w:r>
        <w:rPr>
          <w:b/>
          <w:bCs w:val="0"/>
          <w:color w:val="000000" w:themeColor="text1"/>
          <w:lang w:val="es-CO"/>
        </w:rPr>
        <w:t>al Vendedor del Mercado Primario</w:t>
      </w:r>
      <w:r w:rsidRPr="00605E0B">
        <w:rPr>
          <w:rFonts w:cs="Arial"/>
          <w:color w:val="000000" w:themeColor="text1"/>
          <w:lang w:val="es-CO"/>
        </w:rPr>
        <w:t xml:space="preserve"> </w:t>
      </w:r>
      <w:r w:rsidRPr="00605E0B">
        <w:rPr>
          <w:color w:val="000000" w:themeColor="text1"/>
          <w:lang w:val="es-CO"/>
        </w:rPr>
        <w:t xml:space="preserve">la cantidad vendida a través del proceso definido en este artículo, la cual deberá ser igual o inferior a la informada por el </w:t>
      </w:r>
      <w:r w:rsidR="00F316FA" w:rsidRPr="00956510">
        <w:rPr>
          <w:u w:color="FF0000"/>
          <w:lang w:val="es-CO"/>
        </w:rPr>
        <w:t>Gestor</w:t>
      </w:r>
      <w:r w:rsidRPr="00605E0B">
        <w:rPr>
          <w:color w:val="000000" w:themeColor="text1"/>
          <w:lang w:val="es-CO"/>
        </w:rPr>
        <w:t xml:space="preserve"> del Mercado</w:t>
      </w:r>
      <w:r w:rsidRPr="00B6680C">
        <w:rPr>
          <w:color w:val="000000" w:themeColor="text1"/>
          <w:lang w:val="es-CO"/>
        </w:rPr>
        <w:t xml:space="preserve"> según lo señalado </w:t>
      </w:r>
      <w:r w:rsidRPr="00D66B65">
        <w:rPr>
          <w:color w:val="000000" w:themeColor="text1"/>
          <w:lang w:val="es-CO"/>
        </w:rPr>
        <w:t xml:space="preserve">en el numeral </w:t>
      </w:r>
      <w:r w:rsidRPr="00D66B65">
        <w:rPr>
          <w:color w:val="000000" w:themeColor="text1"/>
          <w:lang w:val="es-CO"/>
        </w:rPr>
        <w:fldChar w:fldCharType="begin"/>
      </w:r>
      <w:r w:rsidRPr="00D66B65">
        <w:rPr>
          <w:color w:val="000000" w:themeColor="text1"/>
          <w:lang w:val="es-CO"/>
        </w:rPr>
        <w:instrText xml:space="preserve"> REF _Ref337225723 \r \h  \* MERGEFORMAT </w:instrText>
      </w:r>
      <w:r w:rsidRPr="00D66B65">
        <w:rPr>
          <w:color w:val="000000" w:themeColor="text1"/>
          <w:lang w:val="es-CO"/>
        </w:rPr>
      </w:r>
      <w:r w:rsidRPr="00D66B65">
        <w:rPr>
          <w:color w:val="000000" w:themeColor="text1"/>
          <w:lang w:val="es-CO"/>
        </w:rPr>
        <w:fldChar w:fldCharType="separate"/>
      </w:r>
      <w:r w:rsidR="00636B6A">
        <w:rPr>
          <w:color w:val="000000" w:themeColor="text1"/>
          <w:lang w:val="es-CO"/>
        </w:rPr>
        <w:t>6</w:t>
      </w:r>
      <w:r w:rsidRPr="00D66B65">
        <w:rPr>
          <w:color w:val="000000" w:themeColor="text1"/>
          <w:lang w:val="es-CO"/>
        </w:rPr>
        <w:fldChar w:fldCharType="end"/>
      </w:r>
      <w:r w:rsidRPr="00D66B65">
        <w:rPr>
          <w:color w:val="000000" w:themeColor="text1"/>
          <w:lang w:val="es-CO"/>
        </w:rPr>
        <w:t xml:space="preserve"> de este artículo</w:t>
      </w:r>
      <w:r w:rsidRPr="00B6680C">
        <w:rPr>
          <w:color w:val="000000" w:themeColor="text1"/>
          <w:lang w:val="es-CO"/>
        </w:rPr>
        <w:t xml:space="preserve">. Esta cantidad entrará al programa definitivo de suministro de gas que el </w:t>
      </w:r>
      <w:r>
        <w:rPr>
          <w:b/>
          <w:bCs w:val="0"/>
          <w:color w:val="000000" w:themeColor="text1"/>
          <w:lang w:val="es-CO"/>
        </w:rPr>
        <w:t xml:space="preserve">Vendedor del Mercado </w:t>
      </w:r>
      <w:r w:rsidRPr="00F316FA">
        <w:rPr>
          <w:b/>
          <w:bCs w:val="0"/>
          <w:color w:val="000000" w:themeColor="text1"/>
          <w:lang w:val="es-CO"/>
        </w:rPr>
        <w:t xml:space="preserve">Primario </w:t>
      </w:r>
      <w:r w:rsidRPr="00F316FA">
        <w:rPr>
          <w:color w:val="000000" w:themeColor="text1"/>
          <w:lang w:val="es-CO"/>
        </w:rPr>
        <w:t xml:space="preserve">debe elaborar y enviar al responsable de la nominación de gas y al </w:t>
      </w:r>
      <w:r w:rsidR="00F316FA" w:rsidRPr="00F316FA">
        <w:rPr>
          <w:u w:color="FF0000"/>
          <w:lang w:val="es-CO"/>
        </w:rPr>
        <w:t>Gestor</w:t>
      </w:r>
      <w:r w:rsidR="00F316FA" w:rsidRPr="002D5416" w:rsidDel="00F316FA">
        <w:rPr>
          <w:color w:val="FF0000"/>
          <w:sz w:val="28"/>
          <w:u w:color="FF0000"/>
          <w:lang w:val="es-CO"/>
        </w:rPr>
        <w:t xml:space="preserve"> </w:t>
      </w:r>
      <w:r w:rsidRPr="00F316FA">
        <w:rPr>
          <w:color w:val="000000" w:themeColor="text1"/>
          <w:lang w:val="es-CO"/>
        </w:rPr>
        <w:t>del Mercado a más tardar a las 19:50 horas.</w:t>
      </w:r>
    </w:p>
    <w:p w14:paraId="653EADC2" w14:textId="77777777" w:rsidR="0006302B" w:rsidRPr="00F316FA" w:rsidRDefault="0006302B" w:rsidP="0006302B">
      <w:pPr>
        <w:pStyle w:val="ARTICULOS"/>
        <w:numPr>
          <w:ilvl w:val="0"/>
          <w:numId w:val="0"/>
        </w:numPr>
        <w:ind w:left="567"/>
        <w:rPr>
          <w:color w:val="000000" w:themeColor="text1"/>
          <w:lang w:val="es-CO"/>
        </w:rPr>
      </w:pPr>
    </w:p>
    <w:p w14:paraId="309CE756" w14:textId="77777777" w:rsidR="0006302B" w:rsidRPr="00F316FA" w:rsidRDefault="0006302B" w:rsidP="0006302B">
      <w:pPr>
        <w:pStyle w:val="ARTICULOS"/>
        <w:numPr>
          <w:ilvl w:val="0"/>
          <w:numId w:val="0"/>
        </w:numPr>
        <w:ind w:left="567"/>
        <w:rPr>
          <w:color w:val="000000" w:themeColor="text1"/>
          <w:lang w:val="es-CO"/>
        </w:rPr>
      </w:pPr>
      <w:r w:rsidRPr="00F316FA">
        <w:rPr>
          <w:color w:val="000000" w:themeColor="text1"/>
          <w:lang w:val="es-CO"/>
        </w:rPr>
        <w:t xml:space="preserve">A más tardar a las 20:00 horas, el responsable de la nominación de gas enviará al comprador de corto plazo el programa definitivo de suministro elaborado por el Productor-comercializador y/o el </w:t>
      </w:r>
      <w:r w:rsidRPr="00F316FA">
        <w:rPr>
          <w:rFonts w:cs="Arial"/>
          <w:color w:val="000000" w:themeColor="text1"/>
          <w:lang w:val="es-CO"/>
        </w:rPr>
        <w:t xml:space="preserve">Comercializador de gas </w:t>
      </w:r>
      <w:r w:rsidRPr="00F316FA">
        <w:rPr>
          <w:rFonts w:cs="Arial"/>
          <w:color w:val="000000" w:themeColor="text1"/>
          <w:lang w:val="es-CO"/>
        </w:rPr>
        <w:lastRenderedPageBreak/>
        <w:t>importado.</w:t>
      </w:r>
    </w:p>
    <w:p w14:paraId="0E638B63" w14:textId="77777777" w:rsidR="0006302B" w:rsidRPr="00F316FA" w:rsidRDefault="0006302B" w:rsidP="0006302B">
      <w:pPr>
        <w:pStyle w:val="ARTICULOS"/>
        <w:numPr>
          <w:ilvl w:val="0"/>
          <w:numId w:val="0"/>
        </w:numPr>
        <w:rPr>
          <w:rFonts w:cs="Arial"/>
          <w:color w:val="000000" w:themeColor="text1"/>
          <w:lang w:val="es-CO"/>
        </w:rPr>
      </w:pPr>
    </w:p>
    <w:p w14:paraId="1BE710D6" w14:textId="5E8DE1A7" w:rsidR="0006302B" w:rsidRPr="00F316FA" w:rsidRDefault="0006302B" w:rsidP="0006302B">
      <w:pPr>
        <w:pStyle w:val="ARTICULOS"/>
        <w:numPr>
          <w:ilvl w:val="0"/>
          <w:numId w:val="0"/>
        </w:numPr>
        <w:rPr>
          <w:rFonts w:cs="Arial"/>
          <w:color w:val="000000" w:themeColor="text1"/>
          <w:lang w:val="es-CO"/>
        </w:rPr>
      </w:pPr>
      <w:r w:rsidRPr="00F316FA">
        <w:rPr>
          <w:rFonts w:cs="Arial"/>
          <w:b/>
          <w:color w:val="000000" w:themeColor="text1"/>
          <w:lang w:val="es-CO"/>
        </w:rPr>
        <w:t>Parágrafo 1.</w:t>
      </w:r>
      <w:r w:rsidRPr="00F316FA">
        <w:rPr>
          <w:rFonts w:cs="Arial"/>
          <w:color w:val="000000" w:themeColor="text1"/>
          <w:lang w:val="es-CO"/>
        </w:rPr>
        <w:t xml:space="preserve"> El </w:t>
      </w:r>
      <w:r w:rsidR="00F316FA" w:rsidRPr="00F316FA">
        <w:rPr>
          <w:u w:color="FF0000"/>
          <w:lang w:val="es-CO"/>
        </w:rPr>
        <w:t>Gestor</w:t>
      </w:r>
      <w:r w:rsidR="00F316FA" w:rsidRPr="002D5416" w:rsidDel="00F316FA">
        <w:rPr>
          <w:rFonts w:cs="Arial"/>
          <w:color w:val="FF0000"/>
          <w:sz w:val="28"/>
          <w:u w:color="FF0000"/>
          <w:lang w:val="es-CO"/>
        </w:rPr>
        <w:t xml:space="preserve"> </w:t>
      </w:r>
      <w:r w:rsidRPr="00F316FA">
        <w:rPr>
          <w:rFonts w:cs="Arial"/>
          <w:color w:val="000000" w:themeColor="text1"/>
          <w:lang w:val="es-CO"/>
        </w:rPr>
        <w:t>del Mercado definirá el medio y los formatos para la declaración de la información señalada en este artículo.</w:t>
      </w:r>
    </w:p>
    <w:p w14:paraId="0A7D9A3E" w14:textId="77777777" w:rsidR="0006302B" w:rsidRPr="00F316FA" w:rsidRDefault="0006302B" w:rsidP="0006302B">
      <w:pPr>
        <w:pStyle w:val="ARTICULOS"/>
        <w:numPr>
          <w:ilvl w:val="0"/>
          <w:numId w:val="0"/>
        </w:numPr>
        <w:rPr>
          <w:rFonts w:cs="Arial"/>
          <w:color w:val="000000" w:themeColor="text1"/>
          <w:lang w:val="es-CO"/>
        </w:rPr>
      </w:pPr>
    </w:p>
    <w:p w14:paraId="0F92EE5B" w14:textId="75379848" w:rsidR="0006302B" w:rsidRPr="0013707D" w:rsidRDefault="0006302B" w:rsidP="0006302B">
      <w:pPr>
        <w:pStyle w:val="ARTICULOS"/>
        <w:numPr>
          <w:ilvl w:val="0"/>
          <w:numId w:val="0"/>
        </w:numPr>
        <w:rPr>
          <w:rFonts w:cs="Arial"/>
          <w:color w:val="000000" w:themeColor="text1"/>
          <w:lang w:val="es-CO"/>
        </w:rPr>
      </w:pPr>
      <w:r w:rsidRPr="00F316FA">
        <w:rPr>
          <w:rFonts w:cs="Arial"/>
          <w:b/>
          <w:color w:val="000000" w:themeColor="text1"/>
          <w:lang w:val="es-CO"/>
        </w:rPr>
        <w:t>Parágrafo 2.</w:t>
      </w:r>
      <w:r w:rsidRPr="00F316FA">
        <w:rPr>
          <w:rFonts w:cs="Arial"/>
          <w:color w:val="000000" w:themeColor="text1"/>
          <w:lang w:val="es-CO"/>
        </w:rPr>
        <w:t xml:space="preserve"> Los días 1 y 15 de cada mes el </w:t>
      </w:r>
      <w:r w:rsidR="00F316FA" w:rsidRPr="00F316FA">
        <w:rPr>
          <w:u w:color="FF0000"/>
          <w:lang w:val="es-CO"/>
        </w:rPr>
        <w:t>Gestor</w:t>
      </w:r>
      <w:r w:rsidR="00F316FA" w:rsidRPr="002D5416" w:rsidDel="00F316FA">
        <w:rPr>
          <w:rFonts w:cs="Arial"/>
          <w:color w:val="FF0000"/>
          <w:sz w:val="28"/>
          <w:u w:color="FF0000"/>
          <w:lang w:val="es-CO"/>
        </w:rPr>
        <w:t xml:space="preserve"> </w:t>
      </w:r>
      <w:r w:rsidRPr="00F316FA">
        <w:rPr>
          <w:rFonts w:cs="Arial"/>
          <w:color w:val="000000" w:themeColor="text1"/>
          <w:lang w:val="es-CO"/>
        </w:rPr>
        <w:t>del</w:t>
      </w:r>
      <w:r>
        <w:rPr>
          <w:rFonts w:cs="Arial"/>
          <w:color w:val="000000" w:themeColor="text1"/>
          <w:lang w:val="es-CO"/>
        </w:rPr>
        <w:t xml:space="preserve"> Mercado</w:t>
      </w:r>
      <w:r w:rsidRPr="0013707D">
        <w:rPr>
          <w:rFonts w:cs="Arial"/>
          <w:color w:val="000000" w:themeColor="text1"/>
          <w:lang w:val="es-CO"/>
        </w:rPr>
        <w:t xml:space="preserve"> ordenará la transferencia del dinero depositado en el instrumento fiduciario </w:t>
      </w:r>
      <w:r w:rsidRPr="00F15207">
        <w:rPr>
          <w:rFonts w:cs="Arial"/>
          <w:color w:val="000000" w:themeColor="text1"/>
          <w:lang w:val="es-CO"/>
        </w:rPr>
        <w:t>a los vendedores correspondientes</w:t>
      </w:r>
      <w:r w:rsidRPr="0013707D">
        <w:rPr>
          <w:rFonts w:cs="Arial"/>
          <w:color w:val="000000" w:themeColor="text1"/>
          <w:lang w:val="es-CO"/>
        </w:rPr>
        <w:t>. En caso de que alguno de estos días no sea un día hábil, la transferencia se hará el siguiente día hábil.</w:t>
      </w:r>
    </w:p>
    <w:p w14:paraId="12CEC485" w14:textId="77777777" w:rsidR="0006302B" w:rsidRPr="0013707D" w:rsidRDefault="0006302B" w:rsidP="0006302B">
      <w:pPr>
        <w:pStyle w:val="ARTICULOS"/>
        <w:numPr>
          <w:ilvl w:val="0"/>
          <w:numId w:val="0"/>
        </w:numPr>
        <w:rPr>
          <w:rFonts w:cs="Arial"/>
          <w:color w:val="000000" w:themeColor="text1"/>
          <w:lang w:val="es-CO"/>
        </w:rPr>
      </w:pPr>
    </w:p>
    <w:p w14:paraId="2155E348" w14:textId="77777777" w:rsidR="0006302B" w:rsidRPr="0013707D" w:rsidRDefault="0006302B" w:rsidP="0006302B">
      <w:pPr>
        <w:pStyle w:val="ARTICULOS"/>
        <w:numPr>
          <w:ilvl w:val="0"/>
          <w:numId w:val="0"/>
        </w:numPr>
        <w:rPr>
          <w:rFonts w:cs="Arial"/>
          <w:color w:val="000000" w:themeColor="text1"/>
          <w:lang w:val="es-CO"/>
        </w:rPr>
      </w:pPr>
      <w:r w:rsidRPr="0013707D">
        <w:rPr>
          <w:rFonts w:cs="Arial"/>
          <w:color w:val="000000" w:themeColor="text1"/>
          <w:lang w:val="es-CO"/>
        </w:rPr>
        <w:t>Todas las transferencias del dinero recibido por concepto de prepago deberán incluir los rendimientos financieros que se hayan generado. Al momento de hacer las transferencias se deberán descontar los gastos correspondientes por concepto de administración e impuestos.</w:t>
      </w:r>
    </w:p>
    <w:p w14:paraId="76FD0723" w14:textId="77777777" w:rsidR="0006302B" w:rsidRPr="0013707D" w:rsidRDefault="0006302B" w:rsidP="0006302B">
      <w:pPr>
        <w:pStyle w:val="ARTICULOS"/>
        <w:numPr>
          <w:ilvl w:val="0"/>
          <w:numId w:val="0"/>
        </w:numPr>
        <w:rPr>
          <w:rFonts w:cs="Arial"/>
          <w:color w:val="000000" w:themeColor="text1"/>
          <w:lang w:val="es-CO"/>
        </w:rPr>
      </w:pPr>
    </w:p>
    <w:p w14:paraId="6407BC94" w14:textId="77777777" w:rsidR="0006302B" w:rsidRPr="00410065" w:rsidRDefault="0006302B" w:rsidP="0006302B">
      <w:pPr>
        <w:pStyle w:val="ARTICULOS"/>
        <w:numPr>
          <w:ilvl w:val="0"/>
          <w:numId w:val="0"/>
        </w:numPr>
        <w:rPr>
          <w:rFonts w:cs="Arial"/>
          <w:color w:val="000000" w:themeColor="text1"/>
          <w:lang w:val="es-CO"/>
        </w:rPr>
      </w:pPr>
      <w:r w:rsidRPr="0013707D">
        <w:rPr>
          <w:rFonts w:cs="Arial"/>
          <w:b/>
          <w:color w:val="000000" w:themeColor="text1"/>
          <w:lang w:val="es-CO"/>
        </w:rPr>
        <w:t>Parágrafo 3.</w:t>
      </w:r>
      <w:r w:rsidRPr="0013707D">
        <w:rPr>
          <w:rFonts w:cs="Arial"/>
          <w:color w:val="000000" w:themeColor="text1"/>
          <w:lang w:val="es-CO"/>
        </w:rPr>
        <w:t xml:space="preserve"> </w:t>
      </w:r>
      <w:r w:rsidRPr="00410065">
        <w:rPr>
          <w:rFonts w:cs="Arial"/>
          <w:color w:val="000000" w:themeColor="text1"/>
          <w:lang w:val="es-CO"/>
        </w:rPr>
        <w:t>El comprador de corto plazo será responsable de pagar al vendedor de</w:t>
      </w:r>
      <w:r>
        <w:rPr>
          <w:rFonts w:cs="Arial"/>
          <w:color w:val="000000" w:themeColor="text1"/>
          <w:lang w:val="es-CO"/>
        </w:rPr>
        <w:t xml:space="preserve">l mercado primario </w:t>
      </w:r>
      <w:r w:rsidRPr="00410065">
        <w:rPr>
          <w:rFonts w:cs="Arial"/>
          <w:color w:val="000000" w:themeColor="text1"/>
          <w:lang w:val="es-CO"/>
        </w:rPr>
        <w:t>las compensaciones que ocasione por variaciones de salida.</w:t>
      </w:r>
    </w:p>
    <w:p w14:paraId="17DA6524" w14:textId="77777777" w:rsidR="0006302B" w:rsidRPr="00410065" w:rsidRDefault="0006302B" w:rsidP="0006302B">
      <w:pPr>
        <w:pStyle w:val="ARTICULOS"/>
        <w:numPr>
          <w:ilvl w:val="0"/>
          <w:numId w:val="0"/>
        </w:numPr>
        <w:rPr>
          <w:rFonts w:cs="Arial"/>
          <w:color w:val="000000" w:themeColor="text1"/>
          <w:lang w:val="es-CO"/>
        </w:rPr>
      </w:pPr>
    </w:p>
    <w:p w14:paraId="3066D4B8" w14:textId="3A308939" w:rsidR="0006302B" w:rsidRPr="0013707D" w:rsidRDefault="0006302B" w:rsidP="0006302B">
      <w:pPr>
        <w:pStyle w:val="ARTICULOS"/>
        <w:numPr>
          <w:ilvl w:val="0"/>
          <w:numId w:val="0"/>
        </w:numPr>
        <w:rPr>
          <w:rFonts w:cs="Arial"/>
          <w:color w:val="000000" w:themeColor="text1"/>
          <w:lang w:val="es-CO"/>
        </w:rPr>
      </w:pPr>
      <w:r w:rsidRPr="00410065">
        <w:rPr>
          <w:rFonts w:cs="Arial"/>
          <w:b/>
          <w:bCs w:val="0"/>
          <w:color w:val="000000" w:themeColor="text1"/>
          <w:lang w:val="es-CO"/>
        </w:rPr>
        <w:t>Parágrafo 4.</w:t>
      </w:r>
      <w:r w:rsidRPr="00410065">
        <w:rPr>
          <w:rFonts w:cs="Arial"/>
          <w:color w:val="000000" w:themeColor="text1"/>
          <w:lang w:val="es-CO"/>
        </w:rPr>
        <w:t xml:space="preserve"> Durante el ciclo de nominación de gas</w:t>
      </w:r>
      <w:r w:rsidR="00213720">
        <w:rPr>
          <w:rFonts w:cs="Arial"/>
          <w:color w:val="000000" w:themeColor="text1"/>
          <w:lang w:val="es-CO"/>
        </w:rPr>
        <w:t>,</w:t>
      </w:r>
      <w:r w:rsidRPr="00410065">
        <w:rPr>
          <w:rFonts w:cs="Arial"/>
          <w:color w:val="000000" w:themeColor="text1"/>
          <w:lang w:val="es-CO"/>
        </w:rPr>
        <w:t xml:space="preserve"> los responsables de la misma no podrán modificar las cantidades de energía ya nominadas a la hora límite para el recibo de la nominación diaria de suministro, por parte de los </w:t>
      </w:r>
      <w:r>
        <w:rPr>
          <w:rFonts w:cs="Arial"/>
          <w:b/>
          <w:bCs w:val="0"/>
          <w:color w:val="000000" w:themeColor="text1"/>
          <w:lang w:val="es-CO"/>
        </w:rPr>
        <w:t>Vendedores del Mercado Primario</w:t>
      </w:r>
      <w:r w:rsidRPr="00410065">
        <w:rPr>
          <w:rFonts w:cs="Arial"/>
          <w:color w:val="000000" w:themeColor="text1"/>
          <w:lang w:val="es-CO"/>
        </w:rPr>
        <w:t xml:space="preserve">, establecida en el RUT. En la confirmación de la cantidad de energía a suministrar, la cual se realiza dentro de la hora límite establecida en el RUT, sólo se podrán aumentar las cantidades nominadas inicialmente </w:t>
      </w:r>
      <w:r>
        <w:rPr>
          <w:rFonts w:cs="Arial"/>
          <w:b/>
          <w:bCs w:val="0"/>
          <w:color w:val="000000" w:themeColor="text1"/>
          <w:lang w:val="es-CO"/>
        </w:rPr>
        <w:t xml:space="preserve">por el Comprador del Mercado Primario </w:t>
      </w:r>
      <w:r w:rsidRPr="00410065">
        <w:rPr>
          <w:rFonts w:cs="Arial"/>
          <w:color w:val="000000" w:themeColor="text1"/>
          <w:lang w:val="es-CO"/>
        </w:rPr>
        <w:t>en aplicación del proceso úselo o véndalo de corto plazo para gas natural</w:t>
      </w:r>
      <w:r>
        <w:rPr>
          <w:rFonts w:cs="Arial"/>
          <w:color w:val="000000" w:themeColor="text1"/>
          <w:lang w:val="es-CO"/>
        </w:rPr>
        <w:t xml:space="preserve">. </w:t>
      </w:r>
      <w:r w:rsidRPr="0070687F">
        <w:rPr>
          <w:rFonts w:cs="Arial"/>
          <w:color w:val="000000" w:themeColor="text1"/>
          <w:lang w:val="es-CO"/>
        </w:rPr>
        <w:t xml:space="preserve"> </w:t>
      </w:r>
    </w:p>
    <w:p w14:paraId="57F10BE3" w14:textId="77777777" w:rsidR="003D19BF" w:rsidRPr="0013707D" w:rsidRDefault="003D19BF" w:rsidP="0006302B">
      <w:pPr>
        <w:pStyle w:val="ARTICULOS"/>
        <w:numPr>
          <w:ilvl w:val="0"/>
          <w:numId w:val="0"/>
        </w:numPr>
        <w:rPr>
          <w:rFonts w:cs="Arial"/>
          <w:color w:val="000000" w:themeColor="text1"/>
          <w:lang w:val="es-CO"/>
        </w:rPr>
      </w:pPr>
    </w:p>
    <w:p w14:paraId="0F444514" w14:textId="77777777" w:rsidR="0006302B" w:rsidRPr="0013707D" w:rsidRDefault="0006302B" w:rsidP="0006302B">
      <w:pPr>
        <w:pStyle w:val="Prrafodelista"/>
        <w:tabs>
          <w:tab w:val="left" w:pos="1134"/>
        </w:tabs>
        <w:ind w:left="0"/>
        <w:jc w:val="center"/>
        <w:rPr>
          <w:rFonts w:ascii="Bookman Old Style" w:hAnsi="Bookman Old Style" w:cs="Arial"/>
          <w:b/>
          <w:bCs/>
          <w:color w:val="000000" w:themeColor="text1"/>
          <w:sz w:val="24"/>
          <w:szCs w:val="24"/>
          <w:lang w:eastAsia="es-ES"/>
        </w:rPr>
      </w:pPr>
      <w:r w:rsidRPr="0013707D">
        <w:rPr>
          <w:rFonts w:ascii="Bookman Old Style" w:hAnsi="Bookman Old Style" w:cs="Arial"/>
          <w:b/>
          <w:bCs/>
          <w:color w:val="000000" w:themeColor="text1"/>
          <w:sz w:val="24"/>
          <w:szCs w:val="24"/>
          <w:lang w:eastAsia="es-ES"/>
        </w:rPr>
        <w:t>Título V</w:t>
      </w:r>
    </w:p>
    <w:p w14:paraId="491AC9BC" w14:textId="77777777" w:rsidR="0006302B" w:rsidRPr="0013707D" w:rsidRDefault="0006302B" w:rsidP="0006302B">
      <w:pPr>
        <w:ind w:left="0"/>
        <w:jc w:val="center"/>
        <w:rPr>
          <w:rFonts w:ascii="Bookman Old Style" w:hAnsi="Bookman Old Style" w:cs="Arial"/>
          <w:b/>
          <w:bCs/>
          <w:color w:val="000000" w:themeColor="text1"/>
          <w:lang w:val="es-CO"/>
        </w:rPr>
      </w:pPr>
      <w:r w:rsidRPr="0051363D">
        <w:rPr>
          <w:rFonts w:ascii="Bookman Old Style" w:hAnsi="Bookman Old Style" w:cs="Arial"/>
          <w:b/>
          <w:bCs/>
          <w:color w:val="000000" w:themeColor="text1"/>
          <w:lang w:val="es-CO"/>
        </w:rPr>
        <w:t>Negociación de contratos con Interrupciones</w:t>
      </w:r>
    </w:p>
    <w:p w14:paraId="23BA175A" w14:textId="77777777" w:rsidR="0006302B" w:rsidRPr="0013707D" w:rsidRDefault="0006302B" w:rsidP="0006302B">
      <w:pPr>
        <w:ind w:left="0"/>
        <w:jc w:val="center"/>
        <w:rPr>
          <w:rFonts w:ascii="Bookman Old Style" w:hAnsi="Bookman Old Style" w:cs="Arial"/>
          <w:bCs/>
          <w:color w:val="000000" w:themeColor="text1"/>
          <w:lang w:val="es-CO"/>
        </w:rPr>
      </w:pPr>
    </w:p>
    <w:p w14:paraId="351E9A4F" w14:textId="046AF4C0" w:rsidR="0006302B" w:rsidRPr="00C5746C" w:rsidRDefault="0006302B" w:rsidP="0006302B">
      <w:pPr>
        <w:pStyle w:val="ARTICULOS"/>
        <w:outlineLvl w:val="0"/>
      </w:pPr>
      <w:bookmarkStart w:id="96" w:name="_Ref358126070"/>
      <w:r w:rsidRPr="00C5746C">
        <w:rPr>
          <w:rFonts w:cs="Arial"/>
          <w:b/>
          <w:color w:val="000000" w:themeColor="text1"/>
          <w:lang w:val="es-CO"/>
        </w:rPr>
        <w:t>Negociación de contratos con interrupciones</w:t>
      </w:r>
      <w:r>
        <w:rPr>
          <w:rFonts w:cs="Arial"/>
          <w:b/>
          <w:color w:val="000000" w:themeColor="text1"/>
          <w:lang w:val="es-CO"/>
        </w:rPr>
        <w:t xml:space="preserve"> a través de negociaciones directas</w:t>
      </w:r>
      <w:r w:rsidRPr="00C5746C">
        <w:rPr>
          <w:rFonts w:cs="Arial"/>
          <w:b/>
          <w:color w:val="000000" w:themeColor="text1"/>
          <w:lang w:val="es-CO"/>
        </w:rPr>
        <w:t>.</w:t>
      </w:r>
      <w:bookmarkEnd w:id="96"/>
      <w:r w:rsidRPr="00C5746C">
        <w:rPr>
          <w:rFonts w:cs="Arial"/>
          <w:b/>
          <w:color w:val="000000" w:themeColor="text1"/>
          <w:lang w:val="es-CO"/>
        </w:rPr>
        <w:t xml:space="preserve"> </w:t>
      </w:r>
      <w:r w:rsidRPr="00D66B65">
        <w:rPr>
          <w:b/>
          <w:bCs w:val="0"/>
          <w:lang w:val="es-CO"/>
        </w:rPr>
        <w:t>Los</w:t>
      </w:r>
      <w:r w:rsidRPr="00D66B65">
        <w:rPr>
          <w:b/>
          <w:bCs w:val="0"/>
        </w:rPr>
        <w:t xml:space="preserve"> vendedores y </w:t>
      </w:r>
      <w:r w:rsidRPr="00D66B65">
        <w:rPr>
          <w:b/>
          <w:bCs w:val="0"/>
          <w:lang w:val="es-CO"/>
        </w:rPr>
        <w:t xml:space="preserve">los </w:t>
      </w:r>
      <w:r w:rsidRPr="00D66B65">
        <w:rPr>
          <w:b/>
          <w:bCs w:val="0"/>
        </w:rPr>
        <w:t xml:space="preserve">compradores a los que </w:t>
      </w:r>
      <w:r w:rsidRPr="00D66B65">
        <w:rPr>
          <w:b/>
          <w:bCs w:val="0"/>
          <w:lang w:val="es-CO"/>
        </w:rPr>
        <w:t xml:space="preserve">se </w:t>
      </w:r>
      <w:r w:rsidRPr="00D66B65">
        <w:rPr>
          <w:b/>
          <w:bCs w:val="0"/>
        </w:rPr>
        <w:t xml:space="preserve">hace referencia en los artículos </w:t>
      </w:r>
      <w:r w:rsidRPr="00D66B65">
        <w:rPr>
          <w:b/>
          <w:bCs w:val="0"/>
          <w:lang w:val="es-CO"/>
        </w:rPr>
        <w:t xml:space="preserve">16 y </w:t>
      </w:r>
      <w:r w:rsidR="008E7D39">
        <w:rPr>
          <w:b/>
          <w:bCs w:val="0"/>
          <w:lang w:val="es-CO"/>
        </w:rPr>
        <w:t>29</w:t>
      </w:r>
      <w:r w:rsidR="00213720">
        <w:rPr>
          <w:b/>
          <w:bCs w:val="0"/>
          <w:lang w:val="es-CO"/>
        </w:rPr>
        <w:t>,</w:t>
      </w:r>
      <w:r w:rsidRPr="00D66B65">
        <w:rPr>
          <w:b/>
          <w:bCs w:val="0"/>
          <w:lang w:val="es-ES"/>
        </w:rPr>
        <w:t xml:space="preserve"> </w:t>
      </w:r>
      <w:r w:rsidRPr="00D66B65">
        <w:rPr>
          <w:b/>
          <w:bCs w:val="0"/>
        </w:rPr>
        <w:t xml:space="preserve">y en los artículos </w:t>
      </w:r>
      <w:r w:rsidRPr="00D66B65">
        <w:rPr>
          <w:b/>
          <w:bCs w:val="0"/>
          <w:lang w:val="es-CO"/>
        </w:rPr>
        <w:t xml:space="preserve">17 y </w:t>
      </w:r>
      <w:r w:rsidR="008E7D39">
        <w:rPr>
          <w:b/>
          <w:bCs w:val="0"/>
          <w:lang w:val="es-CO"/>
        </w:rPr>
        <w:t>30</w:t>
      </w:r>
      <w:r w:rsidR="008E7D39" w:rsidRPr="00D66B65">
        <w:rPr>
          <w:b/>
          <w:bCs w:val="0"/>
        </w:rPr>
        <w:t xml:space="preserve"> </w:t>
      </w:r>
      <w:r w:rsidRPr="00D66B65">
        <w:rPr>
          <w:b/>
          <w:bCs w:val="0"/>
        </w:rPr>
        <w:t xml:space="preserve">de </w:t>
      </w:r>
      <w:r>
        <w:rPr>
          <w:b/>
          <w:bCs w:val="0"/>
          <w:lang w:val="es-ES"/>
        </w:rPr>
        <w:t>la presente r</w:t>
      </w:r>
      <w:r w:rsidRPr="00D66B65">
        <w:rPr>
          <w:b/>
          <w:bCs w:val="0"/>
        </w:rPr>
        <w:t>esolución</w:t>
      </w:r>
      <w:r w:rsidR="00213720">
        <w:rPr>
          <w:b/>
          <w:bCs w:val="0"/>
          <w:lang w:val="es-ES"/>
        </w:rPr>
        <w:t>,</w:t>
      </w:r>
      <w:r w:rsidRPr="00D66B65">
        <w:rPr>
          <w:b/>
          <w:bCs w:val="0"/>
        </w:rPr>
        <w:t xml:space="preserve"> podrán negociar directamente contratos con interrupciones con sujeción a las siguientes reglas, según corresponda:</w:t>
      </w:r>
      <w:r w:rsidRPr="00C5746C">
        <w:t xml:space="preserve"> </w:t>
      </w:r>
    </w:p>
    <w:p w14:paraId="72128E88" w14:textId="77777777" w:rsidR="0006302B" w:rsidRPr="00901472" w:rsidRDefault="0006302B" w:rsidP="0006302B">
      <w:pPr>
        <w:pStyle w:val="Prrafodelista"/>
        <w:ind w:left="1134"/>
        <w:jc w:val="both"/>
        <w:rPr>
          <w:rFonts w:ascii="Bookman Old Style" w:hAnsi="Bookman Old Style"/>
        </w:rPr>
      </w:pPr>
    </w:p>
    <w:p w14:paraId="4CF2DC56" w14:textId="655ED24D" w:rsidR="0006302B" w:rsidRPr="007E56EE" w:rsidRDefault="0006302B" w:rsidP="00A4790E">
      <w:pPr>
        <w:pStyle w:val="Prrafodelista"/>
        <w:numPr>
          <w:ilvl w:val="0"/>
          <w:numId w:val="63"/>
        </w:numPr>
        <w:ind w:left="567" w:hanging="425"/>
        <w:jc w:val="both"/>
        <w:rPr>
          <w:rFonts w:ascii="Bookman Old Style" w:hAnsi="Bookman Old Style"/>
          <w:sz w:val="24"/>
          <w:szCs w:val="24"/>
        </w:rPr>
      </w:pPr>
      <w:r w:rsidRPr="00D66B65">
        <w:rPr>
          <w:rFonts w:ascii="Bookman Old Style" w:hAnsi="Bookman Old Style"/>
          <w:b/>
          <w:bCs/>
          <w:sz w:val="24"/>
          <w:szCs w:val="24"/>
        </w:rPr>
        <w:t>Duración:</w:t>
      </w:r>
      <w:r w:rsidRPr="0013707D">
        <w:rPr>
          <w:rFonts w:ascii="Bookman Old Style" w:hAnsi="Bookman Old Style"/>
          <w:sz w:val="24"/>
          <w:szCs w:val="24"/>
        </w:rPr>
        <w:t xml:space="preserve"> </w:t>
      </w:r>
      <w:r w:rsidRPr="009877B3">
        <w:rPr>
          <w:rFonts w:ascii="Bookman Old Style" w:hAnsi="Bookman Old Style"/>
          <w:b/>
          <w:bCs/>
          <w:sz w:val="24"/>
          <w:szCs w:val="24"/>
        </w:rPr>
        <w:t xml:space="preserve">En el caso de los </w:t>
      </w:r>
      <w:r>
        <w:rPr>
          <w:rFonts w:ascii="Bookman Old Style" w:hAnsi="Bookman Old Style"/>
          <w:b/>
          <w:bCs/>
          <w:sz w:val="24"/>
          <w:szCs w:val="24"/>
        </w:rPr>
        <w:t>vendedores</w:t>
      </w:r>
      <w:r w:rsidRPr="009877B3">
        <w:rPr>
          <w:rFonts w:ascii="Bookman Old Style" w:hAnsi="Bookman Old Style"/>
          <w:b/>
          <w:bCs/>
          <w:sz w:val="24"/>
          <w:szCs w:val="24"/>
        </w:rPr>
        <w:t xml:space="preserve"> del </w:t>
      </w:r>
      <w:r w:rsidR="00B62246">
        <w:rPr>
          <w:rFonts w:ascii="Bookman Old Style" w:hAnsi="Bookman Old Style"/>
          <w:b/>
          <w:bCs/>
          <w:sz w:val="24"/>
          <w:szCs w:val="24"/>
        </w:rPr>
        <w:t>a</w:t>
      </w:r>
      <w:r w:rsidRPr="009877B3">
        <w:rPr>
          <w:rFonts w:ascii="Bookman Old Style" w:hAnsi="Bookman Old Style"/>
          <w:b/>
          <w:bCs/>
          <w:sz w:val="24"/>
          <w:szCs w:val="24"/>
        </w:rPr>
        <w:t>rtículo 1</w:t>
      </w:r>
      <w:r>
        <w:rPr>
          <w:rFonts w:ascii="Bookman Old Style" w:hAnsi="Bookman Old Style"/>
          <w:b/>
          <w:bCs/>
          <w:sz w:val="24"/>
          <w:szCs w:val="24"/>
        </w:rPr>
        <w:t>6</w:t>
      </w:r>
      <w:r w:rsidRPr="009877B3">
        <w:rPr>
          <w:rFonts w:ascii="Bookman Old Style" w:hAnsi="Bookman Old Style"/>
          <w:b/>
          <w:bCs/>
          <w:sz w:val="24"/>
          <w:szCs w:val="24"/>
        </w:rPr>
        <w:t xml:space="preserve"> de la presente </w:t>
      </w:r>
      <w:r w:rsidRPr="007E56EE">
        <w:rPr>
          <w:rFonts w:ascii="Bookman Old Style" w:hAnsi="Bookman Old Style"/>
          <w:b/>
          <w:bCs/>
          <w:sz w:val="24"/>
          <w:szCs w:val="24"/>
        </w:rPr>
        <w:t>resolución, el contrato que suscriban deberá tener una duración de</w:t>
      </w:r>
      <w:r w:rsidR="00043640">
        <w:rPr>
          <w:rFonts w:ascii="Bookman Old Style" w:hAnsi="Bookman Old Style"/>
          <w:b/>
          <w:bCs/>
          <w:sz w:val="24"/>
          <w:szCs w:val="24"/>
        </w:rPr>
        <w:t xml:space="preserve"> un (</w:t>
      </w:r>
      <w:r w:rsidRPr="007E56EE">
        <w:rPr>
          <w:rFonts w:ascii="Bookman Old Style" w:hAnsi="Bookman Old Style"/>
          <w:b/>
          <w:bCs/>
          <w:sz w:val="24"/>
          <w:szCs w:val="24"/>
        </w:rPr>
        <w:t>1</w:t>
      </w:r>
      <w:r w:rsidR="00043640">
        <w:rPr>
          <w:rFonts w:ascii="Bookman Old Style" w:hAnsi="Bookman Old Style"/>
          <w:b/>
          <w:bCs/>
          <w:sz w:val="24"/>
          <w:szCs w:val="24"/>
        </w:rPr>
        <w:t xml:space="preserve">) </w:t>
      </w:r>
      <w:r w:rsidRPr="007E56EE">
        <w:rPr>
          <w:rFonts w:ascii="Bookman Old Style" w:hAnsi="Bookman Old Style"/>
          <w:b/>
          <w:bCs/>
          <w:sz w:val="24"/>
          <w:szCs w:val="24"/>
        </w:rPr>
        <w:t>mes</w:t>
      </w:r>
      <w:r w:rsidR="0050093F" w:rsidRPr="007E56EE">
        <w:rPr>
          <w:rFonts w:ascii="Bookman Old Style" w:hAnsi="Bookman Old Style"/>
          <w:b/>
          <w:bCs/>
          <w:sz w:val="24"/>
          <w:szCs w:val="24"/>
        </w:rPr>
        <w:t>, excepto en los caso</w:t>
      </w:r>
      <w:r w:rsidR="00BA4969">
        <w:rPr>
          <w:rFonts w:ascii="Bookman Old Style" w:hAnsi="Bookman Old Style"/>
          <w:b/>
          <w:bCs/>
          <w:sz w:val="24"/>
          <w:szCs w:val="24"/>
        </w:rPr>
        <w:t>s</w:t>
      </w:r>
      <w:r w:rsidR="0050093F" w:rsidRPr="007E56EE">
        <w:rPr>
          <w:rFonts w:ascii="Bookman Old Style" w:hAnsi="Bookman Old Style"/>
          <w:b/>
          <w:bCs/>
          <w:sz w:val="24"/>
          <w:szCs w:val="24"/>
        </w:rPr>
        <w:t xml:space="preserve"> de las fuentes de suministro que están en pruebas o no han declarado comercialidad</w:t>
      </w:r>
      <w:r w:rsidR="00DB07B7">
        <w:rPr>
          <w:rFonts w:ascii="Bookman Old Style" w:hAnsi="Bookman Old Style"/>
          <w:b/>
          <w:bCs/>
          <w:sz w:val="24"/>
          <w:szCs w:val="24"/>
        </w:rPr>
        <w:t xml:space="preserve"> que podrán suscribir contratos con interrupciones de cualquier duración</w:t>
      </w:r>
      <w:r w:rsidRPr="007E56EE">
        <w:rPr>
          <w:rFonts w:ascii="Bookman Old Style" w:hAnsi="Bookman Old Style"/>
          <w:b/>
          <w:bCs/>
          <w:sz w:val="24"/>
          <w:szCs w:val="24"/>
        </w:rPr>
        <w:t>.</w:t>
      </w:r>
      <w:r w:rsidRPr="007E56EE">
        <w:rPr>
          <w:rFonts w:ascii="Bookman Old Style" w:hAnsi="Bookman Old Style"/>
          <w:sz w:val="24"/>
          <w:szCs w:val="24"/>
        </w:rPr>
        <w:t xml:space="preserve"> </w:t>
      </w:r>
      <w:r w:rsidRPr="007E56EE">
        <w:rPr>
          <w:rFonts w:ascii="Bookman Old Style" w:hAnsi="Bookman Old Style"/>
          <w:b/>
          <w:bCs/>
          <w:sz w:val="24"/>
          <w:szCs w:val="24"/>
        </w:rPr>
        <w:t xml:space="preserve">En el caso de los </w:t>
      </w:r>
      <w:r w:rsidR="00BB5E19" w:rsidRPr="007E56EE">
        <w:rPr>
          <w:rFonts w:ascii="Bookman Old Style" w:hAnsi="Bookman Old Style"/>
          <w:b/>
          <w:bCs/>
          <w:sz w:val="24"/>
          <w:szCs w:val="24"/>
        </w:rPr>
        <w:t>V</w:t>
      </w:r>
      <w:r w:rsidRPr="007E56EE">
        <w:rPr>
          <w:rFonts w:ascii="Bookman Old Style" w:hAnsi="Bookman Old Style"/>
          <w:b/>
          <w:bCs/>
          <w:sz w:val="24"/>
          <w:szCs w:val="24"/>
        </w:rPr>
        <w:t xml:space="preserve">endedores del </w:t>
      </w:r>
      <w:r w:rsidR="00087D29">
        <w:rPr>
          <w:rFonts w:ascii="Bookman Old Style" w:hAnsi="Bookman Old Style"/>
          <w:b/>
          <w:bCs/>
          <w:sz w:val="24"/>
          <w:szCs w:val="24"/>
        </w:rPr>
        <w:t>a</w:t>
      </w:r>
      <w:r w:rsidRPr="007E56EE">
        <w:rPr>
          <w:rFonts w:ascii="Bookman Old Style" w:hAnsi="Bookman Old Style"/>
          <w:b/>
          <w:bCs/>
          <w:sz w:val="24"/>
          <w:szCs w:val="24"/>
        </w:rPr>
        <w:t xml:space="preserve">rtículo </w:t>
      </w:r>
      <w:r w:rsidR="009A71C9" w:rsidRPr="007E56EE">
        <w:rPr>
          <w:rFonts w:ascii="Bookman Old Style" w:hAnsi="Bookman Old Style"/>
          <w:b/>
          <w:bCs/>
          <w:sz w:val="24"/>
          <w:szCs w:val="24"/>
        </w:rPr>
        <w:t xml:space="preserve">29 </w:t>
      </w:r>
      <w:r w:rsidRPr="007E56EE">
        <w:rPr>
          <w:rFonts w:ascii="Bookman Old Style" w:hAnsi="Bookman Old Style"/>
          <w:b/>
          <w:bCs/>
          <w:sz w:val="24"/>
          <w:szCs w:val="24"/>
        </w:rPr>
        <w:t>de la presente resolución</w:t>
      </w:r>
      <w:r w:rsidR="0002303F" w:rsidRPr="007E56EE">
        <w:rPr>
          <w:rFonts w:ascii="Bookman Old Style" w:hAnsi="Bookman Old Style"/>
          <w:b/>
          <w:bCs/>
          <w:sz w:val="24"/>
          <w:szCs w:val="24"/>
        </w:rPr>
        <w:t xml:space="preserve"> y de las fuentes de suministro en pruebas o sin declaración de comercialidad</w:t>
      </w:r>
      <w:r w:rsidR="00213720" w:rsidRPr="007E56EE">
        <w:rPr>
          <w:rFonts w:ascii="Bookman Old Style" w:hAnsi="Bookman Old Style"/>
          <w:b/>
          <w:bCs/>
          <w:sz w:val="24"/>
          <w:szCs w:val="24"/>
        </w:rPr>
        <w:t>,</w:t>
      </w:r>
      <w:r w:rsidRPr="007E56EE">
        <w:rPr>
          <w:rFonts w:ascii="Bookman Old Style" w:hAnsi="Bookman Old Style"/>
          <w:b/>
          <w:bCs/>
          <w:sz w:val="24"/>
          <w:szCs w:val="24"/>
        </w:rPr>
        <w:t xml:space="preserve"> el contrato que suscriban deberá tener una duración mínima de un (1) mes y máxima de doce (12) meses. En cualquier caso, su ejecución deberá iniciar antes de la finalización del año de gas en que se realice el registro</w:t>
      </w:r>
      <w:r w:rsidR="00BB5A33">
        <w:rPr>
          <w:rFonts w:ascii="Bookman Old Style" w:hAnsi="Bookman Old Style"/>
          <w:b/>
          <w:bCs/>
          <w:sz w:val="24"/>
          <w:szCs w:val="24"/>
        </w:rPr>
        <w:t xml:space="preserve"> ante el Gestor del Mercado</w:t>
      </w:r>
      <w:r w:rsidRPr="007E56EE">
        <w:rPr>
          <w:rFonts w:ascii="Bookman Old Style" w:hAnsi="Bookman Old Style"/>
          <w:b/>
          <w:bCs/>
          <w:sz w:val="24"/>
          <w:szCs w:val="24"/>
        </w:rPr>
        <w:t>, comprendido entre el 1 de diciembre y el 30 de noviembre del año calendario siguiente</w:t>
      </w:r>
      <w:r w:rsidR="00043640">
        <w:rPr>
          <w:rFonts w:ascii="Bookman Old Style" w:hAnsi="Bookman Old Style"/>
          <w:b/>
          <w:bCs/>
          <w:sz w:val="24"/>
          <w:szCs w:val="24"/>
        </w:rPr>
        <w:t>, excepto para los contratos registrados en el mes de noviembre de un año de gas para su ejecución en el mes de diciembre siguiente</w:t>
      </w:r>
      <w:r w:rsidRPr="007E56EE">
        <w:rPr>
          <w:rFonts w:ascii="Bookman Old Style" w:hAnsi="Bookman Old Style"/>
          <w:b/>
          <w:bCs/>
          <w:sz w:val="24"/>
          <w:szCs w:val="24"/>
        </w:rPr>
        <w:t>.</w:t>
      </w:r>
    </w:p>
    <w:p w14:paraId="1BFB9C7F" w14:textId="77777777" w:rsidR="0006302B" w:rsidRPr="007E56EE" w:rsidRDefault="0006302B" w:rsidP="00202051">
      <w:pPr>
        <w:pStyle w:val="Prrafodelista"/>
        <w:ind w:left="567" w:hanging="425"/>
        <w:jc w:val="both"/>
        <w:rPr>
          <w:rFonts w:ascii="Bookman Old Style" w:hAnsi="Bookman Old Style"/>
        </w:rPr>
      </w:pPr>
    </w:p>
    <w:p w14:paraId="1EAF7208" w14:textId="199BAC77" w:rsidR="0006302B" w:rsidRPr="007E56EE" w:rsidRDefault="0006302B" w:rsidP="00A4790E">
      <w:pPr>
        <w:pStyle w:val="Prrafodelista"/>
        <w:numPr>
          <w:ilvl w:val="0"/>
          <w:numId w:val="63"/>
        </w:numPr>
        <w:ind w:left="567" w:hanging="425"/>
        <w:jc w:val="both"/>
        <w:rPr>
          <w:rFonts w:ascii="Bookman Old Style" w:hAnsi="Bookman Old Style"/>
        </w:rPr>
      </w:pPr>
      <w:r w:rsidRPr="007E56EE">
        <w:rPr>
          <w:rFonts w:ascii="Bookman Old Style" w:hAnsi="Bookman Old Style"/>
          <w:sz w:val="24"/>
          <w:szCs w:val="24"/>
        </w:rPr>
        <w:lastRenderedPageBreak/>
        <w:t xml:space="preserve">Precio: las partes deberán pactar un precio único </w:t>
      </w:r>
      <w:r w:rsidR="00E37876" w:rsidRPr="007E56EE">
        <w:rPr>
          <w:rFonts w:ascii="Bookman Old Style" w:hAnsi="Bookman Old Style"/>
          <w:b/>
          <w:bCs/>
          <w:sz w:val="24"/>
          <w:szCs w:val="24"/>
        </w:rPr>
        <w:t>máximo</w:t>
      </w:r>
      <w:r w:rsidR="00E37876" w:rsidRPr="007E56EE">
        <w:rPr>
          <w:rFonts w:ascii="Bookman Old Style" w:hAnsi="Bookman Old Style"/>
          <w:sz w:val="24"/>
          <w:szCs w:val="24"/>
        </w:rPr>
        <w:t xml:space="preserve"> </w:t>
      </w:r>
      <w:r w:rsidRPr="007E56EE">
        <w:rPr>
          <w:rFonts w:ascii="Bookman Old Style" w:hAnsi="Bookman Old Style"/>
          <w:sz w:val="24"/>
          <w:szCs w:val="24"/>
        </w:rPr>
        <w:t>expresado en dólares de los Estados Unidos de América por MBTU</w:t>
      </w:r>
      <w:r w:rsidR="00E22BC2" w:rsidRPr="007E56EE">
        <w:rPr>
          <w:rFonts w:ascii="Bookman Old Style" w:hAnsi="Bookman Old Style"/>
          <w:sz w:val="24"/>
          <w:szCs w:val="24"/>
        </w:rPr>
        <w:t>,</w:t>
      </w:r>
      <w:r w:rsidRPr="007E56EE">
        <w:rPr>
          <w:rFonts w:ascii="Bookman Old Style" w:hAnsi="Bookman Old Style"/>
          <w:sz w:val="24"/>
          <w:szCs w:val="24"/>
        </w:rPr>
        <w:t xml:space="preserve"> y </w:t>
      </w:r>
      <w:r w:rsidRPr="0006376E">
        <w:rPr>
          <w:rFonts w:ascii="Bookman Old Style" w:hAnsi="Bookman Old Style"/>
          <w:sz w:val="24"/>
          <w:szCs w:val="24"/>
        </w:rPr>
        <w:t xml:space="preserve">no </w:t>
      </w:r>
      <w:r w:rsidR="0006376E" w:rsidRPr="00295053">
        <w:rPr>
          <w:rFonts w:ascii="Bookman Old Style" w:hAnsi="Bookman Old Style"/>
          <w:sz w:val="24"/>
          <w:szCs w:val="24"/>
        </w:rPr>
        <w:t>se actualizará</w:t>
      </w:r>
      <w:r w:rsidRPr="007E56EE">
        <w:rPr>
          <w:rFonts w:ascii="Bookman Old Style" w:hAnsi="Bookman Old Style"/>
          <w:sz w:val="24"/>
          <w:szCs w:val="24"/>
        </w:rPr>
        <w:t xml:space="preserve"> durante el plazo de duración del contrato. </w:t>
      </w:r>
    </w:p>
    <w:p w14:paraId="4BB651BB" w14:textId="77777777" w:rsidR="0006302B" w:rsidRPr="007E56EE" w:rsidRDefault="0006302B" w:rsidP="00202051">
      <w:pPr>
        <w:pStyle w:val="Prrafodelista"/>
        <w:ind w:left="567" w:hanging="425"/>
        <w:rPr>
          <w:rFonts w:ascii="Bookman Old Style" w:hAnsi="Bookman Old Style"/>
        </w:rPr>
      </w:pPr>
    </w:p>
    <w:p w14:paraId="2C6A4EF2" w14:textId="77777777" w:rsidR="0006302B" w:rsidRPr="00424554" w:rsidRDefault="0006302B" w:rsidP="00A4790E">
      <w:pPr>
        <w:pStyle w:val="Prrafodelista"/>
        <w:numPr>
          <w:ilvl w:val="0"/>
          <w:numId w:val="63"/>
        </w:numPr>
        <w:ind w:left="567" w:hanging="425"/>
        <w:jc w:val="both"/>
        <w:rPr>
          <w:rFonts w:ascii="Bookman Old Style" w:hAnsi="Bookman Old Style"/>
        </w:rPr>
      </w:pPr>
      <w:r w:rsidRPr="007E56EE">
        <w:rPr>
          <w:rFonts w:ascii="Bookman Old Style" w:hAnsi="Bookman Old Style"/>
          <w:sz w:val="24"/>
          <w:szCs w:val="24"/>
        </w:rPr>
        <w:t>Cantidades: las partes deberán acordar la cantidad máxima contratada</w:t>
      </w:r>
      <w:r w:rsidRPr="00424554">
        <w:rPr>
          <w:rFonts w:ascii="Bookman Old Style" w:hAnsi="Bookman Old Style"/>
          <w:sz w:val="24"/>
          <w:szCs w:val="24"/>
        </w:rPr>
        <w:t xml:space="preserve"> en MBTUD. </w:t>
      </w:r>
    </w:p>
    <w:p w14:paraId="056375DB" w14:textId="77777777" w:rsidR="0006302B" w:rsidRPr="00901472" w:rsidRDefault="0006302B" w:rsidP="00202051">
      <w:pPr>
        <w:pStyle w:val="Prrafodelista"/>
        <w:ind w:left="567" w:hanging="425"/>
        <w:rPr>
          <w:rFonts w:ascii="Bookman Old Style" w:hAnsi="Bookman Old Style"/>
        </w:rPr>
      </w:pPr>
    </w:p>
    <w:p w14:paraId="53AD012A" w14:textId="77777777" w:rsidR="0006302B" w:rsidRPr="0013707D" w:rsidRDefault="0006302B" w:rsidP="00A4790E">
      <w:pPr>
        <w:pStyle w:val="Prrafodelista"/>
        <w:numPr>
          <w:ilvl w:val="0"/>
          <w:numId w:val="63"/>
        </w:numPr>
        <w:ind w:left="567" w:hanging="425"/>
        <w:jc w:val="both"/>
        <w:rPr>
          <w:rFonts w:ascii="Bookman Old Style" w:hAnsi="Bookman Old Style"/>
          <w:sz w:val="24"/>
          <w:szCs w:val="24"/>
        </w:rPr>
      </w:pPr>
      <w:r w:rsidRPr="00C5746C">
        <w:rPr>
          <w:rFonts w:ascii="Bookman Old Style" w:hAnsi="Bookman Old Style"/>
          <w:sz w:val="24"/>
          <w:szCs w:val="24"/>
        </w:rPr>
        <w:t>Ejecución</w:t>
      </w:r>
      <w:r w:rsidRPr="0013707D">
        <w:rPr>
          <w:rFonts w:ascii="Bookman Old Style" w:hAnsi="Bookman Old Style"/>
          <w:sz w:val="24"/>
          <w:szCs w:val="24"/>
        </w:rPr>
        <w:t>:</w:t>
      </w:r>
    </w:p>
    <w:p w14:paraId="2F128159" w14:textId="77777777" w:rsidR="0006302B" w:rsidRPr="0013707D" w:rsidRDefault="0006302B" w:rsidP="0006302B">
      <w:pPr>
        <w:pStyle w:val="Prrafodelista"/>
        <w:rPr>
          <w:rFonts w:ascii="Bookman Old Style" w:hAnsi="Bookman Old Style"/>
          <w:sz w:val="24"/>
          <w:szCs w:val="24"/>
        </w:rPr>
      </w:pPr>
    </w:p>
    <w:p w14:paraId="73F90C0B" w14:textId="77777777" w:rsidR="0006302B" w:rsidRPr="0013707D" w:rsidRDefault="0006302B" w:rsidP="00A4790E">
      <w:pPr>
        <w:pStyle w:val="Prrafodelista"/>
        <w:numPr>
          <w:ilvl w:val="1"/>
          <w:numId w:val="62"/>
        </w:numPr>
        <w:ind w:left="851" w:hanging="284"/>
        <w:jc w:val="both"/>
        <w:rPr>
          <w:rFonts w:ascii="Bookman Old Style" w:hAnsi="Bookman Old Style"/>
          <w:sz w:val="24"/>
          <w:szCs w:val="24"/>
        </w:rPr>
      </w:pPr>
      <w:r w:rsidRPr="0013707D">
        <w:rPr>
          <w:rFonts w:ascii="Bookman Old Style" w:hAnsi="Bookman Old Style"/>
          <w:sz w:val="24"/>
          <w:szCs w:val="24"/>
        </w:rPr>
        <w:t xml:space="preserve">En el día D-1, antes del inicio del ciclo de nominación de suministro, las partes fijarán </w:t>
      </w:r>
      <w:r>
        <w:rPr>
          <w:rFonts w:ascii="Bookman Old Style" w:hAnsi="Bookman Old Style"/>
          <w:b/>
          <w:bCs/>
          <w:sz w:val="24"/>
          <w:szCs w:val="24"/>
        </w:rPr>
        <w:t xml:space="preserve">previamente </w:t>
      </w:r>
      <w:r w:rsidRPr="0013707D">
        <w:rPr>
          <w:rFonts w:ascii="Bookman Old Style" w:hAnsi="Bookman Old Style"/>
          <w:sz w:val="24"/>
          <w:szCs w:val="24"/>
        </w:rPr>
        <w:t xml:space="preserve">la cantidad de gas en MBTU a entregar por parte del </w:t>
      </w:r>
      <w:r>
        <w:rPr>
          <w:rFonts w:ascii="Bookman Old Style" w:hAnsi="Bookman Old Style"/>
          <w:sz w:val="24"/>
          <w:szCs w:val="24"/>
        </w:rPr>
        <w:t>vendedor</w:t>
      </w:r>
      <w:r w:rsidRPr="0013707D">
        <w:rPr>
          <w:rFonts w:ascii="Bookman Old Style" w:hAnsi="Bookman Old Style"/>
          <w:sz w:val="24"/>
          <w:szCs w:val="24"/>
        </w:rPr>
        <w:t xml:space="preserve"> durante el día de gas y los puntos de entrega. El </w:t>
      </w:r>
      <w:r>
        <w:rPr>
          <w:rFonts w:ascii="Bookman Old Style" w:hAnsi="Bookman Old Style"/>
          <w:sz w:val="24"/>
          <w:szCs w:val="24"/>
        </w:rPr>
        <w:t>vendedor</w:t>
      </w:r>
      <w:r w:rsidRPr="0013707D">
        <w:rPr>
          <w:rFonts w:ascii="Bookman Old Style" w:hAnsi="Bookman Old Style"/>
          <w:sz w:val="24"/>
          <w:szCs w:val="24"/>
        </w:rPr>
        <w:t xml:space="preserve"> </w:t>
      </w:r>
      <w:r>
        <w:rPr>
          <w:rFonts w:ascii="Bookman Old Style" w:hAnsi="Bookman Old Style"/>
          <w:b/>
          <w:bCs/>
          <w:sz w:val="24"/>
          <w:szCs w:val="24"/>
        </w:rPr>
        <w:t xml:space="preserve">del Mercado Primario y/o el Vendedor del Mercado Secundario </w:t>
      </w:r>
      <w:r w:rsidRPr="0013707D">
        <w:rPr>
          <w:rFonts w:ascii="Bookman Old Style" w:hAnsi="Bookman Old Style"/>
          <w:sz w:val="24"/>
          <w:szCs w:val="24"/>
        </w:rPr>
        <w:t>tendrá</w:t>
      </w:r>
      <w:r>
        <w:rPr>
          <w:rFonts w:ascii="Bookman Old Style" w:hAnsi="Bookman Old Style"/>
          <w:sz w:val="24"/>
          <w:szCs w:val="24"/>
        </w:rPr>
        <w:t>n</w:t>
      </w:r>
      <w:r w:rsidRPr="0013707D">
        <w:rPr>
          <w:rFonts w:ascii="Bookman Old Style" w:hAnsi="Bookman Old Style"/>
          <w:sz w:val="24"/>
          <w:szCs w:val="24"/>
        </w:rPr>
        <w:t xml:space="preserve"> en cuenta esta información para realizar la nominación para el día de gas.  </w:t>
      </w:r>
    </w:p>
    <w:p w14:paraId="34500499" w14:textId="77777777" w:rsidR="0006302B" w:rsidRPr="0013707D" w:rsidRDefault="0006302B" w:rsidP="00202051">
      <w:pPr>
        <w:pStyle w:val="Prrafodelista"/>
        <w:ind w:left="851" w:hanging="284"/>
        <w:jc w:val="both"/>
        <w:rPr>
          <w:rFonts w:ascii="Bookman Old Style" w:hAnsi="Bookman Old Style"/>
          <w:sz w:val="24"/>
          <w:szCs w:val="24"/>
        </w:rPr>
      </w:pPr>
    </w:p>
    <w:p w14:paraId="7CCD2C22" w14:textId="1A287598" w:rsidR="0006302B" w:rsidRPr="0013707D" w:rsidRDefault="0006302B" w:rsidP="00A4790E">
      <w:pPr>
        <w:pStyle w:val="Prrafodelista"/>
        <w:numPr>
          <w:ilvl w:val="1"/>
          <w:numId w:val="62"/>
        </w:numPr>
        <w:ind w:left="851" w:hanging="284"/>
        <w:jc w:val="both"/>
        <w:rPr>
          <w:rFonts w:ascii="Bookman Old Style" w:hAnsi="Bookman Old Style"/>
          <w:sz w:val="24"/>
          <w:szCs w:val="24"/>
        </w:rPr>
      </w:pPr>
      <w:r w:rsidRPr="0013707D">
        <w:rPr>
          <w:rFonts w:ascii="Bookman Old Style" w:hAnsi="Bookman Old Style"/>
          <w:sz w:val="24"/>
          <w:szCs w:val="24"/>
        </w:rPr>
        <w:t>Durante el día de gas las partes</w:t>
      </w:r>
      <w:r>
        <w:rPr>
          <w:rFonts w:ascii="Bookman Old Style" w:hAnsi="Bookman Old Style"/>
          <w:b/>
          <w:bCs/>
          <w:sz w:val="24"/>
          <w:szCs w:val="24"/>
        </w:rPr>
        <w:t xml:space="preserve"> en los Contratos con Interrupciones </w:t>
      </w:r>
      <w:r w:rsidRPr="0013707D">
        <w:rPr>
          <w:rFonts w:ascii="Bookman Old Style" w:hAnsi="Bookman Old Style"/>
          <w:sz w:val="24"/>
          <w:szCs w:val="24"/>
        </w:rPr>
        <w:t xml:space="preserve">podrán acordar modificar las cantidades y los puntos de entrega, en todo caso sujeto al proceso de </w:t>
      </w:r>
      <w:proofErr w:type="spellStart"/>
      <w:r w:rsidRPr="0013707D">
        <w:rPr>
          <w:rFonts w:ascii="Bookman Old Style" w:hAnsi="Bookman Old Style"/>
          <w:sz w:val="24"/>
          <w:szCs w:val="24"/>
        </w:rPr>
        <w:t>renominaciones</w:t>
      </w:r>
      <w:proofErr w:type="spellEnd"/>
      <w:r w:rsidRPr="0013707D">
        <w:rPr>
          <w:rFonts w:ascii="Bookman Old Style" w:hAnsi="Bookman Old Style"/>
          <w:sz w:val="24"/>
          <w:szCs w:val="24"/>
        </w:rPr>
        <w:t>.</w:t>
      </w:r>
    </w:p>
    <w:p w14:paraId="66230A49" w14:textId="77777777" w:rsidR="0006302B" w:rsidRPr="0013707D" w:rsidRDefault="0006302B" w:rsidP="00202051">
      <w:pPr>
        <w:pStyle w:val="Prrafodelista"/>
        <w:ind w:left="851" w:hanging="284"/>
        <w:jc w:val="both"/>
        <w:rPr>
          <w:rFonts w:ascii="Bookman Old Style" w:hAnsi="Bookman Old Style"/>
          <w:sz w:val="24"/>
          <w:szCs w:val="24"/>
        </w:rPr>
      </w:pPr>
    </w:p>
    <w:p w14:paraId="694E8F20" w14:textId="01B6BB4E" w:rsidR="0006302B" w:rsidRPr="00C95C21" w:rsidRDefault="0006302B" w:rsidP="00A4790E">
      <w:pPr>
        <w:pStyle w:val="Prrafodelista"/>
        <w:numPr>
          <w:ilvl w:val="1"/>
          <w:numId w:val="62"/>
        </w:numPr>
        <w:ind w:left="851" w:hanging="284"/>
        <w:jc w:val="both"/>
        <w:rPr>
          <w:rFonts w:ascii="Bookman Old Style" w:hAnsi="Bookman Old Style"/>
          <w:sz w:val="24"/>
          <w:szCs w:val="24"/>
        </w:rPr>
      </w:pPr>
      <w:r w:rsidRPr="00C95C21">
        <w:rPr>
          <w:rFonts w:ascii="Bookman Old Style" w:hAnsi="Bookman Old Style"/>
          <w:sz w:val="24"/>
          <w:szCs w:val="24"/>
        </w:rPr>
        <w:t>Durante el día D+1 las partes determinarán las cantidades de gas en MBTU autorizadas por el vendedor durante el día de gas y liquidarán el valor total</w:t>
      </w:r>
      <w:r>
        <w:rPr>
          <w:rFonts w:ascii="Bookman Old Style" w:hAnsi="Bookman Old Style"/>
          <w:sz w:val="24"/>
          <w:szCs w:val="24"/>
        </w:rPr>
        <w:t xml:space="preserve"> </w:t>
      </w:r>
      <w:r>
        <w:rPr>
          <w:rFonts w:ascii="Bookman Old Style" w:hAnsi="Bookman Old Style"/>
          <w:b/>
          <w:bCs/>
          <w:sz w:val="24"/>
          <w:szCs w:val="24"/>
        </w:rPr>
        <w:t xml:space="preserve">por </w:t>
      </w:r>
      <w:r w:rsidR="00A54C49">
        <w:rPr>
          <w:rFonts w:ascii="Bookman Old Style" w:hAnsi="Bookman Old Style"/>
          <w:b/>
          <w:bCs/>
          <w:sz w:val="24"/>
          <w:szCs w:val="24"/>
        </w:rPr>
        <w:t>Punto de Entrega</w:t>
      </w:r>
      <w:r>
        <w:rPr>
          <w:rFonts w:ascii="Bookman Old Style" w:hAnsi="Bookman Old Style"/>
          <w:b/>
          <w:bCs/>
          <w:sz w:val="24"/>
          <w:szCs w:val="24"/>
        </w:rPr>
        <w:t xml:space="preserve"> o </w:t>
      </w:r>
      <w:r w:rsidRPr="00C95C21">
        <w:rPr>
          <w:rFonts w:ascii="Bookman Old Style" w:hAnsi="Bookman Old Style"/>
          <w:sz w:val="24"/>
          <w:szCs w:val="24"/>
        </w:rPr>
        <w:t xml:space="preserve">por </w:t>
      </w:r>
      <w:r>
        <w:rPr>
          <w:rFonts w:ascii="Bookman Old Style" w:hAnsi="Bookman Old Style"/>
          <w:sz w:val="24"/>
          <w:szCs w:val="24"/>
        </w:rPr>
        <w:t>P</w:t>
      </w:r>
      <w:r w:rsidRPr="00C95C21">
        <w:rPr>
          <w:rFonts w:ascii="Bookman Old Style" w:hAnsi="Bookman Old Style"/>
          <w:sz w:val="24"/>
          <w:szCs w:val="24"/>
        </w:rPr>
        <w:t xml:space="preserve">unto estándar de entrega </w:t>
      </w:r>
      <w:r>
        <w:rPr>
          <w:rFonts w:ascii="Bookman Old Style" w:hAnsi="Bookman Old Style"/>
          <w:b/>
          <w:bCs/>
          <w:sz w:val="24"/>
          <w:szCs w:val="24"/>
        </w:rPr>
        <w:t xml:space="preserve">según corresponda a Mercado Primario o Mercado Secundario, </w:t>
      </w:r>
      <w:r w:rsidRPr="00C95C21">
        <w:rPr>
          <w:rFonts w:ascii="Bookman Old Style" w:hAnsi="Bookman Old Style"/>
          <w:sz w:val="24"/>
          <w:szCs w:val="24"/>
        </w:rPr>
        <w:t xml:space="preserve">de esas cantidades, en dólares de los Estados Unidos de América. La cantidad autorizada </w:t>
      </w:r>
      <w:r>
        <w:rPr>
          <w:rFonts w:ascii="Bookman Old Style" w:hAnsi="Bookman Old Style"/>
          <w:b/>
          <w:bCs/>
          <w:sz w:val="24"/>
          <w:szCs w:val="24"/>
        </w:rPr>
        <w:t xml:space="preserve">en los Contratos con Interrupciones </w:t>
      </w:r>
      <w:r w:rsidRPr="00C95C21">
        <w:rPr>
          <w:rFonts w:ascii="Bookman Old Style" w:hAnsi="Bookman Old Style"/>
          <w:sz w:val="24"/>
          <w:szCs w:val="24"/>
        </w:rPr>
        <w:t xml:space="preserve">es aquella </w:t>
      </w:r>
      <w:r w:rsidR="009B42E2">
        <w:rPr>
          <w:rFonts w:ascii="Bookman Old Style" w:hAnsi="Bookman Old Style"/>
          <w:b/>
          <w:bCs/>
          <w:sz w:val="24"/>
          <w:szCs w:val="24"/>
        </w:rPr>
        <w:t>aceptada</w:t>
      </w:r>
      <w:r>
        <w:rPr>
          <w:rFonts w:ascii="Bookman Old Style" w:hAnsi="Bookman Old Style"/>
          <w:b/>
          <w:bCs/>
          <w:sz w:val="24"/>
          <w:szCs w:val="24"/>
        </w:rPr>
        <w:t xml:space="preserve"> por parte de los Vendedores del Mercado y </w:t>
      </w:r>
      <w:r w:rsidRPr="00C95C21">
        <w:rPr>
          <w:rFonts w:ascii="Bookman Old Style" w:hAnsi="Bookman Old Style"/>
          <w:sz w:val="24"/>
          <w:szCs w:val="24"/>
        </w:rPr>
        <w:t>sobre la cual se realiza la facturación por parte del vendedor al comprador.</w:t>
      </w:r>
    </w:p>
    <w:p w14:paraId="05D59B17" w14:textId="77777777" w:rsidR="0006302B" w:rsidRPr="008E4844" w:rsidRDefault="0006302B" w:rsidP="0006302B">
      <w:pPr>
        <w:pStyle w:val="Prrafodelista"/>
        <w:ind w:left="993"/>
        <w:rPr>
          <w:rFonts w:ascii="Bookman Old Style" w:hAnsi="Bookman Old Style"/>
          <w:strike/>
          <w:sz w:val="22"/>
          <w:szCs w:val="22"/>
        </w:rPr>
      </w:pPr>
    </w:p>
    <w:p w14:paraId="6EAB7A60" w14:textId="6CFDD77A" w:rsidR="0006302B" w:rsidRPr="0013707D" w:rsidRDefault="0006302B" w:rsidP="00A4790E">
      <w:pPr>
        <w:pStyle w:val="Prrafodelista"/>
        <w:numPr>
          <w:ilvl w:val="0"/>
          <w:numId w:val="63"/>
        </w:numPr>
        <w:ind w:left="567" w:hanging="425"/>
        <w:jc w:val="both"/>
        <w:rPr>
          <w:rFonts w:ascii="Bookman Old Style" w:hAnsi="Bookman Old Style"/>
        </w:rPr>
      </w:pPr>
      <w:r w:rsidRPr="0013707D">
        <w:rPr>
          <w:rFonts w:ascii="Bookman Old Style" w:hAnsi="Bookman Old Style"/>
          <w:sz w:val="24"/>
          <w:szCs w:val="24"/>
        </w:rPr>
        <w:t xml:space="preserve">Reporte de información al </w:t>
      </w:r>
      <w:r w:rsidR="00A54A51" w:rsidRPr="002D5416">
        <w:rPr>
          <w:rFonts w:ascii="Bookman Old Style" w:hAnsi="Bookman Old Style"/>
          <w:sz w:val="24"/>
          <w:szCs w:val="24"/>
          <w:u w:color="FF0000"/>
        </w:rPr>
        <w:t>Gestor</w:t>
      </w:r>
      <w:r w:rsidR="00A54A51" w:rsidRPr="002D5416" w:rsidDel="00A54A51">
        <w:rPr>
          <w:rFonts w:ascii="Bookman Old Style" w:hAnsi="Bookman Old Style"/>
          <w:color w:val="FF0000"/>
          <w:sz w:val="28"/>
          <w:szCs w:val="24"/>
          <w:u w:color="FF0000"/>
        </w:rPr>
        <w:t xml:space="preserve"> </w:t>
      </w:r>
      <w:r>
        <w:rPr>
          <w:rFonts w:ascii="Bookman Old Style" w:hAnsi="Bookman Old Style"/>
          <w:sz w:val="24"/>
          <w:szCs w:val="24"/>
        </w:rPr>
        <w:t>del Mercado</w:t>
      </w:r>
      <w:r w:rsidRPr="0013707D">
        <w:rPr>
          <w:rFonts w:ascii="Bookman Old Style" w:hAnsi="Bookman Old Style"/>
          <w:sz w:val="24"/>
          <w:szCs w:val="24"/>
        </w:rPr>
        <w:t xml:space="preserve">: </w:t>
      </w:r>
    </w:p>
    <w:p w14:paraId="4382977B" w14:textId="77777777" w:rsidR="0006302B" w:rsidRPr="00901472" w:rsidRDefault="0006302B" w:rsidP="0006302B">
      <w:pPr>
        <w:ind w:left="0"/>
        <w:rPr>
          <w:rFonts w:ascii="Bookman Old Style" w:hAnsi="Bookman Old Style"/>
          <w:sz w:val="22"/>
          <w:szCs w:val="22"/>
          <w:lang w:val="es-CO"/>
        </w:rPr>
      </w:pPr>
    </w:p>
    <w:p w14:paraId="03FA2506" w14:textId="0E0EBA0F" w:rsidR="0006302B" w:rsidRPr="00A54A51" w:rsidRDefault="0006302B" w:rsidP="000A17B3">
      <w:pPr>
        <w:pStyle w:val="Prrafodelista"/>
        <w:numPr>
          <w:ilvl w:val="0"/>
          <w:numId w:val="64"/>
        </w:numPr>
        <w:ind w:left="851" w:hanging="425"/>
        <w:jc w:val="both"/>
        <w:rPr>
          <w:rFonts w:ascii="Bookman Old Style" w:hAnsi="Bookman Old Style"/>
          <w:sz w:val="24"/>
          <w:szCs w:val="24"/>
        </w:rPr>
      </w:pPr>
      <w:r w:rsidRPr="0013707D">
        <w:rPr>
          <w:rFonts w:ascii="Bookman Old Style" w:hAnsi="Bookman Old Style"/>
          <w:sz w:val="24"/>
          <w:szCs w:val="24"/>
        </w:rPr>
        <w:t xml:space="preserve">Información del contrato: las partes deberán reportar </w:t>
      </w:r>
      <w:r w:rsidRPr="00A54A51">
        <w:rPr>
          <w:rFonts w:ascii="Bookman Old Style" w:hAnsi="Bookman Old Style"/>
          <w:sz w:val="24"/>
          <w:szCs w:val="24"/>
        </w:rPr>
        <w:t xml:space="preserve">al </w:t>
      </w:r>
      <w:r w:rsidR="00A54A51" w:rsidRPr="00A54A51">
        <w:rPr>
          <w:rFonts w:ascii="Bookman Old Style" w:hAnsi="Bookman Old Style"/>
          <w:sz w:val="24"/>
          <w:szCs w:val="24"/>
          <w:u w:color="FF0000"/>
        </w:rPr>
        <w:t>Gestor</w:t>
      </w:r>
      <w:r w:rsidR="00A54A51" w:rsidRPr="002D5416" w:rsidDel="00A54A51">
        <w:rPr>
          <w:rFonts w:ascii="Bookman Old Style" w:hAnsi="Bookman Old Style"/>
          <w:color w:val="FF0000"/>
          <w:sz w:val="28"/>
          <w:szCs w:val="24"/>
          <w:u w:color="FF0000"/>
        </w:rPr>
        <w:t xml:space="preserve"> </w:t>
      </w:r>
      <w:r w:rsidRPr="00A54A51">
        <w:rPr>
          <w:rFonts w:ascii="Bookman Old Style" w:hAnsi="Bookman Old Style"/>
          <w:sz w:val="24"/>
          <w:szCs w:val="24"/>
        </w:rPr>
        <w:t xml:space="preserve">del Mercado la información de los contratos </w:t>
      </w:r>
      <w:r w:rsidR="00E80BD2" w:rsidRPr="00A54A51">
        <w:rPr>
          <w:rFonts w:ascii="Bookman Old Style" w:hAnsi="Bookman Old Style"/>
          <w:b/>
          <w:bCs/>
          <w:sz w:val="24"/>
          <w:szCs w:val="24"/>
        </w:rPr>
        <w:t>con interrupciones</w:t>
      </w:r>
      <w:r w:rsidR="00E80BD2" w:rsidRPr="00A54A51">
        <w:rPr>
          <w:rFonts w:ascii="Bookman Old Style" w:hAnsi="Bookman Old Style"/>
          <w:sz w:val="24"/>
          <w:szCs w:val="24"/>
        </w:rPr>
        <w:t xml:space="preserve"> </w:t>
      </w:r>
      <w:r w:rsidRPr="00A54A51">
        <w:rPr>
          <w:rFonts w:ascii="Bookman Old Style" w:hAnsi="Bookman Old Style"/>
          <w:sz w:val="24"/>
          <w:szCs w:val="24"/>
        </w:rPr>
        <w:t xml:space="preserve">según lo dispuesto en el </w:t>
      </w:r>
      <w:r w:rsidRPr="00A54A51">
        <w:rPr>
          <w:rFonts w:ascii="Bookman Old Style" w:hAnsi="Bookman Old Style"/>
          <w:sz w:val="24"/>
          <w:szCs w:val="24"/>
          <w:lang w:val="es-ES"/>
        </w:rPr>
        <w:fldChar w:fldCharType="begin"/>
      </w:r>
      <w:r w:rsidRPr="00A54A51">
        <w:rPr>
          <w:rFonts w:ascii="Bookman Old Style" w:hAnsi="Bookman Old Style"/>
          <w:sz w:val="24"/>
          <w:szCs w:val="24"/>
          <w:lang w:val="es-ES"/>
        </w:rPr>
        <w:instrText xml:space="preserve"> REF _Ref55316068 \h  \* MERGEFORMAT </w:instrText>
      </w:r>
      <w:r w:rsidRPr="00A54A51">
        <w:rPr>
          <w:rFonts w:ascii="Bookman Old Style" w:hAnsi="Bookman Old Style"/>
          <w:sz w:val="24"/>
          <w:szCs w:val="24"/>
          <w:lang w:val="es-ES"/>
        </w:rPr>
      </w:r>
      <w:r w:rsidRPr="00A54A51">
        <w:rPr>
          <w:rFonts w:ascii="Bookman Old Style" w:hAnsi="Bookman Old Style"/>
          <w:sz w:val="24"/>
          <w:szCs w:val="24"/>
          <w:lang w:val="es-ES"/>
        </w:rPr>
        <w:fldChar w:fldCharType="separate"/>
      </w:r>
      <w:r w:rsidR="00636B6A" w:rsidRPr="00996A90">
        <w:rPr>
          <w:rFonts w:ascii="Bookman Old Style" w:hAnsi="Bookman Old Style"/>
          <w:color w:val="000000" w:themeColor="text1"/>
          <w:sz w:val="24"/>
          <w:szCs w:val="24"/>
        </w:rPr>
        <w:t xml:space="preserve">Anexo </w:t>
      </w:r>
      <w:r w:rsidR="00636B6A" w:rsidRPr="00996A90">
        <w:rPr>
          <w:rFonts w:ascii="Bookman Old Style" w:hAnsi="Bookman Old Style"/>
          <w:noProof/>
          <w:color w:val="000000" w:themeColor="text1"/>
          <w:sz w:val="24"/>
          <w:szCs w:val="24"/>
        </w:rPr>
        <w:t>1</w:t>
      </w:r>
      <w:r w:rsidRPr="00A54A51">
        <w:rPr>
          <w:rFonts w:ascii="Bookman Old Style" w:hAnsi="Bookman Old Style"/>
          <w:sz w:val="24"/>
          <w:szCs w:val="24"/>
        </w:rPr>
        <w:fldChar w:fldCharType="end"/>
      </w:r>
      <w:r w:rsidRPr="00A54A51">
        <w:rPr>
          <w:rFonts w:ascii="Bookman Old Style" w:hAnsi="Bookman Old Style"/>
          <w:sz w:val="24"/>
          <w:szCs w:val="24"/>
        </w:rPr>
        <w:t xml:space="preserve"> de la presente Resolución. Este contrato </w:t>
      </w:r>
      <w:r w:rsidRPr="00A54A51">
        <w:rPr>
          <w:rFonts w:ascii="Bookman Old Style" w:hAnsi="Bookman Old Style"/>
          <w:b/>
          <w:bCs/>
          <w:sz w:val="24"/>
          <w:szCs w:val="24"/>
        </w:rPr>
        <w:t xml:space="preserve">con Interrupciones </w:t>
      </w:r>
      <w:r w:rsidRPr="00A54A51">
        <w:rPr>
          <w:rFonts w:ascii="Bookman Old Style" w:hAnsi="Bookman Old Style"/>
          <w:sz w:val="24"/>
          <w:szCs w:val="24"/>
        </w:rPr>
        <w:t xml:space="preserve">deberá estar registrado ante el </w:t>
      </w:r>
      <w:r w:rsidR="00A54A51" w:rsidRPr="00A54A51">
        <w:rPr>
          <w:rFonts w:ascii="Bookman Old Style" w:hAnsi="Bookman Old Style"/>
          <w:sz w:val="24"/>
          <w:szCs w:val="24"/>
          <w:u w:color="FF0000"/>
        </w:rPr>
        <w:t>Gestor</w:t>
      </w:r>
      <w:r w:rsidR="00A54A51" w:rsidRPr="002D5416" w:rsidDel="00A54A51">
        <w:rPr>
          <w:rFonts w:ascii="Bookman Old Style" w:hAnsi="Bookman Old Style"/>
          <w:color w:val="FF0000"/>
          <w:sz w:val="28"/>
          <w:szCs w:val="24"/>
          <w:u w:color="FF0000"/>
        </w:rPr>
        <w:t xml:space="preserve"> </w:t>
      </w:r>
      <w:r w:rsidRPr="00A54A51">
        <w:rPr>
          <w:rFonts w:ascii="Bookman Old Style" w:hAnsi="Bookman Old Style"/>
          <w:sz w:val="24"/>
          <w:szCs w:val="24"/>
        </w:rPr>
        <w:t xml:space="preserve">del Mercado </w:t>
      </w:r>
      <w:r w:rsidR="00913E26" w:rsidRPr="000A17B3">
        <w:rPr>
          <w:rFonts w:ascii="Bookman Old Style" w:hAnsi="Bookman Old Style"/>
          <w:b/>
          <w:bCs/>
          <w:sz w:val="24"/>
          <w:szCs w:val="24"/>
        </w:rPr>
        <w:t>como mínimo un (1) día hábil</w:t>
      </w:r>
      <w:r w:rsidR="00913E26">
        <w:rPr>
          <w:rFonts w:ascii="Bookman Old Style" w:hAnsi="Bookman Old Style"/>
          <w:sz w:val="24"/>
          <w:szCs w:val="24"/>
        </w:rPr>
        <w:t xml:space="preserve"> </w:t>
      </w:r>
      <w:r w:rsidRPr="00A54A51">
        <w:rPr>
          <w:rFonts w:ascii="Bookman Old Style" w:hAnsi="Bookman Old Style"/>
          <w:sz w:val="24"/>
          <w:szCs w:val="24"/>
        </w:rPr>
        <w:t xml:space="preserve">antes del día de inicio de ejecución. </w:t>
      </w:r>
    </w:p>
    <w:p w14:paraId="2E6B1AC4" w14:textId="77777777" w:rsidR="0006302B" w:rsidRPr="00A54A51" w:rsidRDefault="0006302B" w:rsidP="0006302B">
      <w:pPr>
        <w:pStyle w:val="Prrafodelista"/>
        <w:ind w:left="2007"/>
        <w:jc w:val="both"/>
        <w:rPr>
          <w:rFonts w:ascii="Bookman Old Style" w:hAnsi="Bookman Old Style"/>
          <w:sz w:val="24"/>
          <w:szCs w:val="24"/>
        </w:rPr>
      </w:pPr>
    </w:p>
    <w:p w14:paraId="5DEEA4E6" w14:textId="0434212F" w:rsidR="0006302B" w:rsidRDefault="0006302B" w:rsidP="00A4790E">
      <w:pPr>
        <w:pStyle w:val="Prrafodelista"/>
        <w:numPr>
          <w:ilvl w:val="0"/>
          <w:numId w:val="64"/>
        </w:numPr>
        <w:ind w:left="851" w:hanging="284"/>
        <w:jc w:val="both"/>
        <w:rPr>
          <w:rFonts w:ascii="Bookman Old Style" w:hAnsi="Bookman Old Style"/>
          <w:sz w:val="24"/>
          <w:szCs w:val="24"/>
        </w:rPr>
      </w:pPr>
      <w:r w:rsidRPr="00A54A51">
        <w:rPr>
          <w:rFonts w:ascii="Bookman Old Style" w:hAnsi="Bookman Old Style"/>
          <w:sz w:val="24"/>
          <w:szCs w:val="24"/>
        </w:rPr>
        <w:t xml:space="preserve">Información de ejecución del contrato: a más tardar el día D+1 las partes deberán declarar al </w:t>
      </w:r>
      <w:r w:rsidR="00A54A51" w:rsidRPr="00A54A51">
        <w:rPr>
          <w:rFonts w:ascii="Bookman Old Style" w:hAnsi="Bookman Old Style"/>
          <w:sz w:val="24"/>
          <w:szCs w:val="24"/>
          <w:u w:color="FF0000"/>
        </w:rPr>
        <w:t>Gestor</w:t>
      </w:r>
      <w:r w:rsidR="00A54A51" w:rsidRPr="002D5416" w:rsidDel="00A54A51">
        <w:rPr>
          <w:rFonts w:ascii="Bookman Old Style" w:hAnsi="Bookman Old Style"/>
          <w:color w:val="FF0000"/>
          <w:sz w:val="28"/>
          <w:szCs w:val="24"/>
          <w:u w:color="FF0000"/>
        </w:rPr>
        <w:t xml:space="preserve"> </w:t>
      </w:r>
      <w:r w:rsidRPr="00A54A51">
        <w:rPr>
          <w:rFonts w:ascii="Bookman Old Style" w:hAnsi="Bookman Old Style"/>
          <w:sz w:val="24"/>
          <w:szCs w:val="24"/>
        </w:rPr>
        <w:t>del</w:t>
      </w:r>
      <w:r w:rsidRPr="00C35577">
        <w:rPr>
          <w:rFonts w:ascii="Bookman Old Style" w:hAnsi="Bookman Old Style"/>
          <w:sz w:val="24"/>
          <w:szCs w:val="24"/>
        </w:rPr>
        <w:t xml:space="preserve"> Mercado las cantidades en MBTU autorizadas por el vendedor, el </w:t>
      </w:r>
      <w:r w:rsidR="00544B11">
        <w:rPr>
          <w:rFonts w:ascii="Bookman Old Style" w:hAnsi="Bookman Old Style"/>
          <w:sz w:val="24"/>
          <w:szCs w:val="24"/>
        </w:rPr>
        <w:t xml:space="preserve">Punto de Entrega </w:t>
      </w:r>
      <w:r>
        <w:rPr>
          <w:rFonts w:ascii="Bookman Old Style" w:hAnsi="Bookman Old Style"/>
          <w:b/>
          <w:bCs/>
          <w:sz w:val="24"/>
          <w:szCs w:val="24"/>
        </w:rPr>
        <w:t>o Punto Estándar de entrega, según corresponda</w:t>
      </w:r>
      <w:r w:rsidRPr="00C35577">
        <w:rPr>
          <w:rFonts w:ascii="Bookman Old Style" w:hAnsi="Bookman Old Style"/>
          <w:sz w:val="24"/>
          <w:szCs w:val="24"/>
        </w:rPr>
        <w:t>, el precio unitario expresado en dólares de los Estados Unidos de América por MBTU determinado a partir de la información del literal c) del numeral 4 del presente artículo</w:t>
      </w:r>
      <w:r w:rsidR="00E22BC2">
        <w:rPr>
          <w:rFonts w:ascii="Bookman Old Style" w:hAnsi="Bookman Old Style"/>
          <w:sz w:val="24"/>
          <w:szCs w:val="24"/>
        </w:rPr>
        <w:t>,</w:t>
      </w:r>
      <w:r w:rsidRPr="00C35577">
        <w:rPr>
          <w:rFonts w:ascii="Bookman Old Style" w:hAnsi="Bookman Old Style"/>
          <w:sz w:val="24"/>
          <w:szCs w:val="24"/>
        </w:rPr>
        <w:t xml:space="preserve"> y el tipo de demanda atendida.</w:t>
      </w:r>
    </w:p>
    <w:p w14:paraId="2738E146" w14:textId="77777777" w:rsidR="0006302B" w:rsidRPr="00400260" w:rsidRDefault="0006302B" w:rsidP="0006302B">
      <w:pPr>
        <w:pStyle w:val="Prrafodelista"/>
        <w:rPr>
          <w:rFonts w:ascii="Bookman Old Style" w:hAnsi="Bookman Old Style"/>
          <w:sz w:val="24"/>
          <w:szCs w:val="24"/>
        </w:rPr>
      </w:pPr>
    </w:p>
    <w:p w14:paraId="265A636C" w14:textId="5A3C3EF4" w:rsidR="0006302B" w:rsidRPr="007E56EE" w:rsidRDefault="0006302B" w:rsidP="00A4790E">
      <w:pPr>
        <w:pStyle w:val="ARTICULOS"/>
        <w:numPr>
          <w:ilvl w:val="0"/>
          <w:numId w:val="63"/>
        </w:numPr>
        <w:tabs>
          <w:tab w:val="clear" w:pos="1559"/>
        </w:tabs>
        <w:ind w:left="567" w:hanging="425"/>
        <w:rPr>
          <w:rFonts w:cs="Arial"/>
          <w:b/>
          <w:color w:val="000000" w:themeColor="text1"/>
          <w:sz w:val="22"/>
          <w:szCs w:val="22"/>
          <w:lang w:val="es-CO"/>
        </w:rPr>
      </w:pPr>
      <w:r w:rsidRPr="00490912">
        <w:rPr>
          <w:b/>
          <w:lang w:val="es-CO"/>
        </w:rPr>
        <w:t xml:space="preserve">En el caso de los </w:t>
      </w:r>
      <w:r w:rsidR="004072B9">
        <w:rPr>
          <w:b/>
          <w:lang w:val="es-CO"/>
        </w:rPr>
        <w:t>V</w:t>
      </w:r>
      <w:r w:rsidRPr="00490912">
        <w:rPr>
          <w:b/>
          <w:lang w:val="es-CO"/>
        </w:rPr>
        <w:t>endedores</w:t>
      </w:r>
      <w:r>
        <w:rPr>
          <w:b/>
          <w:lang w:val="es-CO"/>
        </w:rPr>
        <w:t xml:space="preserve"> </w:t>
      </w:r>
      <w:r w:rsidRPr="007E56EE">
        <w:rPr>
          <w:b/>
          <w:lang w:val="es-CO"/>
        </w:rPr>
        <w:t xml:space="preserve">del mercado primario de que trata el   </w:t>
      </w:r>
      <w:r w:rsidR="00E65897">
        <w:rPr>
          <w:b/>
          <w:lang w:val="es-CO"/>
        </w:rPr>
        <w:t>a</w:t>
      </w:r>
      <w:r w:rsidRPr="007E56EE">
        <w:rPr>
          <w:b/>
          <w:lang w:val="es-CO"/>
        </w:rPr>
        <w:t>rtículo 16</w:t>
      </w:r>
      <w:r w:rsidR="003517B1">
        <w:rPr>
          <w:b/>
          <w:lang w:val="es-CO"/>
        </w:rPr>
        <w:t xml:space="preserve"> de esta resolución</w:t>
      </w:r>
      <w:r w:rsidR="00E22BC2" w:rsidRPr="007E56EE">
        <w:rPr>
          <w:b/>
          <w:lang w:val="es-CO"/>
        </w:rPr>
        <w:t>,</w:t>
      </w:r>
      <w:r w:rsidRPr="007E56EE">
        <w:rPr>
          <w:b/>
          <w:lang w:val="es-CO"/>
        </w:rPr>
        <w:t xml:space="preserve"> el contrato con interrupciones podrá ser </w:t>
      </w:r>
      <w:r w:rsidR="00CD39AF" w:rsidRPr="007E56EE">
        <w:rPr>
          <w:b/>
          <w:lang w:val="es-CO"/>
        </w:rPr>
        <w:t xml:space="preserve">registrado </w:t>
      </w:r>
      <w:r w:rsidR="00BB5A33">
        <w:rPr>
          <w:b/>
          <w:lang w:val="es-CO"/>
        </w:rPr>
        <w:t xml:space="preserve">ante el Gestor del Mercado </w:t>
      </w:r>
      <w:r w:rsidRPr="007E56EE">
        <w:rPr>
          <w:b/>
        </w:rPr>
        <w:t xml:space="preserve">en cualquier momento del </w:t>
      </w:r>
      <w:r w:rsidRPr="007E56EE">
        <w:rPr>
          <w:b/>
          <w:lang w:val="es-CO"/>
        </w:rPr>
        <w:t>mes anterior al mes de ejecución.</w:t>
      </w:r>
    </w:p>
    <w:p w14:paraId="74A4F3DB" w14:textId="77777777" w:rsidR="0006302B" w:rsidRPr="007E56EE" w:rsidRDefault="0006302B" w:rsidP="00202051">
      <w:pPr>
        <w:pStyle w:val="ARTICULOS"/>
        <w:numPr>
          <w:ilvl w:val="0"/>
          <w:numId w:val="0"/>
        </w:numPr>
        <w:tabs>
          <w:tab w:val="clear" w:pos="1559"/>
        </w:tabs>
        <w:ind w:left="567" w:hanging="425"/>
        <w:rPr>
          <w:rFonts w:cs="Arial"/>
          <w:bCs w:val="0"/>
          <w:color w:val="000000" w:themeColor="text1"/>
          <w:sz w:val="22"/>
          <w:szCs w:val="22"/>
          <w:lang w:val="es-CO"/>
        </w:rPr>
      </w:pPr>
    </w:p>
    <w:p w14:paraId="772C1FA7" w14:textId="54480982" w:rsidR="0006302B" w:rsidRPr="007E56EE" w:rsidRDefault="0006302B" w:rsidP="00A4790E">
      <w:pPr>
        <w:pStyle w:val="ARTICULOS"/>
        <w:numPr>
          <w:ilvl w:val="0"/>
          <w:numId w:val="63"/>
        </w:numPr>
        <w:tabs>
          <w:tab w:val="clear" w:pos="1559"/>
        </w:tabs>
        <w:ind w:left="567" w:hanging="425"/>
        <w:rPr>
          <w:rFonts w:cs="Arial"/>
          <w:b/>
          <w:bCs w:val="0"/>
          <w:color w:val="000000" w:themeColor="text1"/>
          <w:sz w:val="22"/>
          <w:szCs w:val="22"/>
          <w:lang w:val="es-CO"/>
        </w:rPr>
      </w:pPr>
      <w:r w:rsidRPr="007E56EE">
        <w:rPr>
          <w:b/>
          <w:bCs w:val="0"/>
          <w:lang w:val="es-CO"/>
        </w:rPr>
        <w:t xml:space="preserve">Los Vendedores del mercado primario </w:t>
      </w:r>
      <w:r w:rsidR="003517B1">
        <w:rPr>
          <w:b/>
          <w:bCs w:val="0"/>
          <w:lang w:val="es-CO"/>
        </w:rPr>
        <w:t xml:space="preserve">de que trata </w:t>
      </w:r>
      <w:r w:rsidRPr="007E56EE">
        <w:rPr>
          <w:b/>
          <w:bCs w:val="0"/>
          <w:lang w:val="es-CO"/>
        </w:rPr>
        <w:t xml:space="preserve">el </w:t>
      </w:r>
      <w:r w:rsidR="00E65897">
        <w:rPr>
          <w:b/>
          <w:bCs w:val="0"/>
          <w:lang w:val="es-CO"/>
        </w:rPr>
        <w:t>a</w:t>
      </w:r>
      <w:r w:rsidRPr="007E56EE">
        <w:rPr>
          <w:b/>
          <w:bCs w:val="0"/>
          <w:lang w:val="es-CO"/>
        </w:rPr>
        <w:t xml:space="preserve">rtículo 16 de esta resolución podrán negociar directamente el suministro del gas </w:t>
      </w:r>
      <w:r w:rsidRPr="007E56EE">
        <w:rPr>
          <w:b/>
          <w:bCs w:val="0"/>
          <w:lang w:val="es-CO"/>
        </w:rPr>
        <w:lastRenderedPageBreak/>
        <w:t xml:space="preserve">natural mediante contratos con interrupciones </w:t>
      </w:r>
      <w:r w:rsidR="005253A3" w:rsidRPr="007E56EE">
        <w:rPr>
          <w:b/>
          <w:bCs w:val="0"/>
          <w:lang w:val="es-CO"/>
        </w:rPr>
        <w:t xml:space="preserve">de los volúmenes </w:t>
      </w:r>
      <w:r w:rsidRPr="007E56EE">
        <w:rPr>
          <w:b/>
          <w:bCs w:val="0"/>
          <w:lang w:val="es-CO"/>
        </w:rPr>
        <w:t>que provenga</w:t>
      </w:r>
      <w:r w:rsidR="005253A3" w:rsidRPr="007E56EE">
        <w:rPr>
          <w:b/>
          <w:bCs w:val="0"/>
          <w:lang w:val="es-CO"/>
        </w:rPr>
        <w:t>n</w:t>
      </w:r>
      <w:r w:rsidRPr="007E56EE">
        <w:rPr>
          <w:b/>
          <w:bCs w:val="0"/>
          <w:lang w:val="es-CO"/>
        </w:rPr>
        <w:t xml:space="preserve"> de la parte variable de los contratos con modalidades CF80 y CF95, </w:t>
      </w:r>
      <w:r w:rsidR="005253A3" w:rsidRPr="007E56EE">
        <w:rPr>
          <w:b/>
          <w:bCs w:val="0"/>
          <w:lang w:val="es-CO"/>
        </w:rPr>
        <w:t>cuya nominación podrá ser autorizada</w:t>
      </w:r>
      <w:r w:rsidR="00440304" w:rsidRPr="007E56EE">
        <w:rPr>
          <w:b/>
          <w:bCs w:val="0"/>
          <w:lang w:val="es-CO"/>
        </w:rPr>
        <w:t xml:space="preserve"> por el vendedor</w:t>
      </w:r>
      <w:r w:rsidR="00CE756D">
        <w:rPr>
          <w:b/>
          <w:bCs w:val="0"/>
          <w:lang w:val="es-CO"/>
        </w:rPr>
        <w:t xml:space="preserve"> del mercado primario</w:t>
      </w:r>
      <w:r w:rsidR="005253A3" w:rsidRPr="007E56EE">
        <w:rPr>
          <w:b/>
          <w:bCs w:val="0"/>
          <w:lang w:val="es-CO"/>
        </w:rPr>
        <w:t xml:space="preserve"> </w:t>
      </w:r>
      <w:r w:rsidR="00D6051D">
        <w:rPr>
          <w:b/>
          <w:bCs w:val="0"/>
          <w:lang w:val="es-CO"/>
        </w:rPr>
        <w:t xml:space="preserve">siempre y </w:t>
      </w:r>
      <w:r w:rsidRPr="007E56EE">
        <w:rPr>
          <w:b/>
          <w:bCs w:val="0"/>
          <w:lang w:val="es-CO"/>
        </w:rPr>
        <w:t xml:space="preserve">cuando dicha cantidad </w:t>
      </w:r>
      <w:r w:rsidR="005253A3" w:rsidRPr="007E56EE">
        <w:rPr>
          <w:b/>
          <w:bCs w:val="0"/>
          <w:lang w:val="es-CO"/>
        </w:rPr>
        <w:t xml:space="preserve">de pago </w:t>
      </w:r>
      <w:r w:rsidRPr="007E56EE">
        <w:rPr>
          <w:b/>
          <w:bCs w:val="0"/>
          <w:lang w:val="es-CO"/>
        </w:rPr>
        <w:t xml:space="preserve">variable </w:t>
      </w:r>
      <w:r w:rsidR="005253A3" w:rsidRPr="007E56EE">
        <w:rPr>
          <w:b/>
          <w:bCs w:val="0"/>
          <w:lang w:val="es-CO"/>
        </w:rPr>
        <w:t xml:space="preserve">del contrato CF80 y CF95 </w:t>
      </w:r>
      <w:r w:rsidRPr="007E56EE">
        <w:rPr>
          <w:b/>
          <w:bCs w:val="0"/>
          <w:lang w:val="es-CO"/>
        </w:rPr>
        <w:t>no sea nominada por el comprador que suscribió dicho contrato</w:t>
      </w:r>
      <w:r w:rsidR="00CE756D">
        <w:rPr>
          <w:b/>
          <w:bCs w:val="0"/>
          <w:lang w:val="es-CO"/>
        </w:rPr>
        <w:t>.</w:t>
      </w:r>
    </w:p>
    <w:p w14:paraId="72C736B0" w14:textId="77777777" w:rsidR="0006302B" w:rsidRPr="007E56EE" w:rsidRDefault="0006302B" w:rsidP="00202051">
      <w:pPr>
        <w:pStyle w:val="Prrafodelista"/>
        <w:ind w:left="567" w:hanging="425"/>
        <w:rPr>
          <w:b/>
        </w:rPr>
      </w:pPr>
    </w:p>
    <w:p w14:paraId="345634BD" w14:textId="3A67DC5E" w:rsidR="00C25F6A" w:rsidRPr="007E56EE" w:rsidRDefault="0075661E" w:rsidP="00A4790E">
      <w:pPr>
        <w:pStyle w:val="ARTICULOS"/>
        <w:numPr>
          <w:ilvl w:val="0"/>
          <w:numId w:val="63"/>
        </w:numPr>
        <w:tabs>
          <w:tab w:val="clear" w:pos="1559"/>
        </w:tabs>
        <w:ind w:left="567" w:hanging="425"/>
        <w:rPr>
          <w:b/>
        </w:rPr>
      </w:pPr>
      <w:r w:rsidRPr="007E56EE">
        <w:rPr>
          <w:b/>
          <w:bCs w:val="0"/>
          <w:lang w:val="es-CO"/>
        </w:rPr>
        <w:t xml:space="preserve">En el caso de los </w:t>
      </w:r>
      <w:r w:rsidR="004072B9" w:rsidRPr="007E56EE">
        <w:rPr>
          <w:b/>
          <w:bCs w:val="0"/>
          <w:lang w:val="es-CO"/>
        </w:rPr>
        <w:t>V</w:t>
      </w:r>
      <w:r w:rsidRPr="007E56EE">
        <w:rPr>
          <w:b/>
          <w:bCs w:val="0"/>
          <w:lang w:val="es-CO"/>
        </w:rPr>
        <w:t xml:space="preserve">endedores </w:t>
      </w:r>
      <w:r w:rsidR="003517B1">
        <w:rPr>
          <w:b/>
          <w:bCs w:val="0"/>
          <w:lang w:val="es-CO"/>
        </w:rPr>
        <w:t>de que trata</w:t>
      </w:r>
      <w:r w:rsidRPr="007E56EE">
        <w:rPr>
          <w:b/>
          <w:bCs w:val="0"/>
          <w:lang w:val="es-CO"/>
        </w:rPr>
        <w:t xml:space="preserve"> el artículo 16 de </w:t>
      </w:r>
      <w:r w:rsidR="003517B1">
        <w:rPr>
          <w:b/>
          <w:bCs w:val="0"/>
          <w:lang w:val="es-CO"/>
        </w:rPr>
        <w:t>esta</w:t>
      </w:r>
      <w:r w:rsidRPr="007E56EE">
        <w:rPr>
          <w:b/>
          <w:bCs w:val="0"/>
          <w:lang w:val="es-CO"/>
        </w:rPr>
        <w:t xml:space="preserve"> Resolución, las cantidades que podrán ser contratadas </w:t>
      </w:r>
      <w:r w:rsidR="00613595">
        <w:rPr>
          <w:b/>
          <w:bCs w:val="0"/>
          <w:lang w:val="es-CO"/>
        </w:rPr>
        <w:t xml:space="preserve">y registradas al Gestor del Mercado </w:t>
      </w:r>
      <w:r w:rsidRPr="007E56EE">
        <w:rPr>
          <w:b/>
          <w:bCs w:val="0"/>
          <w:lang w:val="es-CO"/>
        </w:rPr>
        <w:t xml:space="preserve">mediante contratos con interrupciones </w:t>
      </w:r>
      <w:r w:rsidR="00693650" w:rsidRPr="007E56EE">
        <w:rPr>
          <w:b/>
          <w:bCs w:val="0"/>
          <w:lang w:val="es-CO"/>
        </w:rPr>
        <w:t xml:space="preserve">no </w:t>
      </w:r>
      <w:r w:rsidRPr="007E56EE">
        <w:rPr>
          <w:b/>
          <w:bCs w:val="0"/>
          <w:lang w:val="es-CO"/>
        </w:rPr>
        <w:t xml:space="preserve">podrán superar </w:t>
      </w:r>
      <w:r w:rsidR="003517B1">
        <w:rPr>
          <w:b/>
          <w:bCs w:val="0"/>
          <w:lang w:val="es-CO"/>
        </w:rPr>
        <w:t xml:space="preserve">en total </w:t>
      </w:r>
      <w:r w:rsidR="00F55726" w:rsidRPr="007E56EE">
        <w:rPr>
          <w:b/>
          <w:bCs w:val="0"/>
          <w:lang w:val="es-CO"/>
        </w:rPr>
        <w:t>el m</w:t>
      </w:r>
      <w:r w:rsidR="005A040B" w:rsidRPr="007E56EE">
        <w:rPr>
          <w:b/>
          <w:bCs w:val="0"/>
          <w:lang w:val="es-CO"/>
        </w:rPr>
        <w:t>ayor</w:t>
      </w:r>
      <w:r w:rsidR="00F55726" w:rsidRPr="007E56EE">
        <w:rPr>
          <w:b/>
          <w:bCs w:val="0"/>
          <w:lang w:val="es-CO"/>
        </w:rPr>
        <w:t xml:space="preserve"> valor </w:t>
      </w:r>
      <w:r w:rsidR="00693650" w:rsidRPr="007E56EE">
        <w:rPr>
          <w:b/>
          <w:bCs w:val="0"/>
          <w:lang w:val="es-CO"/>
        </w:rPr>
        <w:t xml:space="preserve">que se obtenga de la comparación </w:t>
      </w:r>
      <w:r w:rsidR="00F55726" w:rsidRPr="007E56EE">
        <w:rPr>
          <w:b/>
          <w:bCs w:val="0"/>
          <w:lang w:val="es-CO"/>
        </w:rPr>
        <w:t xml:space="preserve">entre: i.) </w:t>
      </w:r>
      <w:r w:rsidR="00693650" w:rsidRPr="007E56EE">
        <w:rPr>
          <w:b/>
          <w:bCs w:val="0"/>
          <w:lang w:val="es-CO"/>
        </w:rPr>
        <w:t xml:space="preserve">El ciento </w:t>
      </w:r>
      <w:r w:rsidRPr="007E56EE">
        <w:rPr>
          <w:b/>
          <w:bCs w:val="0"/>
          <w:lang w:val="es-CO"/>
        </w:rPr>
        <w:t>cincuenta por ciento (</w:t>
      </w:r>
      <w:r w:rsidR="00693650" w:rsidRPr="007E56EE">
        <w:rPr>
          <w:b/>
          <w:bCs w:val="0"/>
          <w:lang w:val="es-CO"/>
        </w:rPr>
        <w:t>1</w:t>
      </w:r>
      <w:r w:rsidRPr="007E56EE">
        <w:rPr>
          <w:b/>
          <w:bCs w:val="0"/>
          <w:lang w:val="es-CO"/>
        </w:rPr>
        <w:t xml:space="preserve">50%) </w:t>
      </w:r>
      <w:r w:rsidR="00693650" w:rsidRPr="007E56EE">
        <w:rPr>
          <w:b/>
          <w:bCs w:val="0"/>
          <w:lang w:val="es-CO"/>
        </w:rPr>
        <w:t>d</w:t>
      </w:r>
      <w:r w:rsidRPr="007E56EE">
        <w:rPr>
          <w:b/>
          <w:bCs w:val="0"/>
          <w:lang w:val="es-CO"/>
        </w:rPr>
        <w:t xml:space="preserve">el valor de </w:t>
      </w:r>
      <w:r w:rsidR="00693650" w:rsidRPr="007E56EE">
        <w:rPr>
          <w:b/>
          <w:bCs w:val="0"/>
          <w:lang w:val="es-CO"/>
        </w:rPr>
        <w:t xml:space="preserve">la </w:t>
      </w:r>
      <w:r w:rsidRPr="007E56EE">
        <w:rPr>
          <w:b/>
          <w:bCs w:val="0"/>
          <w:lang w:val="es-CO"/>
        </w:rPr>
        <w:t xml:space="preserve">PTDV </w:t>
      </w:r>
      <w:r w:rsidR="006D49EE" w:rsidRPr="007E56EE">
        <w:rPr>
          <w:b/>
          <w:bCs w:val="0"/>
          <w:lang w:val="es-CO"/>
        </w:rPr>
        <w:t xml:space="preserve">calculada por el Gestor del Mercado a partir de la declaración de producción más reciente </w:t>
      </w:r>
      <w:r w:rsidRPr="007E56EE">
        <w:rPr>
          <w:b/>
          <w:bCs w:val="0"/>
          <w:lang w:val="es-CO"/>
        </w:rPr>
        <w:t>declarada al Ministerio para dicha fuente</w:t>
      </w:r>
      <w:r w:rsidR="006D49EE" w:rsidRPr="007E56EE">
        <w:rPr>
          <w:b/>
          <w:bCs w:val="0"/>
          <w:lang w:val="es-CO"/>
        </w:rPr>
        <w:t xml:space="preserve"> </w:t>
      </w:r>
      <w:r w:rsidR="00922DB3">
        <w:rPr>
          <w:b/>
          <w:bCs w:val="0"/>
          <w:lang w:val="es-CO"/>
        </w:rPr>
        <w:t xml:space="preserve">y dicho vendedor, </w:t>
      </w:r>
      <w:r w:rsidR="006D49EE" w:rsidRPr="007E56EE">
        <w:rPr>
          <w:b/>
          <w:bCs w:val="0"/>
          <w:lang w:val="es-CO"/>
        </w:rPr>
        <w:t>y restando las cantidades de contratos con garantía de firmeza registrados, ambos a la fecha de registro del contrato con interrupciones</w:t>
      </w:r>
      <w:r w:rsidR="00204E2C" w:rsidRPr="007E56EE">
        <w:rPr>
          <w:b/>
          <w:bCs w:val="0"/>
          <w:lang w:val="es-CO"/>
        </w:rPr>
        <w:t xml:space="preserve"> para la fuente de suministro del contrato</w:t>
      </w:r>
      <w:r w:rsidR="00922DB3">
        <w:rPr>
          <w:b/>
          <w:bCs w:val="0"/>
          <w:lang w:val="es-CO"/>
        </w:rPr>
        <w:t xml:space="preserve"> y dicho vendedor</w:t>
      </w:r>
      <w:r w:rsidR="00F03A5C">
        <w:rPr>
          <w:b/>
          <w:bCs w:val="0"/>
          <w:lang w:val="es-CO"/>
        </w:rPr>
        <w:t>;</w:t>
      </w:r>
      <w:r w:rsidR="008B6940" w:rsidRPr="007E56EE">
        <w:rPr>
          <w:b/>
          <w:bCs w:val="0"/>
          <w:strike/>
          <w:lang w:val="es-CO"/>
        </w:rPr>
        <w:t xml:space="preserve"> </w:t>
      </w:r>
      <w:r w:rsidR="006D49EE" w:rsidRPr="007E56EE">
        <w:rPr>
          <w:b/>
          <w:bCs w:val="0"/>
          <w:lang w:val="es-CO"/>
        </w:rPr>
        <w:t>y</w:t>
      </w:r>
      <w:r w:rsidRPr="007E56EE">
        <w:rPr>
          <w:b/>
          <w:bCs w:val="0"/>
          <w:lang w:val="es-CO"/>
        </w:rPr>
        <w:t xml:space="preserve"> </w:t>
      </w:r>
      <w:r w:rsidR="00166E34" w:rsidRPr="007E56EE">
        <w:rPr>
          <w:b/>
          <w:bCs w:val="0"/>
          <w:lang w:val="es-CO"/>
        </w:rPr>
        <w:t xml:space="preserve">ii.) </w:t>
      </w:r>
      <w:r w:rsidR="00693650" w:rsidRPr="007E56EE">
        <w:rPr>
          <w:b/>
          <w:bCs w:val="0"/>
          <w:lang w:val="es-CO"/>
        </w:rPr>
        <w:t>E</w:t>
      </w:r>
      <w:r w:rsidR="00166E34" w:rsidRPr="007E56EE">
        <w:rPr>
          <w:b/>
          <w:bCs w:val="0"/>
          <w:lang w:val="es-CO"/>
        </w:rPr>
        <w:t xml:space="preserve">l </w:t>
      </w:r>
      <w:r w:rsidRPr="007E56EE">
        <w:rPr>
          <w:b/>
          <w:bCs w:val="0"/>
          <w:lang w:val="es-CO"/>
        </w:rPr>
        <w:t xml:space="preserve">veinte por ciento (20%) </w:t>
      </w:r>
      <w:r w:rsidR="00693650" w:rsidRPr="007E56EE">
        <w:rPr>
          <w:b/>
          <w:bCs w:val="0"/>
          <w:lang w:val="es-CO"/>
        </w:rPr>
        <w:t>d</w:t>
      </w:r>
      <w:r w:rsidRPr="007E56EE">
        <w:rPr>
          <w:b/>
          <w:bCs w:val="0"/>
          <w:lang w:val="es-CO"/>
        </w:rPr>
        <w:t>el valor de las cantidades contratadas con garantía de firmeza</w:t>
      </w:r>
      <w:r w:rsidR="006D49EE" w:rsidRPr="007E56EE">
        <w:rPr>
          <w:b/>
          <w:bCs w:val="0"/>
          <w:lang w:val="es-CO"/>
        </w:rPr>
        <w:t xml:space="preserve"> que se encuentran registradas ante el Gestor del Mercado a la fecha de registro del contrato con interrupciones</w:t>
      </w:r>
      <w:r w:rsidR="00204E2C" w:rsidRPr="007E56EE">
        <w:rPr>
          <w:b/>
          <w:bCs w:val="0"/>
          <w:lang w:val="es-CO"/>
        </w:rPr>
        <w:t xml:space="preserve"> para la fuente de suministro del contrato</w:t>
      </w:r>
      <w:r w:rsidR="00922DB3">
        <w:rPr>
          <w:b/>
          <w:bCs w:val="0"/>
          <w:lang w:val="es-CO"/>
        </w:rPr>
        <w:t xml:space="preserve"> y el vendedor</w:t>
      </w:r>
      <w:r w:rsidR="00693650" w:rsidRPr="007E56EE">
        <w:rPr>
          <w:b/>
          <w:bCs w:val="0"/>
          <w:lang w:val="es-CO"/>
        </w:rPr>
        <w:t xml:space="preserve">; </w:t>
      </w:r>
      <w:r w:rsidRPr="007E56EE">
        <w:rPr>
          <w:b/>
          <w:bCs w:val="0"/>
          <w:lang w:val="es-CO"/>
        </w:rPr>
        <w:t xml:space="preserve">en ambos casos para </w:t>
      </w:r>
      <w:r w:rsidR="00613595">
        <w:rPr>
          <w:b/>
          <w:bCs w:val="0"/>
          <w:lang w:val="es-CO"/>
        </w:rPr>
        <w:t>cada uno de los meses d</w:t>
      </w:r>
      <w:r w:rsidRPr="007E56EE">
        <w:rPr>
          <w:b/>
          <w:bCs w:val="0"/>
          <w:lang w:val="es-CO"/>
        </w:rPr>
        <w:t xml:space="preserve">el período al que se ofrece el gas en contratos con interrupciones. </w:t>
      </w:r>
      <w:r w:rsidR="005D2DD4">
        <w:rPr>
          <w:b/>
          <w:bCs w:val="0"/>
          <w:lang w:val="es-CO"/>
        </w:rPr>
        <w:t>P</w:t>
      </w:r>
      <w:r w:rsidR="006A50C9" w:rsidRPr="007E56EE">
        <w:rPr>
          <w:b/>
          <w:bCs w:val="0"/>
          <w:lang w:val="es-CO"/>
        </w:rPr>
        <w:t>ara efectos de los cálculos de cantidades contratadas</w:t>
      </w:r>
      <w:r w:rsidR="00574F4A" w:rsidRPr="007E56EE">
        <w:rPr>
          <w:b/>
          <w:bCs w:val="0"/>
          <w:lang w:val="es-CO"/>
        </w:rPr>
        <w:t xml:space="preserve">, </w:t>
      </w:r>
      <w:r w:rsidR="00C25F6A" w:rsidRPr="007E56EE">
        <w:rPr>
          <w:b/>
          <w:bCs w:val="0"/>
          <w:lang w:val="es-CO"/>
        </w:rPr>
        <w:t>no se tendrán en cuenta los contratos suscritos que no han seguido los procedimientos del mercado mayorista</w:t>
      </w:r>
      <w:r w:rsidR="005D2DD4">
        <w:rPr>
          <w:b/>
          <w:bCs w:val="0"/>
          <w:lang w:val="es-CO"/>
        </w:rPr>
        <w:t xml:space="preserve"> establecidos en la presente Resolución</w:t>
      </w:r>
      <w:r w:rsidR="00C25F6A" w:rsidRPr="007E56EE">
        <w:rPr>
          <w:b/>
          <w:bCs w:val="0"/>
          <w:lang w:val="es-CO"/>
        </w:rPr>
        <w:t>.</w:t>
      </w:r>
    </w:p>
    <w:p w14:paraId="6A320AA7" w14:textId="77777777" w:rsidR="00C25F6A" w:rsidRPr="007E56EE" w:rsidRDefault="00C25F6A" w:rsidP="00C25F6A">
      <w:pPr>
        <w:pStyle w:val="Prrafodelista"/>
        <w:rPr>
          <w:b/>
          <w:bCs/>
        </w:rPr>
      </w:pPr>
    </w:p>
    <w:p w14:paraId="0934B594" w14:textId="6AA19C29" w:rsidR="0075661E" w:rsidRPr="007E56EE" w:rsidRDefault="0075661E" w:rsidP="00C25F6A">
      <w:pPr>
        <w:pStyle w:val="ARTICULOS"/>
        <w:numPr>
          <w:ilvl w:val="0"/>
          <w:numId w:val="0"/>
        </w:numPr>
        <w:tabs>
          <w:tab w:val="clear" w:pos="1559"/>
        </w:tabs>
        <w:ind w:left="567"/>
        <w:rPr>
          <w:b/>
        </w:rPr>
      </w:pPr>
      <w:r w:rsidRPr="007E56EE">
        <w:rPr>
          <w:b/>
          <w:bCs w:val="0"/>
          <w:lang w:val="es-CO"/>
        </w:rPr>
        <w:t xml:space="preserve">En este caso, los vendedores deberán establecer y publicar un mecanismo </w:t>
      </w:r>
      <w:r w:rsidR="00821298" w:rsidRPr="007E56EE">
        <w:rPr>
          <w:b/>
          <w:bCs w:val="0"/>
          <w:lang w:val="es-CO"/>
        </w:rPr>
        <w:t xml:space="preserve">que cumpla con los mismos criterios establecidos en el </w:t>
      </w:r>
      <w:r w:rsidR="00E65897">
        <w:rPr>
          <w:b/>
          <w:bCs w:val="0"/>
          <w:lang w:val="es-CO"/>
        </w:rPr>
        <w:t>a</w:t>
      </w:r>
      <w:r w:rsidR="005E2E10" w:rsidRPr="007E56EE">
        <w:rPr>
          <w:b/>
          <w:bCs w:val="0"/>
          <w:lang w:val="es-CO"/>
        </w:rPr>
        <w:t>rtículo 4</w:t>
      </w:r>
      <w:r w:rsidR="00574F4A" w:rsidRPr="007E56EE">
        <w:rPr>
          <w:b/>
          <w:bCs w:val="0"/>
          <w:lang w:val="es-CO"/>
        </w:rPr>
        <w:t>2</w:t>
      </w:r>
      <w:r w:rsidR="00821298" w:rsidRPr="007E56EE">
        <w:rPr>
          <w:b/>
          <w:bCs w:val="0"/>
          <w:lang w:val="es-CO"/>
        </w:rPr>
        <w:t xml:space="preserve"> de la presente resolución,</w:t>
      </w:r>
      <w:r w:rsidRPr="007E56EE">
        <w:rPr>
          <w:b/>
          <w:bCs w:val="0"/>
          <w:lang w:val="es-CO"/>
        </w:rPr>
        <w:t xml:space="preserve"> para ser aplicado en la autorización de las nominaciones de suministro, asegurando la neutralidad y evitando tratos discriminatorios</w:t>
      </w:r>
      <w:r w:rsidR="007F7AC3" w:rsidRPr="007E56EE">
        <w:rPr>
          <w:b/>
          <w:bCs w:val="0"/>
          <w:lang w:val="es-CO"/>
        </w:rPr>
        <w:t xml:space="preserve"> </w:t>
      </w:r>
      <w:r w:rsidR="00693650" w:rsidRPr="007E56EE">
        <w:rPr>
          <w:b/>
          <w:bCs w:val="0"/>
          <w:lang w:val="es-CO"/>
        </w:rPr>
        <w:t>in</w:t>
      </w:r>
      <w:r w:rsidR="00821298" w:rsidRPr="007E56EE">
        <w:rPr>
          <w:b/>
          <w:bCs w:val="0"/>
          <w:lang w:val="es-CO"/>
        </w:rPr>
        <w:t>debidos</w:t>
      </w:r>
      <w:r w:rsidR="00693650" w:rsidRPr="007E56EE">
        <w:rPr>
          <w:b/>
          <w:bCs w:val="0"/>
          <w:lang w:val="es-CO"/>
        </w:rPr>
        <w:t>,</w:t>
      </w:r>
      <w:r w:rsidR="00166E34" w:rsidRPr="007E56EE">
        <w:rPr>
          <w:b/>
          <w:bCs w:val="0"/>
          <w:lang w:val="es-CO"/>
        </w:rPr>
        <w:t xml:space="preserve"> </w:t>
      </w:r>
      <w:r w:rsidRPr="007E56EE">
        <w:rPr>
          <w:b/>
          <w:bCs w:val="0"/>
          <w:lang w:val="es-CO"/>
        </w:rPr>
        <w:t xml:space="preserve">el cual debe ser de público conocimiento de los compradores del mercado primario y los compradores del mercado secundario que tengan vigentes contratos con interrupciones, así como de futuros compradores interesados en esa modalidad contractual. </w:t>
      </w:r>
    </w:p>
    <w:p w14:paraId="6820EF0C" w14:textId="6F48C60B" w:rsidR="007252E1" w:rsidRPr="007E56EE" w:rsidRDefault="007252E1" w:rsidP="00202051">
      <w:pPr>
        <w:pStyle w:val="ARTICULOS"/>
        <w:numPr>
          <w:ilvl w:val="0"/>
          <w:numId w:val="0"/>
        </w:numPr>
        <w:tabs>
          <w:tab w:val="clear" w:pos="1559"/>
        </w:tabs>
        <w:ind w:left="567" w:hanging="425"/>
        <w:rPr>
          <w:b/>
          <w:bCs w:val="0"/>
          <w:lang w:val="es-CO"/>
        </w:rPr>
      </w:pPr>
    </w:p>
    <w:p w14:paraId="74E9C26A" w14:textId="34D7A629" w:rsidR="00BE3A80" w:rsidRPr="007E56EE" w:rsidRDefault="0006302B" w:rsidP="00202051">
      <w:pPr>
        <w:pStyle w:val="ARTICULOS"/>
        <w:numPr>
          <w:ilvl w:val="0"/>
          <w:numId w:val="0"/>
        </w:numPr>
        <w:tabs>
          <w:tab w:val="clear" w:pos="1559"/>
        </w:tabs>
        <w:ind w:left="567"/>
        <w:rPr>
          <w:b/>
          <w:bCs w:val="0"/>
          <w:lang w:val="es-CO"/>
        </w:rPr>
      </w:pPr>
      <w:r w:rsidRPr="007E56EE">
        <w:rPr>
          <w:b/>
          <w:bCs w:val="0"/>
          <w:lang w:val="es-CO"/>
        </w:rPr>
        <w:t xml:space="preserve">Lo </w:t>
      </w:r>
      <w:r w:rsidR="007252E1" w:rsidRPr="007E56EE">
        <w:rPr>
          <w:b/>
          <w:bCs w:val="0"/>
          <w:lang w:val="es-CO"/>
        </w:rPr>
        <w:t xml:space="preserve">establecido en este </w:t>
      </w:r>
      <w:r w:rsidR="00E65897">
        <w:rPr>
          <w:b/>
          <w:bCs w:val="0"/>
          <w:lang w:val="es-CO"/>
        </w:rPr>
        <w:t>a</w:t>
      </w:r>
      <w:r w:rsidR="007252E1" w:rsidRPr="007E56EE">
        <w:rPr>
          <w:b/>
          <w:bCs w:val="0"/>
          <w:lang w:val="es-CO"/>
        </w:rPr>
        <w:t>rtículo aplica</w:t>
      </w:r>
      <w:r w:rsidRPr="007E56EE">
        <w:rPr>
          <w:b/>
          <w:bCs w:val="0"/>
          <w:lang w:val="es-CO"/>
        </w:rPr>
        <w:t xml:space="preserve"> </w:t>
      </w:r>
      <w:r w:rsidR="007F7AC3" w:rsidRPr="007E56EE">
        <w:rPr>
          <w:b/>
          <w:bCs w:val="0"/>
          <w:lang w:val="es-CO"/>
        </w:rPr>
        <w:t xml:space="preserve">sin excepción </w:t>
      </w:r>
      <w:r w:rsidRPr="007E56EE">
        <w:rPr>
          <w:b/>
          <w:bCs w:val="0"/>
          <w:lang w:val="es-CO"/>
        </w:rPr>
        <w:t xml:space="preserve">a </w:t>
      </w:r>
      <w:r w:rsidR="0015700B" w:rsidRPr="007E56EE">
        <w:rPr>
          <w:b/>
          <w:bCs w:val="0"/>
          <w:lang w:val="es-CO"/>
        </w:rPr>
        <w:t>todas las</w:t>
      </w:r>
      <w:r w:rsidRPr="007E56EE">
        <w:rPr>
          <w:b/>
          <w:bCs w:val="0"/>
          <w:lang w:val="es-CO"/>
        </w:rPr>
        <w:t xml:space="preserve"> Fuente</w:t>
      </w:r>
      <w:r w:rsidR="0015700B" w:rsidRPr="007E56EE">
        <w:rPr>
          <w:b/>
          <w:bCs w:val="0"/>
          <w:lang w:val="es-CO"/>
        </w:rPr>
        <w:t>s</w:t>
      </w:r>
      <w:r w:rsidRPr="007E56EE">
        <w:rPr>
          <w:b/>
          <w:bCs w:val="0"/>
          <w:lang w:val="es-CO"/>
        </w:rPr>
        <w:t xml:space="preserve"> de Suministro</w:t>
      </w:r>
      <w:r w:rsidR="00153B39" w:rsidRPr="007E56EE">
        <w:rPr>
          <w:b/>
          <w:bCs w:val="0"/>
          <w:lang w:val="es-CO"/>
        </w:rPr>
        <w:t xml:space="preserve"> o </w:t>
      </w:r>
      <w:r w:rsidR="00F03C33">
        <w:rPr>
          <w:b/>
          <w:bCs w:val="0"/>
          <w:lang w:val="es-CO"/>
        </w:rPr>
        <w:t>a los</w:t>
      </w:r>
      <w:r w:rsidR="00153B39" w:rsidRPr="007E56EE">
        <w:rPr>
          <w:b/>
          <w:bCs w:val="0"/>
          <w:lang w:val="es-CO"/>
        </w:rPr>
        <w:t xml:space="preserve"> derechos de suministro que deriven</w:t>
      </w:r>
      <w:r w:rsidR="0015700B" w:rsidRPr="007E56EE">
        <w:rPr>
          <w:b/>
          <w:bCs w:val="0"/>
          <w:lang w:val="es-CO"/>
        </w:rPr>
        <w:t xml:space="preserve"> de todas las fuentes de Suministro</w:t>
      </w:r>
      <w:r w:rsidRPr="007E56EE">
        <w:rPr>
          <w:b/>
          <w:bCs w:val="0"/>
          <w:lang w:val="es-CO"/>
        </w:rPr>
        <w:t xml:space="preserve">, incluyendo </w:t>
      </w:r>
      <w:r w:rsidR="007252E1" w:rsidRPr="007E56EE">
        <w:rPr>
          <w:b/>
          <w:bCs w:val="0"/>
          <w:lang w:val="es-CO"/>
        </w:rPr>
        <w:t xml:space="preserve">también </w:t>
      </w:r>
      <w:r w:rsidRPr="007E56EE">
        <w:rPr>
          <w:b/>
          <w:bCs w:val="0"/>
          <w:lang w:val="es-CO"/>
        </w:rPr>
        <w:t xml:space="preserve">las contempladas en los literales a, b y c del numeral 1 del </w:t>
      </w:r>
      <w:r w:rsidR="00361910">
        <w:rPr>
          <w:b/>
          <w:bCs w:val="0"/>
          <w:lang w:val="es-CO"/>
        </w:rPr>
        <w:t>a</w:t>
      </w:r>
      <w:r w:rsidRPr="007E56EE">
        <w:rPr>
          <w:b/>
          <w:bCs w:val="0"/>
          <w:lang w:val="es-CO"/>
        </w:rPr>
        <w:t xml:space="preserve">rtículo 19 de la presente resolución. </w:t>
      </w:r>
    </w:p>
    <w:p w14:paraId="747A9C01" w14:textId="1EBFD677" w:rsidR="004A7942" w:rsidRPr="007E56EE" w:rsidRDefault="004A7942" w:rsidP="00202051">
      <w:pPr>
        <w:pStyle w:val="ARTICULOS"/>
        <w:numPr>
          <w:ilvl w:val="0"/>
          <w:numId w:val="0"/>
        </w:numPr>
        <w:tabs>
          <w:tab w:val="clear" w:pos="1559"/>
        </w:tabs>
        <w:ind w:left="567"/>
        <w:rPr>
          <w:b/>
          <w:bCs w:val="0"/>
          <w:lang w:val="es-CO"/>
        </w:rPr>
      </w:pPr>
    </w:p>
    <w:p w14:paraId="40934FB3" w14:textId="7B39D0DB" w:rsidR="004A7942" w:rsidRPr="007E56EE" w:rsidRDefault="004A7942" w:rsidP="00202051">
      <w:pPr>
        <w:pStyle w:val="ARTICULOS"/>
        <w:numPr>
          <w:ilvl w:val="0"/>
          <w:numId w:val="0"/>
        </w:numPr>
        <w:tabs>
          <w:tab w:val="clear" w:pos="1559"/>
        </w:tabs>
        <w:ind w:left="567"/>
        <w:rPr>
          <w:b/>
          <w:bCs w:val="0"/>
          <w:lang w:val="es-CO"/>
        </w:rPr>
      </w:pPr>
      <w:r w:rsidRPr="007E56EE">
        <w:rPr>
          <w:b/>
          <w:bCs w:val="0"/>
          <w:lang w:val="es-CO"/>
        </w:rPr>
        <w:t xml:space="preserve">El Gestor del Mercado deberá validar que los topes arriba establecidos se cumplan cuando los agentes proceden al registro de un contrato con interrupciones. En caso </w:t>
      </w:r>
      <w:r w:rsidR="005B08DF" w:rsidRPr="007E56EE">
        <w:rPr>
          <w:b/>
          <w:bCs w:val="0"/>
          <w:lang w:val="es-CO"/>
        </w:rPr>
        <w:t xml:space="preserve">de </w:t>
      </w:r>
      <w:r w:rsidRPr="007E56EE">
        <w:rPr>
          <w:b/>
          <w:bCs w:val="0"/>
          <w:lang w:val="es-CO"/>
        </w:rPr>
        <w:t xml:space="preserve">que el </w:t>
      </w:r>
      <w:r w:rsidR="005B08DF" w:rsidRPr="007E56EE">
        <w:rPr>
          <w:b/>
          <w:bCs w:val="0"/>
          <w:lang w:val="es-CO"/>
        </w:rPr>
        <w:t>G</w:t>
      </w:r>
      <w:r w:rsidRPr="007E56EE">
        <w:rPr>
          <w:b/>
          <w:bCs w:val="0"/>
          <w:lang w:val="es-CO"/>
        </w:rPr>
        <w:t xml:space="preserve">estor del </w:t>
      </w:r>
      <w:r w:rsidR="005B08DF" w:rsidRPr="007E56EE">
        <w:rPr>
          <w:b/>
          <w:bCs w:val="0"/>
          <w:lang w:val="es-CO"/>
        </w:rPr>
        <w:t>M</w:t>
      </w:r>
      <w:r w:rsidRPr="007E56EE">
        <w:rPr>
          <w:b/>
          <w:bCs w:val="0"/>
          <w:lang w:val="es-CO"/>
        </w:rPr>
        <w:t xml:space="preserve">ercado encuentre que no se cumplen los topes, </w:t>
      </w:r>
      <w:r w:rsidR="005B08DF" w:rsidRPr="007E56EE">
        <w:rPr>
          <w:b/>
          <w:bCs w:val="0"/>
          <w:lang w:val="es-CO"/>
        </w:rPr>
        <w:t>este deberá informárselo al Vendedor del Mercado Primario o Secundario, dentro de las 24 horas siguientes a su recibo, para que rectifique</w:t>
      </w:r>
      <w:r w:rsidR="00AD1D78" w:rsidRPr="007E56EE">
        <w:rPr>
          <w:b/>
          <w:bCs w:val="0"/>
          <w:lang w:val="es-CO"/>
        </w:rPr>
        <w:t>. Cuando no sea posible la rectificación</w:t>
      </w:r>
      <w:r w:rsidR="00693650" w:rsidRPr="007E56EE">
        <w:rPr>
          <w:b/>
          <w:bCs w:val="0"/>
          <w:lang w:val="es-CO"/>
        </w:rPr>
        <w:t>,</w:t>
      </w:r>
      <w:r w:rsidR="00AD1D78" w:rsidRPr="007E56EE">
        <w:rPr>
          <w:b/>
          <w:bCs w:val="0"/>
          <w:lang w:val="es-CO"/>
        </w:rPr>
        <w:t xml:space="preserve"> el Gestor del Mercado</w:t>
      </w:r>
      <w:r w:rsidRPr="007E56EE">
        <w:rPr>
          <w:b/>
          <w:bCs w:val="0"/>
          <w:lang w:val="es-CO"/>
        </w:rPr>
        <w:t xml:space="preserve"> </w:t>
      </w:r>
      <w:r w:rsidR="005B08DF" w:rsidRPr="007E56EE">
        <w:rPr>
          <w:b/>
          <w:bCs w:val="0"/>
          <w:lang w:val="es-CO"/>
        </w:rPr>
        <w:t xml:space="preserve">deberá abstenerse de registrar </w:t>
      </w:r>
      <w:r w:rsidRPr="007E56EE">
        <w:rPr>
          <w:b/>
          <w:bCs w:val="0"/>
          <w:lang w:val="es-CO"/>
        </w:rPr>
        <w:t>el contrato</w:t>
      </w:r>
      <w:r w:rsidR="005B08DF" w:rsidRPr="007E56EE">
        <w:rPr>
          <w:b/>
          <w:bCs w:val="0"/>
          <w:lang w:val="es-CO"/>
        </w:rPr>
        <w:t>, no podrá tenerlo en cuenta para efectos de publicación</w:t>
      </w:r>
      <w:r w:rsidRPr="007E56EE">
        <w:rPr>
          <w:b/>
          <w:bCs w:val="0"/>
          <w:lang w:val="es-CO"/>
        </w:rPr>
        <w:t xml:space="preserve"> y deberá informar dicha situación</w:t>
      </w:r>
      <w:r w:rsidR="00AD1D78" w:rsidRPr="007E56EE">
        <w:rPr>
          <w:b/>
          <w:bCs w:val="0"/>
          <w:lang w:val="es-CO"/>
        </w:rPr>
        <w:t xml:space="preserve"> a las partes involucradas y a los órganos responsables de la inspección, vigilancia y control</w:t>
      </w:r>
      <w:r w:rsidRPr="007E56EE">
        <w:rPr>
          <w:b/>
          <w:bCs w:val="0"/>
          <w:lang w:val="es-CO"/>
        </w:rPr>
        <w:t xml:space="preserve">.   </w:t>
      </w:r>
    </w:p>
    <w:p w14:paraId="520EBBDF" w14:textId="1A4A44B6" w:rsidR="00770D7F" w:rsidRPr="007E56EE" w:rsidRDefault="00770D7F" w:rsidP="00202051">
      <w:pPr>
        <w:pStyle w:val="ARTICULOS"/>
        <w:numPr>
          <w:ilvl w:val="0"/>
          <w:numId w:val="0"/>
        </w:numPr>
        <w:tabs>
          <w:tab w:val="clear" w:pos="1559"/>
        </w:tabs>
        <w:ind w:left="567"/>
        <w:rPr>
          <w:b/>
          <w:bCs w:val="0"/>
          <w:lang w:val="es-CO"/>
        </w:rPr>
      </w:pPr>
    </w:p>
    <w:p w14:paraId="2E3AC6C5" w14:textId="18F87F45" w:rsidR="00770D7F" w:rsidRPr="007E56EE" w:rsidRDefault="00770D7F" w:rsidP="00202051">
      <w:pPr>
        <w:pStyle w:val="ARTICULOS"/>
        <w:numPr>
          <w:ilvl w:val="0"/>
          <w:numId w:val="0"/>
        </w:numPr>
        <w:tabs>
          <w:tab w:val="clear" w:pos="1559"/>
        </w:tabs>
        <w:ind w:left="567"/>
        <w:rPr>
          <w:b/>
          <w:bCs w:val="0"/>
          <w:lang w:val="es-CO"/>
        </w:rPr>
      </w:pPr>
      <w:r w:rsidRPr="007E56EE">
        <w:rPr>
          <w:b/>
          <w:bCs w:val="0"/>
          <w:lang w:val="es-CO"/>
        </w:rPr>
        <w:t xml:space="preserve">En ningún caso, </w:t>
      </w:r>
      <w:r w:rsidR="008015AC" w:rsidRPr="007E56EE">
        <w:rPr>
          <w:b/>
          <w:bCs w:val="0"/>
          <w:lang w:val="es-CO"/>
        </w:rPr>
        <w:t xml:space="preserve">la suma de </w:t>
      </w:r>
      <w:r w:rsidRPr="007E56EE">
        <w:rPr>
          <w:b/>
          <w:bCs w:val="0"/>
          <w:lang w:val="es-CO"/>
        </w:rPr>
        <w:t xml:space="preserve">las cantidades autorizadas </w:t>
      </w:r>
      <w:r w:rsidR="008015AC" w:rsidRPr="007E56EE">
        <w:rPr>
          <w:b/>
          <w:bCs w:val="0"/>
          <w:lang w:val="es-CO"/>
        </w:rPr>
        <w:t xml:space="preserve">mensuales </w:t>
      </w:r>
      <w:r w:rsidR="009E2565" w:rsidRPr="007E56EE">
        <w:rPr>
          <w:b/>
          <w:bCs w:val="0"/>
          <w:lang w:val="es-CO"/>
        </w:rPr>
        <w:t xml:space="preserve">por los vendedores del mercado primario de las nominaciones recibidas de los contratos </w:t>
      </w:r>
      <w:r w:rsidR="008015AC" w:rsidRPr="007E56EE">
        <w:rPr>
          <w:b/>
          <w:bCs w:val="0"/>
          <w:lang w:val="es-CO"/>
        </w:rPr>
        <w:t xml:space="preserve">con garantía de firmeza y de los contratos </w:t>
      </w:r>
      <w:r w:rsidR="009E2565" w:rsidRPr="007E56EE">
        <w:rPr>
          <w:b/>
          <w:bCs w:val="0"/>
          <w:lang w:val="es-CO"/>
        </w:rPr>
        <w:t>con interrupciones, p</w:t>
      </w:r>
      <w:r w:rsidRPr="007E56EE">
        <w:rPr>
          <w:b/>
          <w:bCs w:val="0"/>
          <w:lang w:val="es-CO"/>
        </w:rPr>
        <w:t xml:space="preserve">odrán superar </w:t>
      </w:r>
      <w:r w:rsidR="008015AC" w:rsidRPr="007E56EE">
        <w:rPr>
          <w:b/>
          <w:bCs w:val="0"/>
          <w:lang w:val="es-CO"/>
        </w:rPr>
        <w:t>las cantidades mensuales</w:t>
      </w:r>
      <w:r w:rsidRPr="007E56EE">
        <w:rPr>
          <w:b/>
          <w:bCs w:val="0"/>
          <w:lang w:val="es-CO"/>
        </w:rPr>
        <w:t xml:space="preserve"> de</w:t>
      </w:r>
      <w:r w:rsidR="008015AC" w:rsidRPr="007E56EE">
        <w:rPr>
          <w:b/>
          <w:bCs w:val="0"/>
          <w:lang w:val="es-CO"/>
        </w:rPr>
        <w:t>l Potencial de Producción contenidos en</w:t>
      </w:r>
      <w:r w:rsidRPr="007E56EE">
        <w:rPr>
          <w:b/>
          <w:bCs w:val="0"/>
          <w:lang w:val="es-CO"/>
        </w:rPr>
        <w:t xml:space="preserve"> la declaración más reciente realizada al Ministerio de Minas y Energía</w:t>
      </w:r>
      <w:r w:rsidR="008015AC" w:rsidRPr="007E56EE">
        <w:rPr>
          <w:b/>
          <w:bCs w:val="0"/>
          <w:lang w:val="es-CO"/>
        </w:rPr>
        <w:t>.</w:t>
      </w:r>
      <w:r w:rsidRPr="007E56EE">
        <w:rPr>
          <w:b/>
          <w:bCs w:val="0"/>
          <w:lang w:val="es-CO"/>
        </w:rPr>
        <w:t xml:space="preserve">  </w:t>
      </w:r>
    </w:p>
    <w:p w14:paraId="76B278CC" w14:textId="77777777" w:rsidR="00BE3A80" w:rsidRPr="007E56EE" w:rsidRDefault="00BE3A80" w:rsidP="00202051">
      <w:pPr>
        <w:pStyle w:val="ARTICULOS"/>
        <w:numPr>
          <w:ilvl w:val="0"/>
          <w:numId w:val="0"/>
        </w:numPr>
        <w:tabs>
          <w:tab w:val="clear" w:pos="1559"/>
        </w:tabs>
        <w:ind w:left="567"/>
        <w:rPr>
          <w:b/>
          <w:bCs w:val="0"/>
          <w:lang w:val="es-CO"/>
        </w:rPr>
      </w:pPr>
    </w:p>
    <w:p w14:paraId="2D7A073A" w14:textId="500E4B9C" w:rsidR="003517B1" w:rsidRPr="00295053" w:rsidRDefault="003517B1" w:rsidP="003517B1">
      <w:pPr>
        <w:pStyle w:val="ARTICULOS"/>
        <w:numPr>
          <w:ilvl w:val="0"/>
          <w:numId w:val="63"/>
        </w:numPr>
        <w:tabs>
          <w:tab w:val="clear" w:pos="1559"/>
        </w:tabs>
        <w:ind w:left="567" w:hanging="425"/>
        <w:rPr>
          <w:rFonts w:cs="Arial"/>
          <w:b/>
          <w:color w:val="000000" w:themeColor="text1"/>
          <w:sz w:val="22"/>
          <w:szCs w:val="22"/>
          <w:lang w:val="es-CO"/>
        </w:rPr>
      </w:pPr>
      <w:r w:rsidRPr="002C57C6">
        <w:rPr>
          <w:b/>
          <w:lang w:val="es-CO"/>
        </w:rPr>
        <w:t>E</w:t>
      </w:r>
      <w:r w:rsidRPr="002C57C6">
        <w:rPr>
          <w:b/>
        </w:rPr>
        <w:t xml:space="preserve">n el caso de los </w:t>
      </w:r>
      <w:r>
        <w:rPr>
          <w:b/>
          <w:lang w:val="es-CO"/>
        </w:rPr>
        <w:t>V</w:t>
      </w:r>
      <w:proofErr w:type="spellStart"/>
      <w:r w:rsidRPr="00490912">
        <w:rPr>
          <w:b/>
          <w:lang w:val="es-ES"/>
        </w:rPr>
        <w:t>endedores</w:t>
      </w:r>
      <w:proofErr w:type="spellEnd"/>
      <w:r w:rsidRPr="00490912">
        <w:rPr>
          <w:b/>
          <w:lang w:val="es-ES"/>
        </w:rPr>
        <w:t xml:space="preserve"> </w:t>
      </w:r>
      <w:r>
        <w:rPr>
          <w:b/>
          <w:lang w:val="es-ES"/>
        </w:rPr>
        <w:t xml:space="preserve">del mercado secundario de que trata </w:t>
      </w:r>
      <w:r w:rsidRPr="00490912">
        <w:rPr>
          <w:b/>
        </w:rPr>
        <w:t xml:space="preserve">el </w:t>
      </w:r>
      <w:r w:rsidR="00361910">
        <w:rPr>
          <w:b/>
          <w:lang w:val="es-CO"/>
        </w:rPr>
        <w:t>a</w:t>
      </w:r>
      <w:r w:rsidRPr="00D66B65">
        <w:rPr>
          <w:b/>
        </w:rPr>
        <w:t>rtículo 2</w:t>
      </w:r>
      <w:r>
        <w:rPr>
          <w:b/>
          <w:lang w:val="es-CO"/>
        </w:rPr>
        <w:t>9</w:t>
      </w:r>
      <w:r w:rsidRPr="00490912">
        <w:rPr>
          <w:b/>
        </w:rPr>
        <w:t xml:space="preserve"> de </w:t>
      </w:r>
      <w:r>
        <w:rPr>
          <w:b/>
          <w:lang w:val="es-CO"/>
        </w:rPr>
        <w:t xml:space="preserve">esta </w:t>
      </w:r>
      <w:r w:rsidRPr="00490912">
        <w:rPr>
          <w:b/>
        </w:rPr>
        <w:t xml:space="preserve">resolución, </w:t>
      </w:r>
      <w:r>
        <w:rPr>
          <w:b/>
          <w:lang w:val="es-ES"/>
        </w:rPr>
        <w:t>los derechos de suministro adquiridos en el mercado primario</w:t>
      </w:r>
      <w:r w:rsidRPr="00490912">
        <w:rPr>
          <w:b/>
          <w:lang w:val="es-CO"/>
        </w:rPr>
        <w:t xml:space="preserve"> </w:t>
      </w:r>
      <w:r>
        <w:rPr>
          <w:b/>
          <w:lang w:val="es-CO"/>
        </w:rPr>
        <w:t xml:space="preserve">mediante contratos firmes o que garanticen firmeza, </w:t>
      </w:r>
      <w:r w:rsidRPr="00490912">
        <w:rPr>
          <w:b/>
          <w:lang w:val="es-CO"/>
        </w:rPr>
        <w:t>podrán ser negociado</w:t>
      </w:r>
      <w:r>
        <w:rPr>
          <w:b/>
          <w:lang w:val="es-CO"/>
        </w:rPr>
        <w:t>s</w:t>
      </w:r>
      <w:r w:rsidRPr="00490912">
        <w:rPr>
          <w:b/>
          <w:lang w:val="es-CO"/>
        </w:rPr>
        <w:t xml:space="preserve"> </w:t>
      </w:r>
      <w:r>
        <w:rPr>
          <w:b/>
          <w:lang w:val="es-CO"/>
        </w:rPr>
        <w:t xml:space="preserve">en contratos con interrupciones </w:t>
      </w:r>
      <w:r w:rsidRPr="00490912">
        <w:rPr>
          <w:b/>
        </w:rPr>
        <w:t>en cualquier momento del año</w:t>
      </w:r>
      <w:r>
        <w:rPr>
          <w:b/>
          <w:lang w:val="es-ES"/>
        </w:rPr>
        <w:t xml:space="preserve"> de gas,</w:t>
      </w:r>
      <w:r w:rsidRPr="00490912">
        <w:rPr>
          <w:b/>
          <w:lang w:val="es-CO"/>
        </w:rPr>
        <w:t xml:space="preserve"> y su ejecución deberá iniciar antes de la finalización del año de gas en que se realice el registro, comprendido entre el 1 de diciembre y el 30 de noviembre del año calendario siguiente</w:t>
      </w:r>
      <w:r w:rsidR="005D2DD4">
        <w:rPr>
          <w:b/>
          <w:lang w:val="es-CO"/>
        </w:rPr>
        <w:t>, excepto para los contratos que se registren en el mes de noviembre cuya ejecución inicie en el mes de diciembre siguiente</w:t>
      </w:r>
      <w:r w:rsidRPr="00490912">
        <w:rPr>
          <w:b/>
          <w:lang w:val="es-CO"/>
        </w:rPr>
        <w:t xml:space="preserve">. </w:t>
      </w:r>
    </w:p>
    <w:p w14:paraId="2B253A0E" w14:textId="77777777" w:rsidR="003517B1" w:rsidRPr="00F44C14" w:rsidRDefault="003517B1" w:rsidP="00295053">
      <w:pPr>
        <w:pStyle w:val="ARTICULOS"/>
        <w:numPr>
          <w:ilvl w:val="0"/>
          <w:numId w:val="0"/>
        </w:numPr>
        <w:tabs>
          <w:tab w:val="clear" w:pos="1559"/>
        </w:tabs>
        <w:ind w:left="567"/>
        <w:rPr>
          <w:rFonts w:cs="Arial"/>
          <w:b/>
          <w:color w:val="000000" w:themeColor="text1"/>
          <w:sz w:val="22"/>
          <w:szCs w:val="22"/>
          <w:lang w:val="es-CO"/>
        </w:rPr>
      </w:pPr>
    </w:p>
    <w:p w14:paraId="3C2DE11F" w14:textId="4F777BE8" w:rsidR="00A57F5A" w:rsidRPr="007E56EE" w:rsidRDefault="00A57F5A" w:rsidP="00A4790E">
      <w:pPr>
        <w:pStyle w:val="ARTICULOS"/>
        <w:numPr>
          <w:ilvl w:val="0"/>
          <w:numId w:val="63"/>
        </w:numPr>
        <w:tabs>
          <w:tab w:val="clear" w:pos="1559"/>
        </w:tabs>
        <w:ind w:left="567" w:hanging="425"/>
        <w:rPr>
          <w:rFonts w:cs="Arial"/>
          <w:b/>
          <w:bCs w:val="0"/>
          <w:color w:val="000000" w:themeColor="text1"/>
          <w:sz w:val="22"/>
          <w:szCs w:val="22"/>
          <w:lang w:val="es-CO"/>
        </w:rPr>
      </w:pPr>
      <w:r w:rsidRPr="007E56EE">
        <w:rPr>
          <w:b/>
          <w:bCs w:val="0"/>
          <w:lang w:val="es-CO"/>
        </w:rPr>
        <w:t xml:space="preserve">En el caso de los Vendedores del mercado secundario de que trata el </w:t>
      </w:r>
      <w:r w:rsidR="005A1D1A">
        <w:rPr>
          <w:b/>
          <w:bCs w:val="0"/>
          <w:lang w:val="es-CO"/>
        </w:rPr>
        <w:t>a</w:t>
      </w:r>
      <w:r w:rsidRPr="007E56EE">
        <w:rPr>
          <w:b/>
          <w:bCs w:val="0"/>
          <w:lang w:val="es-CO"/>
        </w:rPr>
        <w:t>rtículo 2</w:t>
      </w:r>
      <w:r w:rsidR="009A71C9" w:rsidRPr="007E56EE">
        <w:rPr>
          <w:b/>
          <w:bCs w:val="0"/>
          <w:lang w:val="es-CO"/>
        </w:rPr>
        <w:t>9</w:t>
      </w:r>
      <w:r w:rsidRPr="007E56EE">
        <w:rPr>
          <w:b/>
          <w:bCs w:val="0"/>
          <w:lang w:val="es-CO"/>
        </w:rPr>
        <w:t xml:space="preserve"> de </w:t>
      </w:r>
      <w:r w:rsidR="003517B1">
        <w:rPr>
          <w:b/>
          <w:bCs w:val="0"/>
          <w:lang w:val="es-CO"/>
        </w:rPr>
        <w:t>esta</w:t>
      </w:r>
      <w:r w:rsidRPr="007E56EE">
        <w:rPr>
          <w:b/>
          <w:bCs w:val="0"/>
          <w:lang w:val="es-CO"/>
        </w:rPr>
        <w:t xml:space="preserve"> resolución, las cantidades que podrán ser contratadas mediante contratos con interrupciones podrán </w:t>
      </w:r>
      <w:r w:rsidR="00315864" w:rsidRPr="007E56EE">
        <w:rPr>
          <w:b/>
          <w:bCs w:val="0"/>
          <w:lang w:val="es-CO"/>
        </w:rPr>
        <w:t xml:space="preserve">ser </w:t>
      </w:r>
      <w:r w:rsidRPr="007E56EE">
        <w:rPr>
          <w:b/>
          <w:bCs w:val="0"/>
          <w:lang w:val="es-CO"/>
        </w:rPr>
        <w:t xml:space="preserve">hasta </w:t>
      </w:r>
      <w:r w:rsidR="003517B1">
        <w:rPr>
          <w:b/>
          <w:bCs w:val="0"/>
          <w:lang w:val="es-CO"/>
        </w:rPr>
        <w:t>el mayor valor resultante de comp</w:t>
      </w:r>
      <w:r w:rsidR="009A0232">
        <w:rPr>
          <w:b/>
          <w:bCs w:val="0"/>
          <w:lang w:val="es-CO"/>
        </w:rPr>
        <w:t>a</w:t>
      </w:r>
      <w:r w:rsidR="003517B1">
        <w:rPr>
          <w:b/>
          <w:bCs w:val="0"/>
          <w:lang w:val="es-CO"/>
        </w:rPr>
        <w:t>rar: i.) E</w:t>
      </w:r>
      <w:r w:rsidR="00C91DAA" w:rsidRPr="007E56EE">
        <w:rPr>
          <w:b/>
          <w:bCs w:val="0"/>
          <w:lang w:val="es-CO"/>
        </w:rPr>
        <w:t>l</w:t>
      </w:r>
      <w:r w:rsidRPr="007E56EE">
        <w:rPr>
          <w:b/>
          <w:bCs w:val="0"/>
          <w:lang w:val="es-CO"/>
        </w:rPr>
        <w:t xml:space="preserve"> veinte por ciento (20%) </w:t>
      </w:r>
      <w:r w:rsidR="00315864" w:rsidRPr="007E56EE">
        <w:rPr>
          <w:b/>
          <w:bCs w:val="0"/>
          <w:lang w:val="es-CO"/>
        </w:rPr>
        <w:t>de la cantidad</w:t>
      </w:r>
      <w:r w:rsidRPr="007E56EE">
        <w:rPr>
          <w:b/>
          <w:bCs w:val="0"/>
          <w:lang w:val="es-CO"/>
        </w:rPr>
        <w:t xml:space="preserve"> de los derechos de suministro </w:t>
      </w:r>
      <w:r w:rsidR="00315864" w:rsidRPr="007E56EE">
        <w:rPr>
          <w:b/>
          <w:bCs w:val="0"/>
          <w:lang w:val="es-CO"/>
        </w:rPr>
        <w:t xml:space="preserve">comprados </w:t>
      </w:r>
      <w:r w:rsidRPr="007E56EE">
        <w:rPr>
          <w:b/>
          <w:bCs w:val="0"/>
          <w:lang w:val="es-CO"/>
        </w:rPr>
        <w:t>en el mercado primario y en el mercado secundario</w:t>
      </w:r>
      <w:r w:rsidR="005D2DD4">
        <w:rPr>
          <w:b/>
          <w:bCs w:val="0"/>
          <w:lang w:val="es-CO"/>
        </w:rPr>
        <w:t xml:space="preserve"> para un mismo punto de entrega</w:t>
      </w:r>
      <w:r w:rsidRPr="007E56EE">
        <w:rPr>
          <w:b/>
          <w:bCs w:val="0"/>
          <w:lang w:val="es-CO"/>
        </w:rPr>
        <w:t xml:space="preserve">, </w:t>
      </w:r>
      <w:r w:rsidR="00EA412C" w:rsidRPr="007E56EE">
        <w:rPr>
          <w:b/>
          <w:bCs w:val="0"/>
          <w:lang w:val="es-CO"/>
        </w:rPr>
        <w:t xml:space="preserve">que se encuentran registradas ante el Gestor del Mercado a la fecha de registro del contrato con interrupciones, </w:t>
      </w:r>
      <w:r w:rsidRPr="007E56EE">
        <w:rPr>
          <w:b/>
          <w:bCs w:val="0"/>
          <w:lang w:val="es-CO"/>
        </w:rPr>
        <w:t xml:space="preserve">mediante contratos firmes o que </w:t>
      </w:r>
      <w:r w:rsidR="00030C5B">
        <w:rPr>
          <w:b/>
          <w:bCs w:val="0"/>
          <w:lang w:val="es-CO"/>
        </w:rPr>
        <w:t>garantizan firmeza</w:t>
      </w:r>
      <w:r w:rsidR="004C49BE" w:rsidRPr="007E56EE">
        <w:rPr>
          <w:b/>
          <w:bCs w:val="0"/>
          <w:lang w:val="es-CO"/>
        </w:rPr>
        <w:t xml:space="preserve"> para el mismo período de ejecución del contrato con interrupciones que se desea registrar</w:t>
      </w:r>
      <w:r w:rsidR="00F03A5C">
        <w:rPr>
          <w:b/>
          <w:bCs w:val="0"/>
          <w:lang w:val="es-CO"/>
        </w:rPr>
        <w:t>; y</w:t>
      </w:r>
      <w:r w:rsidR="003517B1">
        <w:rPr>
          <w:b/>
          <w:bCs w:val="0"/>
          <w:lang w:val="es-CO"/>
        </w:rPr>
        <w:t xml:space="preserve">, ii.) El ciento por ciento (100%) </w:t>
      </w:r>
      <w:r w:rsidR="003517B1" w:rsidRPr="007E56EE">
        <w:rPr>
          <w:b/>
          <w:bCs w:val="0"/>
          <w:lang w:val="es-CO"/>
        </w:rPr>
        <w:t xml:space="preserve">de la cantidad </w:t>
      </w:r>
      <w:r w:rsidR="003517B1">
        <w:rPr>
          <w:b/>
          <w:bCs w:val="0"/>
          <w:lang w:val="es-CO"/>
        </w:rPr>
        <w:t>contratada mediante contratos con interrupciones</w:t>
      </w:r>
      <w:r w:rsidR="003517B1" w:rsidRPr="007E56EE">
        <w:rPr>
          <w:b/>
          <w:bCs w:val="0"/>
          <w:lang w:val="es-CO"/>
        </w:rPr>
        <w:t xml:space="preserve"> en el mercado primario y en el mercado secundario</w:t>
      </w:r>
      <w:r w:rsidR="005D2DD4">
        <w:rPr>
          <w:b/>
          <w:bCs w:val="0"/>
          <w:lang w:val="es-CO"/>
        </w:rPr>
        <w:t xml:space="preserve"> para un mismo punto de entrega</w:t>
      </w:r>
      <w:r w:rsidR="003517B1" w:rsidRPr="007E56EE">
        <w:rPr>
          <w:b/>
          <w:bCs w:val="0"/>
          <w:lang w:val="es-CO"/>
        </w:rPr>
        <w:t>, que se encuentran registradas ante el Gestor del Mercado a la fecha de registro del contrato con interrupciones</w:t>
      </w:r>
      <w:r w:rsidR="003517B1">
        <w:rPr>
          <w:b/>
          <w:bCs w:val="0"/>
          <w:lang w:val="es-CO"/>
        </w:rPr>
        <w:t xml:space="preserve"> </w:t>
      </w:r>
      <w:r w:rsidR="003517B1" w:rsidRPr="007E56EE">
        <w:rPr>
          <w:b/>
          <w:bCs w:val="0"/>
          <w:lang w:val="es-CO"/>
        </w:rPr>
        <w:t xml:space="preserve">para </w:t>
      </w:r>
      <w:r w:rsidR="00613595">
        <w:rPr>
          <w:b/>
          <w:bCs w:val="0"/>
          <w:lang w:val="es-CO"/>
        </w:rPr>
        <w:t>cada uno de los meses d</w:t>
      </w:r>
      <w:r w:rsidR="003517B1" w:rsidRPr="007E56EE">
        <w:rPr>
          <w:b/>
          <w:bCs w:val="0"/>
          <w:lang w:val="es-CO"/>
        </w:rPr>
        <w:t>el mismo período de ejecución del contrato con interrupciones que se desea registrar</w:t>
      </w:r>
      <w:r w:rsidRPr="007E56EE">
        <w:rPr>
          <w:b/>
          <w:bCs w:val="0"/>
          <w:lang w:val="es-CO"/>
        </w:rPr>
        <w:t xml:space="preserve">. </w:t>
      </w:r>
    </w:p>
    <w:p w14:paraId="472230C9" w14:textId="77777777" w:rsidR="00A57F5A" w:rsidRPr="007E56EE" w:rsidRDefault="00A57F5A" w:rsidP="00A57F5A">
      <w:pPr>
        <w:pStyle w:val="ARTICULOS"/>
        <w:numPr>
          <w:ilvl w:val="0"/>
          <w:numId w:val="0"/>
        </w:numPr>
        <w:tabs>
          <w:tab w:val="clear" w:pos="1559"/>
        </w:tabs>
        <w:rPr>
          <w:rFonts w:cs="Arial"/>
          <w:b/>
          <w:bCs w:val="0"/>
          <w:color w:val="000000" w:themeColor="text1"/>
          <w:sz w:val="22"/>
          <w:szCs w:val="22"/>
          <w:lang w:val="es-CO"/>
        </w:rPr>
      </w:pPr>
    </w:p>
    <w:p w14:paraId="05B676A6" w14:textId="35D96420" w:rsidR="00A57F5A" w:rsidRPr="007E56EE" w:rsidRDefault="00A57F5A" w:rsidP="00A57F5A">
      <w:pPr>
        <w:pStyle w:val="ARTICULOS"/>
        <w:numPr>
          <w:ilvl w:val="0"/>
          <w:numId w:val="0"/>
        </w:numPr>
        <w:tabs>
          <w:tab w:val="clear" w:pos="1559"/>
        </w:tabs>
        <w:ind w:left="567"/>
        <w:rPr>
          <w:rFonts w:cs="Arial"/>
          <w:b/>
          <w:bCs w:val="0"/>
          <w:color w:val="000000" w:themeColor="text1"/>
          <w:sz w:val="22"/>
          <w:szCs w:val="22"/>
          <w:lang w:val="es-CO"/>
        </w:rPr>
      </w:pPr>
      <w:r w:rsidRPr="007E56EE">
        <w:rPr>
          <w:b/>
          <w:bCs w:val="0"/>
          <w:lang w:val="es-CO"/>
        </w:rPr>
        <w:t xml:space="preserve">En este caso, los vendedores deberán establecer y publicar un mecanismo </w:t>
      </w:r>
      <w:r w:rsidR="00574F4A" w:rsidRPr="007E56EE">
        <w:rPr>
          <w:b/>
          <w:bCs w:val="0"/>
          <w:lang w:val="es-CO"/>
        </w:rPr>
        <w:t xml:space="preserve">que cumpla con los mismos criterios establecidos en el </w:t>
      </w:r>
      <w:r w:rsidR="005A1D1A">
        <w:rPr>
          <w:b/>
          <w:bCs w:val="0"/>
          <w:lang w:val="es-CO"/>
        </w:rPr>
        <w:t>a</w:t>
      </w:r>
      <w:r w:rsidR="00574F4A" w:rsidRPr="007E56EE">
        <w:rPr>
          <w:b/>
          <w:bCs w:val="0"/>
          <w:lang w:val="es-CO"/>
        </w:rPr>
        <w:t xml:space="preserve">rtículo 42 de la presente resolución, </w:t>
      </w:r>
      <w:r w:rsidRPr="007E56EE">
        <w:rPr>
          <w:b/>
          <w:bCs w:val="0"/>
          <w:lang w:val="es-CO"/>
        </w:rPr>
        <w:t>para ser aplicado en la autorización de las nominaciones de suministro</w:t>
      </w:r>
      <w:r w:rsidR="00574F4A" w:rsidRPr="007E56EE">
        <w:rPr>
          <w:b/>
          <w:bCs w:val="0"/>
          <w:lang w:val="es-CO"/>
        </w:rPr>
        <w:t xml:space="preserve">, </w:t>
      </w:r>
      <w:r w:rsidRPr="007E56EE">
        <w:rPr>
          <w:b/>
          <w:bCs w:val="0"/>
          <w:lang w:val="es-CO"/>
        </w:rPr>
        <w:t xml:space="preserve">el cual debe ser de público conocimiento de los compradores del mercado primario y </w:t>
      </w:r>
      <w:r w:rsidR="00574F4A" w:rsidRPr="007E56EE">
        <w:rPr>
          <w:b/>
          <w:bCs w:val="0"/>
          <w:lang w:val="es-CO"/>
        </w:rPr>
        <w:t xml:space="preserve">de </w:t>
      </w:r>
      <w:r w:rsidRPr="007E56EE">
        <w:rPr>
          <w:b/>
          <w:bCs w:val="0"/>
          <w:lang w:val="es-CO"/>
        </w:rPr>
        <w:t>los compradores del mercado secundario que tengan vigentes contratos con interrupciones, así como de futuros compradores interesados en esa modalidad contractual.</w:t>
      </w:r>
    </w:p>
    <w:p w14:paraId="43F279CC" w14:textId="77777777" w:rsidR="00A57F5A" w:rsidRPr="007E56EE" w:rsidRDefault="00A57F5A" w:rsidP="00A57F5A">
      <w:pPr>
        <w:pStyle w:val="ARTICULOS"/>
        <w:numPr>
          <w:ilvl w:val="0"/>
          <w:numId w:val="0"/>
        </w:numPr>
        <w:tabs>
          <w:tab w:val="clear" w:pos="1559"/>
        </w:tabs>
        <w:ind w:left="567"/>
        <w:rPr>
          <w:rFonts w:cs="Arial"/>
          <w:b/>
          <w:bCs w:val="0"/>
          <w:color w:val="000000" w:themeColor="text1"/>
          <w:sz w:val="22"/>
          <w:szCs w:val="22"/>
          <w:lang w:val="es-CO"/>
        </w:rPr>
      </w:pPr>
    </w:p>
    <w:p w14:paraId="72575BF9" w14:textId="77777777" w:rsidR="0006302B" w:rsidRPr="00D66B65" w:rsidRDefault="0006302B" w:rsidP="00A4790E">
      <w:pPr>
        <w:pStyle w:val="ARTICULOS"/>
        <w:numPr>
          <w:ilvl w:val="0"/>
          <w:numId w:val="63"/>
        </w:numPr>
        <w:tabs>
          <w:tab w:val="clear" w:pos="1559"/>
        </w:tabs>
        <w:ind w:left="567" w:hanging="425"/>
        <w:rPr>
          <w:rFonts w:cs="Arial"/>
          <w:bCs w:val="0"/>
          <w:color w:val="000000" w:themeColor="text1"/>
          <w:sz w:val="22"/>
          <w:szCs w:val="22"/>
          <w:lang w:val="es-CO"/>
        </w:rPr>
      </w:pPr>
      <w:r w:rsidRPr="007E56EE">
        <w:rPr>
          <w:lang w:val="es-CO"/>
        </w:rPr>
        <w:t>Los contratos con interrupciones negociados a través</w:t>
      </w:r>
      <w:r w:rsidRPr="005609BA">
        <w:rPr>
          <w:lang w:val="es-CO"/>
        </w:rPr>
        <w:t xml:space="preserve"> de negociaciones directas que </w:t>
      </w:r>
      <w:r>
        <w:rPr>
          <w:lang w:val="es-CO"/>
        </w:rPr>
        <w:t xml:space="preserve">inicien </w:t>
      </w:r>
      <w:r w:rsidRPr="005609BA">
        <w:rPr>
          <w:lang w:val="es-CO"/>
        </w:rPr>
        <w:t xml:space="preserve">el </w:t>
      </w:r>
      <w:r>
        <w:rPr>
          <w:lang w:val="es-CO"/>
        </w:rPr>
        <w:t xml:space="preserve">1 </w:t>
      </w:r>
      <w:r w:rsidRPr="005609BA">
        <w:rPr>
          <w:lang w:val="es-CO"/>
        </w:rPr>
        <w:t>de diciembre del siguiente año de gas se deberán registrar entre el 20 y el 25 de noviembre del año de gas vigente.</w:t>
      </w:r>
    </w:p>
    <w:p w14:paraId="1C7061C3" w14:textId="77777777" w:rsidR="0006302B" w:rsidRDefault="0006302B" w:rsidP="00202051">
      <w:pPr>
        <w:pStyle w:val="Prrafodelista"/>
        <w:ind w:left="567" w:hanging="425"/>
        <w:rPr>
          <w:rFonts w:cs="Arial"/>
          <w:color w:val="000000" w:themeColor="text1"/>
          <w:sz w:val="22"/>
          <w:szCs w:val="22"/>
        </w:rPr>
      </w:pPr>
    </w:p>
    <w:p w14:paraId="1E632486" w14:textId="54DF9B9E" w:rsidR="0006302B" w:rsidRDefault="0006302B" w:rsidP="00A4790E">
      <w:pPr>
        <w:pStyle w:val="ARTICULOS"/>
        <w:numPr>
          <w:ilvl w:val="0"/>
          <w:numId w:val="63"/>
        </w:numPr>
        <w:tabs>
          <w:tab w:val="clear" w:pos="1559"/>
        </w:tabs>
        <w:ind w:left="567" w:hanging="425"/>
        <w:rPr>
          <w:lang w:val="es-CO"/>
        </w:rPr>
      </w:pPr>
      <w:r w:rsidRPr="00592D4E">
        <w:rPr>
          <w:lang w:val="es-CO"/>
        </w:rPr>
        <w:t xml:space="preserve">De conformidad con lo establecido en el parágrafo del artículo 12 del Decreto 2100 de 2011, o aquel que lo modifique complemente o sustituya, los vendedores </w:t>
      </w:r>
      <w:r>
        <w:rPr>
          <w:b/>
          <w:bCs w:val="0"/>
          <w:lang w:val="es-CO"/>
        </w:rPr>
        <w:t xml:space="preserve">del mercado primario </w:t>
      </w:r>
      <w:r w:rsidRPr="00592D4E">
        <w:rPr>
          <w:lang w:val="es-CO"/>
        </w:rPr>
        <w:t>a los que se hace referencia en el</w:t>
      </w:r>
      <w:r w:rsidR="00210424">
        <w:rPr>
          <w:lang w:val="es-CO"/>
        </w:rPr>
        <w:t xml:space="preserve"> artículo </w:t>
      </w:r>
      <w:r w:rsidR="00210424">
        <w:rPr>
          <w:lang w:val="es-CO"/>
        </w:rPr>
        <w:lastRenderedPageBreak/>
        <w:t>16</w:t>
      </w:r>
      <w:r w:rsidRPr="00592D4E">
        <w:rPr>
          <w:lang w:val="es-CO"/>
        </w:rPr>
        <w:t xml:space="preserve"> de esta Resolución podrán negociar directamente el suministro del gas natural que provenga de campos que se encuentren en pruebas extensas o sobre los cuales no se haya declarado su comercialidad, de campos menores o de yacimientos no convencionales mediante la modalidad de </w:t>
      </w:r>
      <w:r w:rsidR="00DE4D86" w:rsidRPr="00191320">
        <w:rPr>
          <w:b/>
          <w:bCs w:val="0"/>
          <w:lang w:val="es-CO"/>
        </w:rPr>
        <w:t>contrato</w:t>
      </w:r>
      <w:r w:rsidR="00DE4D86">
        <w:rPr>
          <w:lang w:val="es-CO"/>
        </w:rPr>
        <w:t xml:space="preserve"> </w:t>
      </w:r>
      <w:r w:rsidRPr="00592D4E">
        <w:rPr>
          <w:lang w:val="es-CO"/>
        </w:rPr>
        <w:t xml:space="preserve">con interrupciones. </w:t>
      </w:r>
    </w:p>
    <w:p w14:paraId="5C7CE260" w14:textId="77777777" w:rsidR="0006302B" w:rsidRPr="00592D4E" w:rsidRDefault="0006302B" w:rsidP="00202051">
      <w:pPr>
        <w:pStyle w:val="ARTICULOS"/>
        <w:numPr>
          <w:ilvl w:val="0"/>
          <w:numId w:val="0"/>
        </w:numPr>
        <w:tabs>
          <w:tab w:val="clear" w:pos="1559"/>
        </w:tabs>
        <w:ind w:left="567" w:hanging="425"/>
        <w:rPr>
          <w:rFonts w:cs="Arial"/>
          <w:bCs w:val="0"/>
          <w:color w:val="000000" w:themeColor="text1"/>
          <w:sz w:val="22"/>
          <w:szCs w:val="22"/>
          <w:lang w:val="es-CO"/>
        </w:rPr>
      </w:pPr>
    </w:p>
    <w:p w14:paraId="3E055178" w14:textId="3EEDC63B" w:rsidR="0006302B" w:rsidRPr="005609BA" w:rsidRDefault="0006302B" w:rsidP="00A4790E">
      <w:pPr>
        <w:pStyle w:val="ARTICULOS"/>
        <w:numPr>
          <w:ilvl w:val="0"/>
          <w:numId w:val="63"/>
        </w:numPr>
        <w:tabs>
          <w:tab w:val="clear" w:pos="1559"/>
        </w:tabs>
        <w:ind w:left="567" w:hanging="425"/>
        <w:rPr>
          <w:rFonts w:cs="Arial"/>
          <w:bCs w:val="0"/>
          <w:color w:val="000000" w:themeColor="text1"/>
          <w:sz w:val="22"/>
          <w:szCs w:val="22"/>
          <w:lang w:val="es-CO"/>
        </w:rPr>
      </w:pPr>
      <w:r w:rsidRPr="00AB0F0F">
        <w:rPr>
          <w:lang w:val="es-CO"/>
        </w:rPr>
        <w:t>Los Comercializadores de gas importado podrán negociar directamente con los generadores térmicos el suministro del gas natural, con destino a la atención de la demanda termoeléctrica, mediante la modalidad de contratos con interrupciones. Estos contratos tendrán duración mensual.</w:t>
      </w:r>
      <w:r w:rsidRPr="005609BA">
        <w:rPr>
          <w:lang w:val="es-CO"/>
        </w:rPr>
        <w:t xml:space="preserve"> </w:t>
      </w:r>
    </w:p>
    <w:p w14:paraId="6D134534" w14:textId="77777777" w:rsidR="0006302B" w:rsidRDefault="0006302B" w:rsidP="0006302B">
      <w:pPr>
        <w:pStyle w:val="ARTICULOS"/>
        <w:numPr>
          <w:ilvl w:val="0"/>
          <w:numId w:val="0"/>
        </w:numPr>
        <w:tabs>
          <w:tab w:val="clear" w:pos="1559"/>
          <w:tab w:val="left" w:pos="1560"/>
        </w:tabs>
        <w:rPr>
          <w:rFonts w:cs="Arial"/>
          <w:b/>
          <w:color w:val="000000" w:themeColor="text1"/>
          <w:sz w:val="22"/>
          <w:szCs w:val="22"/>
          <w:lang w:val="es-CO"/>
        </w:rPr>
      </w:pPr>
    </w:p>
    <w:p w14:paraId="1752C937" w14:textId="77777777" w:rsidR="0006302B" w:rsidRPr="00901472" w:rsidRDefault="0006302B" w:rsidP="0006302B">
      <w:pPr>
        <w:pStyle w:val="ARTICULOS"/>
        <w:numPr>
          <w:ilvl w:val="0"/>
          <w:numId w:val="0"/>
        </w:numPr>
        <w:tabs>
          <w:tab w:val="clear" w:pos="1559"/>
          <w:tab w:val="left" w:pos="1560"/>
        </w:tabs>
        <w:rPr>
          <w:rFonts w:cs="Arial"/>
          <w:b/>
          <w:color w:val="000000" w:themeColor="text1"/>
          <w:sz w:val="22"/>
          <w:szCs w:val="22"/>
          <w:lang w:val="es-CO"/>
        </w:rPr>
      </w:pPr>
    </w:p>
    <w:p w14:paraId="5DFDF70E"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Título VI</w:t>
      </w:r>
    </w:p>
    <w:p w14:paraId="72FBB723" w14:textId="77777777" w:rsidR="0006302B" w:rsidRPr="0013707D" w:rsidRDefault="0006302B" w:rsidP="0006302B">
      <w:pPr>
        <w:keepNext/>
        <w:ind w:left="0"/>
        <w:jc w:val="center"/>
        <w:rPr>
          <w:rFonts w:ascii="Bookman Old Style" w:hAnsi="Bookman Old Style" w:cs="Arial"/>
          <w:b/>
          <w:bCs/>
          <w:color w:val="000000" w:themeColor="text1"/>
          <w:lang w:val="es-CO"/>
        </w:rPr>
      </w:pPr>
      <w:r w:rsidRPr="0013707D">
        <w:rPr>
          <w:rFonts w:ascii="Bookman Old Style" w:hAnsi="Bookman Old Style" w:cs="Arial"/>
          <w:b/>
          <w:bCs/>
          <w:color w:val="000000" w:themeColor="text1"/>
          <w:lang w:val="es-CO"/>
        </w:rPr>
        <w:t>Aspectos operativos</w:t>
      </w:r>
    </w:p>
    <w:p w14:paraId="3DADBEDD" w14:textId="77777777" w:rsidR="0006302B" w:rsidRPr="0013707D" w:rsidRDefault="0006302B" w:rsidP="0006302B">
      <w:pPr>
        <w:keepNext/>
        <w:ind w:left="0"/>
        <w:jc w:val="center"/>
        <w:rPr>
          <w:rFonts w:ascii="Bookman Old Style" w:hAnsi="Bookman Old Style" w:cs="Arial"/>
          <w:b/>
          <w:bCs/>
          <w:color w:val="000000" w:themeColor="text1"/>
          <w:lang w:val="es-CO"/>
        </w:rPr>
      </w:pPr>
    </w:p>
    <w:p w14:paraId="4D7FF595" w14:textId="77777777" w:rsidR="0006302B" w:rsidRPr="0013707D" w:rsidRDefault="0006302B" w:rsidP="0006302B">
      <w:pPr>
        <w:pStyle w:val="ARTICULOS"/>
        <w:tabs>
          <w:tab w:val="clear" w:pos="1559"/>
          <w:tab w:val="left" w:pos="1560"/>
        </w:tabs>
        <w:outlineLvl w:val="0"/>
        <w:rPr>
          <w:rFonts w:cs="Arial"/>
          <w:color w:val="000000" w:themeColor="text1"/>
          <w:lang w:val="es-CO"/>
        </w:rPr>
      </w:pPr>
      <w:r w:rsidRPr="0013707D">
        <w:rPr>
          <w:rFonts w:cs="Arial"/>
          <w:b/>
          <w:color w:val="000000" w:themeColor="text1"/>
          <w:lang w:val="es-CO"/>
        </w:rPr>
        <w:t xml:space="preserve">Consideraciones operativas relacionadas con </w:t>
      </w:r>
      <w:proofErr w:type="spellStart"/>
      <w:r w:rsidRPr="0013707D">
        <w:rPr>
          <w:rFonts w:cs="Arial"/>
          <w:b/>
          <w:color w:val="000000" w:themeColor="text1"/>
          <w:lang w:val="es-CO"/>
        </w:rPr>
        <w:t>renominaciones</w:t>
      </w:r>
      <w:proofErr w:type="spellEnd"/>
      <w:r w:rsidRPr="0013707D">
        <w:rPr>
          <w:rFonts w:cs="Arial"/>
          <w:b/>
          <w:color w:val="000000" w:themeColor="text1"/>
          <w:lang w:val="es-CO"/>
        </w:rPr>
        <w:t>.</w:t>
      </w:r>
    </w:p>
    <w:p w14:paraId="40FD320A" w14:textId="77777777" w:rsidR="0006302B" w:rsidRPr="0013707D" w:rsidRDefault="0006302B" w:rsidP="0006302B">
      <w:pPr>
        <w:pStyle w:val="ARTICULOS"/>
        <w:numPr>
          <w:ilvl w:val="0"/>
          <w:numId w:val="0"/>
        </w:numPr>
        <w:ind w:left="567"/>
        <w:rPr>
          <w:color w:val="000000" w:themeColor="text1"/>
          <w:lang w:val="es-CO"/>
        </w:rPr>
      </w:pPr>
    </w:p>
    <w:p w14:paraId="4C758C76" w14:textId="77777777" w:rsidR="0006302B" w:rsidRPr="0013707D" w:rsidRDefault="0006302B" w:rsidP="0006302B">
      <w:pPr>
        <w:pStyle w:val="ARTICULOS"/>
        <w:numPr>
          <w:ilvl w:val="1"/>
          <w:numId w:val="20"/>
        </w:numPr>
        <w:ind w:left="567" w:hanging="567"/>
        <w:rPr>
          <w:color w:val="000000" w:themeColor="text1"/>
          <w:lang w:val="es-CO"/>
        </w:rPr>
      </w:pPr>
      <w:bookmarkStart w:id="97" w:name="_Ref401762599"/>
      <w:r w:rsidRPr="0013707D">
        <w:rPr>
          <w:color w:val="000000" w:themeColor="text1"/>
          <w:lang w:val="es-CO"/>
        </w:rPr>
        <w:t xml:space="preserve">En relación con las </w:t>
      </w:r>
      <w:proofErr w:type="spellStart"/>
      <w:r w:rsidRPr="0013707D">
        <w:rPr>
          <w:color w:val="000000" w:themeColor="text1"/>
          <w:lang w:val="es-CO"/>
        </w:rPr>
        <w:t>renominaciones</w:t>
      </w:r>
      <w:proofErr w:type="spellEnd"/>
      <w:r w:rsidRPr="0013707D">
        <w:rPr>
          <w:color w:val="000000" w:themeColor="text1"/>
          <w:lang w:val="es-CO"/>
        </w:rPr>
        <w:t xml:space="preserve"> de suministro durante el día de gas se seguirán</w:t>
      </w:r>
      <w:r>
        <w:rPr>
          <w:color w:val="000000" w:themeColor="text1"/>
          <w:lang w:val="es-CO"/>
        </w:rPr>
        <w:t>,</w:t>
      </w:r>
      <w:r w:rsidRPr="0013707D">
        <w:rPr>
          <w:color w:val="000000" w:themeColor="text1"/>
          <w:lang w:val="es-CO"/>
        </w:rPr>
        <w:t xml:space="preserve"> además de </w:t>
      </w:r>
      <w:r>
        <w:rPr>
          <w:color w:val="000000" w:themeColor="text1"/>
          <w:lang w:val="es-CO"/>
        </w:rPr>
        <w:t xml:space="preserve">las </w:t>
      </w:r>
      <w:r w:rsidRPr="0013707D">
        <w:rPr>
          <w:color w:val="000000" w:themeColor="text1"/>
          <w:lang w:val="es-CO"/>
        </w:rPr>
        <w:t>establecidas en el RUT</w:t>
      </w:r>
      <w:r>
        <w:rPr>
          <w:color w:val="000000" w:themeColor="text1"/>
          <w:lang w:val="es-CO"/>
        </w:rPr>
        <w:t xml:space="preserve">, </w:t>
      </w:r>
      <w:r w:rsidRPr="0013707D">
        <w:rPr>
          <w:color w:val="000000" w:themeColor="text1"/>
          <w:lang w:val="es-CO"/>
        </w:rPr>
        <w:t xml:space="preserve">las siguientes reglas, </w:t>
      </w:r>
      <w:r>
        <w:rPr>
          <w:color w:val="000000" w:themeColor="text1"/>
          <w:lang w:val="es-CO"/>
        </w:rPr>
        <w:t>así</w:t>
      </w:r>
      <w:r w:rsidRPr="0013707D">
        <w:rPr>
          <w:color w:val="000000" w:themeColor="text1"/>
          <w:lang w:val="es-CO"/>
        </w:rPr>
        <w:t>:</w:t>
      </w:r>
      <w:bookmarkEnd w:id="97"/>
    </w:p>
    <w:p w14:paraId="549A7B1C" w14:textId="77777777" w:rsidR="0006302B" w:rsidRPr="00901472" w:rsidRDefault="0006302B" w:rsidP="0006302B">
      <w:pPr>
        <w:autoSpaceDE w:val="0"/>
        <w:autoSpaceDN w:val="0"/>
        <w:adjustRightInd w:val="0"/>
        <w:ind w:left="993"/>
        <w:jc w:val="both"/>
        <w:rPr>
          <w:rFonts w:ascii="Bookman Old Style" w:hAnsi="Bookman Old Style" w:cs="Arial"/>
          <w:color w:val="000000" w:themeColor="text1"/>
          <w:sz w:val="22"/>
          <w:szCs w:val="22"/>
          <w:lang w:val="es-CO"/>
        </w:rPr>
      </w:pPr>
    </w:p>
    <w:p w14:paraId="46D1CB64" w14:textId="688DA0A1" w:rsidR="007E6C0A" w:rsidRPr="0013707D" w:rsidRDefault="007E6C0A" w:rsidP="007E6C0A">
      <w:pPr>
        <w:numPr>
          <w:ilvl w:val="0"/>
          <w:numId w:val="2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bCs/>
          <w:color w:val="000000" w:themeColor="text1"/>
          <w:lang w:val="es-CO"/>
        </w:rPr>
        <w:t xml:space="preserve">Los productores-comercializadores y los comercializadores de gas importado sólo podrán aceptar </w:t>
      </w:r>
      <w:proofErr w:type="spellStart"/>
      <w:r w:rsidRPr="0013707D">
        <w:rPr>
          <w:rFonts w:ascii="Bookman Old Style" w:hAnsi="Bookman Old Style"/>
          <w:bCs/>
          <w:color w:val="000000" w:themeColor="text1"/>
          <w:lang w:val="es-CO"/>
        </w:rPr>
        <w:t>renominaciones</w:t>
      </w:r>
      <w:proofErr w:type="spellEnd"/>
      <w:r w:rsidRPr="0013707D">
        <w:rPr>
          <w:rFonts w:ascii="Bookman Old Style" w:hAnsi="Bookman Old Style"/>
          <w:bCs/>
          <w:color w:val="000000" w:themeColor="text1"/>
          <w:lang w:val="es-CO"/>
        </w:rPr>
        <w:t xml:space="preserve"> de suministro de gas que no afecten las cantidades asignadas mediante el proceso úselo o véndalo de corto plazo para gas natural. Como excepción podrán aceptar </w:t>
      </w:r>
      <w:proofErr w:type="spellStart"/>
      <w:r w:rsidRPr="0013707D">
        <w:rPr>
          <w:rFonts w:ascii="Bookman Old Style" w:hAnsi="Bookman Old Style"/>
          <w:bCs/>
          <w:color w:val="000000" w:themeColor="text1"/>
          <w:lang w:val="es-CO"/>
        </w:rPr>
        <w:t>renominaciones</w:t>
      </w:r>
      <w:proofErr w:type="spellEnd"/>
      <w:r w:rsidRPr="0013707D">
        <w:rPr>
          <w:rFonts w:ascii="Bookman Old Style" w:hAnsi="Bookman Old Style"/>
          <w:bCs/>
          <w:color w:val="000000" w:themeColor="text1"/>
          <w:lang w:val="es-CO"/>
        </w:rPr>
        <w:t xml:space="preserve"> de suministro de gas que afecten las cantidades asignadas mediante el proceso úselo o véndalo de corto plazo para gas natural de conformidad con lo dispuesto en el literal </w:t>
      </w:r>
      <w:r w:rsidRPr="0013707D">
        <w:rPr>
          <w:rFonts w:ascii="Bookman Old Style" w:hAnsi="Bookman Old Style"/>
          <w:bCs/>
          <w:color w:val="000000" w:themeColor="text1"/>
          <w:lang w:val="es-CO"/>
        </w:rPr>
        <w:fldChar w:fldCharType="begin"/>
      </w:r>
      <w:r w:rsidRPr="0013707D">
        <w:rPr>
          <w:rFonts w:ascii="Bookman Old Style" w:hAnsi="Bookman Old Style"/>
          <w:bCs/>
          <w:color w:val="000000" w:themeColor="text1"/>
          <w:lang w:val="es-CO"/>
        </w:rPr>
        <w:instrText xml:space="preserve"> REF _Ref362254721 \r \h  \* MERGEFORMAT </w:instrText>
      </w:r>
      <w:r w:rsidRPr="0013707D">
        <w:rPr>
          <w:rFonts w:ascii="Bookman Old Style" w:hAnsi="Bookman Old Style"/>
          <w:bCs/>
          <w:color w:val="000000" w:themeColor="text1"/>
          <w:lang w:val="es-CO"/>
        </w:rPr>
      </w:r>
      <w:r w:rsidRPr="0013707D">
        <w:rPr>
          <w:rFonts w:ascii="Bookman Old Style" w:hAnsi="Bookman Old Style"/>
          <w:bCs/>
          <w:color w:val="000000" w:themeColor="text1"/>
          <w:lang w:val="es-CO"/>
        </w:rPr>
        <w:fldChar w:fldCharType="separate"/>
      </w:r>
      <w:r w:rsidR="00636B6A">
        <w:rPr>
          <w:rFonts w:ascii="Bookman Old Style" w:hAnsi="Bookman Old Style"/>
          <w:bCs/>
          <w:color w:val="000000" w:themeColor="text1"/>
          <w:lang w:val="es-CO"/>
        </w:rPr>
        <w:t>b)</w:t>
      </w:r>
      <w:r w:rsidRPr="0013707D">
        <w:rPr>
          <w:rFonts w:ascii="Bookman Old Style" w:hAnsi="Bookman Old Style"/>
          <w:bCs/>
          <w:color w:val="000000" w:themeColor="text1"/>
          <w:lang w:val="es-CO"/>
        </w:rPr>
        <w:fldChar w:fldCharType="end"/>
      </w:r>
      <w:r w:rsidRPr="0013707D">
        <w:rPr>
          <w:rFonts w:ascii="Bookman Old Style" w:hAnsi="Bookman Old Style"/>
          <w:bCs/>
          <w:color w:val="000000" w:themeColor="text1"/>
          <w:lang w:val="es-CO"/>
        </w:rPr>
        <w:t xml:space="preserve"> de este numeral</w:t>
      </w:r>
      <w:r w:rsidRPr="0013707D">
        <w:rPr>
          <w:rFonts w:ascii="Bookman Old Style" w:hAnsi="Bookman Old Style" w:cs="Arial"/>
          <w:color w:val="000000" w:themeColor="text1"/>
          <w:lang w:val="es-CO"/>
        </w:rPr>
        <w:t>.</w:t>
      </w:r>
    </w:p>
    <w:p w14:paraId="79749E01" w14:textId="77777777" w:rsidR="007E6C0A" w:rsidRPr="00901472" w:rsidRDefault="007E6C0A" w:rsidP="007E6C0A">
      <w:pPr>
        <w:autoSpaceDE w:val="0"/>
        <w:autoSpaceDN w:val="0"/>
        <w:adjustRightInd w:val="0"/>
        <w:ind w:left="1134" w:hanging="567"/>
        <w:jc w:val="both"/>
        <w:rPr>
          <w:rFonts w:ascii="Bookman Old Style" w:hAnsi="Bookman Old Style" w:cs="Arial"/>
          <w:color w:val="000000" w:themeColor="text1"/>
          <w:sz w:val="20"/>
          <w:szCs w:val="22"/>
          <w:lang w:val="es-CO"/>
        </w:rPr>
      </w:pPr>
    </w:p>
    <w:p w14:paraId="09DE9509" w14:textId="77777777" w:rsidR="007E6C0A" w:rsidRPr="0013707D" w:rsidRDefault="007E6C0A" w:rsidP="007E6C0A">
      <w:pPr>
        <w:numPr>
          <w:ilvl w:val="0"/>
          <w:numId w:val="21"/>
        </w:numPr>
        <w:autoSpaceDE w:val="0"/>
        <w:autoSpaceDN w:val="0"/>
        <w:adjustRightInd w:val="0"/>
        <w:ind w:left="1134" w:hanging="567"/>
        <w:jc w:val="both"/>
        <w:rPr>
          <w:rFonts w:ascii="Bookman Old Style" w:hAnsi="Bookman Old Style" w:cs="Arial"/>
          <w:color w:val="000000" w:themeColor="text1"/>
          <w:lang w:val="es-CO"/>
        </w:rPr>
      </w:pPr>
      <w:bookmarkStart w:id="98" w:name="_Ref362254721"/>
      <w:r w:rsidRPr="0013707D">
        <w:rPr>
          <w:rFonts w:ascii="Bookman Old Style" w:hAnsi="Bookman Old Style"/>
          <w:bCs/>
          <w:color w:val="000000" w:themeColor="text1"/>
          <w:lang w:val="es-CO"/>
        </w:rPr>
        <w:t xml:space="preserve">Los adjudicatarios del proceso úselo o véndalo de corto plazo para gas natural podrán solicitar </w:t>
      </w:r>
      <w:proofErr w:type="spellStart"/>
      <w:r w:rsidRPr="0013707D">
        <w:rPr>
          <w:rFonts w:ascii="Bookman Old Style" w:hAnsi="Bookman Old Style"/>
          <w:bCs/>
          <w:color w:val="000000" w:themeColor="text1"/>
          <w:lang w:val="es-CO"/>
        </w:rPr>
        <w:t>renominaciones</w:t>
      </w:r>
      <w:proofErr w:type="spellEnd"/>
      <w:r w:rsidRPr="0013707D">
        <w:rPr>
          <w:rFonts w:ascii="Bookman Old Style" w:hAnsi="Bookman Old Style"/>
          <w:bCs/>
          <w:color w:val="000000" w:themeColor="text1"/>
          <w:lang w:val="es-CO"/>
        </w:rPr>
        <w:t xml:space="preserve"> a través de los responsables de la nominación de gas. En este caso los responsables de la nominación de gas deberán solicitar la </w:t>
      </w:r>
      <w:proofErr w:type="spellStart"/>
      <w:r w:rsidRPr="0013707D">
        <w:rPr>
          <w:rFonts w:ascii="Bookman Old Style" w:hAnsi="Bookman Old Style"/>
          <w:bCs/>
          <w:color w:val="000000" w:themeColor="text1"/>
          <w:lang w:val="es-CO"/>
        </w:rPr>
        <w:t>renominación</w:t>
      </w:r>
      <w:proofErr w:type="spellEnd"/>
      <w:r w:rsidRPr="0013707D">
        <w:rPr>
          <w:rFonts w:ascii="Bookman Old Style" w:hAnsi="Bookman Old Style"/>
          <w:bCs/>
          <w:color w:val="000000" w:themeColor="text1"/>
          <w:lang w:val="es-CO"/>
        </w:rPr>
        <w:t xml:space="preserve"> e informar a los productores-comercializadores o a los comercializadores de gas importado que la </w:t>
      </w:r>
      <w:proofErr w:type="spellStart"/>
      <w:r w:rsidRPr="0013707D">
        <w:rPr>
          <w:rFonts w:ascii="Bookman Old Style" w:hAnsi="Bookman Old Style"/>
          <w:bCs/>
          <w:color w:val="000000" w:themeColor="text1"/>
          <w:lang w:val="es-CO"/>
        </w:rPr>
        <w:t>renominación</w:t>
      </w:r>
      <w:proofErr w:type="spellEnd"/>
      <w:r w:rsidRPr="0013707D">
        <w:rPr>
          <w:rFonts w:ascii="Bookman Old Style" w:hAnsi="Bookman Old Style"/>
          <w:bCs/>
          <w:color w:val="000000" w:themeColor="text1"/>
          <w:lang w:val="es-CO"/>
        </w:rPr>
        <w:t xml:space="preserve"> la hacen a nombre del comprador de corto plazo</w:t>
      </w:r>
      <w:r w:rsidRPr="0013707D">
        <w:rPr>
          <w:rFonts w:ascii="Bookman Old Style" w:hAnsi="Bookman Old Style" w:cs="Arial"/>
          <w:color w:val="000000" w:themeColor="text1"/>
          <w:lang w:val="es-CO"/>
        </w:rPr>
        <w:t>.</w:t>
      </w:r>
      <w:bookmarkEnd w:id="98"/>
    </w:p>
    <w:p w14:paraId="77E0E4CB" w14:textId="77777777" w:rsidR="0006302B" w:rsidRDefault="0006302B" w:rsidP="0006302B">
      <w:pPr>
        <w:pStyle w:val="Prrafodelista"/>
        <w:rPr>
          <w:rFonts w:ascii="Bookman Old Style" w:hAnsi="Bookman Old Style" w:cs="Arial"/>
          <w:color w:val="000000" w:themeColor="text1"/>
        </w:rPr>
      </w:pPr>
    </w:p>
    <w:p w14:paraId="09B641C0" w14:textId="77777777" w:rsidR="0006302B" w:rsidRPr="0013707D" w:rsidRDefault="0006302B" w:rsidP="0006302B">
      <w:pPr>
        <w:pStyle w:val="ARTICULOS"/>
        <w:numPr>
          <w:ilvl w:val="1"/>
          <w:numId w:val="20"/>
        </w:numPr>
        <w:ind w:left="567" w:hanging="567"/>
        <w:rPr>
          <w:rFonts w:cs="Arial"/>
          <w:color w:val="000000" w:themeColor="text1"/>
          <w:lang w:val="es-CO"/>
        </w:rPr>
      </w:pPr>
      <w:r>
        <w:rPr>
          <w:rFonts w:cs="Arial"/>
          <w:b/>
          <w:bCs w:val="0"/>
          <w:color w:val="000000" w:themeColor="text1"/>
          <w:lang w:val="es-CO"/>
        </w:rPr>
        <w:t xml:space="preserve">Los Vendedores del Mercado Primario </w:t>
      </w:r>
      <w:r w:rsidRPr="0013707D">
        <w:rPr>
          <w:rFonts w:cs="Arial"/>
          <w:color w:val="000000" w:themeColor="text1"/>
          <w:lang w:val="es-CO"/>
        </w:rPr>
        <w:t>podrá</w:t>
      </w:r>
      <w:r>
        <w:rPr>
          <w:rFonts w:cs="Arial"/>
          <w:color w:val="000000" w:themeColor="text1"/>
          <w:lang w:val="es-CO"/>
        </w:rPr>
        <w:t>n</w:t>
      </w:r>
      <w:r w:rsidRPr="0013707D">
        <w:rPr>
          <w:rFonts w:cs="Arial"/>
          <w:color w:val="000000" w:themeColor="text1"/>
          <w:lang w:val="es-CO"/>
        </w:rPr>
        <w:t xml:space="preserve"> </w:t>
      </w:r>
      <w:r>
        <w:rPr>
          <w:rFonts w:cs="Arial"/>
          <w:b/>
          <w:bCs w:val="0"/>
          <w:color w:val="000000" w:themeColor="text1"/>
          <w:lang w:val="es-CO"/>
        </w:rPr>
        <w:t>autorizar</w:t>
      </w:r>
      <w:r w:rsidRPr="0013707D">
        <w:rPr>
          <w:rFonts w:cs="Arial"/>
          <w:color w:val="000000" w:themeColor="text1"/>
          <w:lang w:val="es-CO"/>
        </w:rPr>
        <w:t xml:space="preserve">, en un tiempo inferior a seis (6) horas, las </w:t>
      </w:r>
      <w:proofErr w:type="spellStart"/>
      <w:r w:rsidRPr="0013707D">
        <w:rPr>
          <w:rFonts w:cs="Arial"/>
          <w:color w:val="000000" w:themeColor="text1"/>
          <w:lang w:val="es-CO"/>
        </w:rPr>
        <w:t>renominaciones</w:t>
      </w:r>
      <w:proofErr w:type="spellEnd"/>
      <w:r w:rsidRPr="0013707D">
        <w:rPr>
          <w:rFonts w:cs="Arial"/>
          <w:color w:val="000000" w:themeColor="text1"/>
          <w:lang w:val="es-CO"/>
        </w:rPr>
        <w:t xml:space="preserve"> </w:t>
      </w:r>
      <w:r>
        <w:rPr>
          <w:rFonts w:cs="Arial"/>
          <w:b/>
          <w:bCs w:val="0"/>
          <w:color w:val="000000" w:themeColor="text1"/>
          <w:lang w:val="es-CO"/>
        </w:rPr>
        <w:t xml:space="preserve">de suministro </w:t>
      </w:r>
      <w:r w:rsidRPr="0013707D">
        <w:rPr>
          <w:rFonts w:cs="Arial"/>
          <w:color w:val="000000" w:themeColor="text1"/>
          <w:lang w:val="es-CO"/>
        </w:rPr>
        <w:t>que presenten los generadores térmicos originadas por requerimientos del Centro Nacional de Despacho para cumplir redespachos o autorizaciones en el sector eléctrico. En todo caso estas aceptaciones deberán acogerse a lo establecido en el presente artículo.</w:t>
      </w:r>
    </w:p>
    <w:p w14:paraId="30051BEC" w14:textId="77777777" w:rsidR="0006302B" w:rsidRPr="00901472" w:rsidRDefault="0006302B" w:rsidP="0006302B">
      <w:pPr>
        <w:pStyle w:val="ARTICULOS"/>
        <w:numPr>
          <w:ilvl w:val="0"/>
          <w:numId w:val="0"/>
        </w:numPr>
        <w:ind w:left="567"/>
        <w:rPr>
          <w:rFonts w:cs="Arial"/>
          <w:color w:val="000000" w:themeColor="text1"/>
          <w:sz w:val="22"/>
          <w:szCs w:val="22"/>
          <w:lang w:val="es-CO"/>
        </w:rPr>
      </w:pPr>
    </w:p>
    <w:p w14:paraId="4F0CF6EA" w14:textId="0D02F6FE" w:rsidR="0006302B" w:rsidRDefault="0006302B" w:rsidP="0006302B">
      <w:pPr>
        <w:pStyle w:val="ARTICULOS"/>
        <w:numPr>
          <w:ilvl w:val="0"/>
          <w:numId w:val="0"/>
        </w:numPr>
        <w:ind w:left="567"/>
        <w:rPr>
          <w:rFonts w:cs="Arial"/>
          <w:b/>
          <w:bCs w:val="0"/>
          <w:color w:val="000000" w:themeColor="text1"/>
          <w:lang w:val="es-CO"/>
        </w:rPr>
      </w:pPr>
      <w:r>
        <w:rPr>
          <w:rFonts w:cs="Arial"/>
          <w:b/>
          <w:bCs w:val="0"/>
          <w:color w:val="000000" w:themeColor="text1"/>
          <w:lang w:val="es-CO"/>
        </w:rPr>
        <w:t>Los Vendedores del Mercado Primario</w:t>
      </w:r>
      <w:r w:rsidRPr="00D66B65">
        <w:rPr>
          <w:rFonts w:cs="Arial"/>
          <w:color w:val="000000" w:themeColor="text1"/>
          <w:lang w:val="es-CO"/>
        </w:rPr>
        <w:t xml:space="preserve"> sólo podrán negar la aceptación de estas </w:t>
      </w:r>
      <w:proofErr w:type="spellStart"/>
      <w:r w:rsidRPr="00D66B65">
        <w:rPr>
          <w:rFonts w:cs="Arial"/>
          <w:color w:val="000000" w:themeColor="text1"/>
          <w:lang w:val="es-CO"/>
        </w:rPr>
        <w:t>renominaciones</w:t>
      </w:r>
      <w:proofErr w:type="spellEnd"/>
      <w:r w:rsidRPr="00D66B65">
        <w:rPr>
          <w:rFonts w:cs="Arial"/>
          <w:color w:val="000000" w:themeColor="text1"/>
          <w:lang w:val="es-CO"/>
        </w:rPr>
        <w:t xml:space="preserve"> si existen limitaciones técnicas </w:t>
      </w:r>
      <w:r>
        <w:rPr>
          <w:rFonts w:cs="Arial"/>
          <w:b/>
          <w:bCs w:val="0"/>
          <w:color w:val="000000" w:themeColor="text1"/>
          <w:lang w:val="es-CO"/>
        </w:rPr>
        <w:t xml:space="preserve">u operativas originadas en </w:t>
      </w:r>
      <w:r w:rsidR="002639A2">
        <w:rPr>
          <w:rFonts w:cs="Arial"/>
          <w:b/>
          <w:bCs w:val="0"/>
          <w:color w:val="000000" w:themeColor="text1"/>
          <w:lang w:val="es-CO"/>
        </w:rPr>
        <w:t xml:space="preserve">los Puntos de Entrega de </w:t>
      </w:r>
      <w:r>
        <w:rPr>
          <w:rFonts w:cs="Arial"/>
          <w:b/>
          <w:bCs w:val="0"/>
          <w:color w:val="000000" w:themeColor="text1"/>
          <w:lang w:val="es-CO"/>
        </w:rPr>
        <w:t>las Fuentes de Suministro</w:t>
      </w:r>
      <w:r w:rsidRPr="00D66B65">
        <w:rPr>
          <w:rFonts w:cs="Arial"/>
          <w:color w:val="000000" w:themeColor="text1"/>
          <w:lang w:val="es-CO"/>
        </w:rPr>
        <w:t xml:space="preserve"> de gas</w:t>
      </w:r>
      <w:r w:rsidRPr="00E1745E">
        <w:rPr>
          <w:rFonts w:cs="Arial"/>
          <w:b/>
          <w:bCs w:val="0"/>
          <w:color w:val="000000" w:themeColor="text1"/>
          <w:lang w:val="es-CO"/>
        </w:rPr>
        <w:t xml:space="preserve"> y deberán conservar los respectivos soportes, en caso de que la autoridad competente o los </w:t>
      </w:r>
      <w:r>
        <w:rPr>
          <w:rFonts w:cs="Arial"/>
          <w:b/>
          <w:bCs w:val="0"/>
          <w:color w:val="000000" w:themeColor="text1"/>
          <w:lang w:val="es-CO"/>
        </w:rPr>
        <w:t>compradores así</w:t>
      </w:r>
      <w:r w:rsidRPr="00E1745E">
        <w:rPr>
          <w:rFonts w:cs="Arial"/>
          <w:b/>
          <w:bCs w:val="0"/>
          <w:color w:val="000000" w:themeColor="text1"/>
          <w:lang w:val="es-CO"/>
        </w:rPr>
        <w:t xml:space="preserve"> los requieran</w:t>
      </w:r>
      <w:r>
        <w:rPr>
          <w:rFonts w:cs="Arial"/>
          <w:b/>
          <w:bCs w:val="0"/>
          <w:color w:val="000000" w:themeColor="text1"/>
          <w:lang w:val="es-CO"/>
        </w:rPr>
        <w:t xml:space="preserve"> y este previsto en los contratos de suministro</w:t>
      </w:r>
      <w:r w:rsidRPr="00E1745E">
        <w:rPr>
          <w:rFonts w:cs="Arial"/>
          <w:b/>
          <w:bCs w:val="0"/>
          <w:color w:val="000000" w:themeColor="text1"/>
          <w:lang w:val="es-CO"/>
        </w:rPr>
        <w:t>.</w:t>
      </w:r>
    </w:p>
    <w:p w14:paraId="45CA3288" w14:textId="77777777" w:rsidR="001635A7" w:rsidRPr="00275155" w:rsidRDefault="001635A7" w:rsidP="0006302B">
      <w:pPr>
        <w:pStyle w:val="ARTICULOS"/>
        <w:numPr>
          <w:ilvl w:val="0"/>
          <w:numId w:val="0"/>
        </w:numPr>
        <w:ind w:left="567"/>
        <w:rPr>
          <w:rFonts w:cs="Arial"/>
          <w:b/>
          <w:bCs w:val="0"/>
          <w:color w:val="000000" w:themeColor="text1"/>
          <w:lang w:val="es-CO"/>
        </w:rPr>
      </w:pPr>
    </w:p>
    <w:p w14:paraId="533F944B" w14:textId="77777777" w:rsidR="009956EB" w:rsidRDefault="009956EB" w:rsidP="0006302B">
      <w:pPr>
        <w:rPr>
          <w:rFonts w:ascii="Bookman Old Style" w:hAnsi="Bookman Old Style" w:cs="Arial"/>
          <w:bCs/>
          <w:color w:val="000000" w:themeColor="text1"/>
          <w:lang w:eastAsia="x-none"/>
        </w:rPr>
      </w:pPr>
    </w:p>
    <w:p w14:paraId="4419CA25" w14:textId="77777777" w:rsidR="0006302B" w:rsidRDefault="0006302B" w:rsidP="0006302B">
      <w:pPr>
        <w:pStyle w:val="ARTICULOS"/>
        <w:numPr>
          <w:ilvl w:val="0"/>
          <w:numId w:val="0"/>
        </w:numPr>
        <w:jc w:val="center"/>
        <w:rPr>
          <w:rFonts w:cs="Arial"/>
          <w:b/>
          <w:color w:val="000000" w:themeColor="text1"/>
          <w:lang w:val="es-CO"/>
        </w:rPr>
      </w:pPr>
      <w:r>
        <w:rPr>
          <w:rFonts w:cs="Arial"/>
          <w:b/>
          <w:bCs w:val="0"/>
          <w:color w:val="000000" w:themeColor="text1"/>
          <w:lang w:val="es-CO"/>
        </w:rPr>
        <w:lastRenderedPageBreak/>
        <w:t>Título VII</w:t>
      </w:r>
    </w:p>
    <w:p w14:paraId="2C6CBA18" w14:textId="77777777" w:rsidR="0006302B" w:rsidRPr="0013707D" w:rsidRDefault="0006302B" w:rsidP="0006302B">
      <w:pPr>
        <w:keepNext/>
        <w:ind w:left="0"/>
        <w:jc w:val="center"/>
        <w:rPr>
          <w:rFonts w:ascii="Bookman Old Style" w:hAnsi="Bookman Old Style" w:cs="Arial"/>
          <w:b/>
          <w:bCs/>
          <w:color w:val="000000" w:themeColor="text1"/>
          <w:lang w:val="es-CO"/>
        </w:rPr>
      </w:pPr>
      <w:r>
        <w:rPr>
          <w:rFonts w:ascii="Bookman Old Style" w:hAnsi="Bookman Old Style" w:cs="Arial"/>
          <w:b/>
          <w:bCs/>
          <w:color w:val="000000" w:themeColor="text1"/>
          <w:lang w:val="es-CO"/>
        </w:rPr>
        <w:t>Otras disposiciones</w:t>
      </w:r>
    </w:p>
    <w:p w14:paraId="622BFD96" w14:textId="77777777" w:rsidR="0006302B" w:rsidRPr="0066758F" w:rsidRDefault="0006302B" w:rsidP="0006302B">
      <w:pPr>
        <w:ind w:left="0"/>
        <w:rPr>
          <w:b/>
          <w:bCs/>
          <w:strike/>
          <w:lang w:val="es-CO"/>
        </w:rPr>
      </w:pPr>
    </w:p>
    <w:p w14:paraId="09AC1A3A" w14:textId="28100711" w:rsidR="007537F7" w:rsidRPr="007E56EE" w:rsidRDefault="0006302B" w:rsidP="007537F7">
      <w:pPr>
        <w:pStyle w:val="ARTICULOS"/>
      </w:pPr>
      <w:r>
        <w:rPr>
          <w:b/>
          <w:bCs w:val="0"/>
          <w:lang w:val="es-ES"/>
        </w:rPr>
        <w:t>Registro</w:t>
      </w:r>
      <w:r w:rsidRPr="00AB0EBA">
        <w:rPr>
          <w:b/>
          <w:bCs w:val="0"/>
        </w:rPr>
        <w:t xml:space="preserve"> de contratos de consumo propio. Lo</w:t>
      </w:r>
      <w:r w:rsidRPr="00AA4697">
        <w:rPr>
          <w:b/>
          <w:bCs w:val="0"/>
        </w:rPr>
        <w:t xml:space="preserve">s </w:t>
      </w:r>
      <w:r w:rsidRPr="002D5416">
        <w:rPr>
          <w:b/>
          <w:bCs w:val="0"/>
        </w:rPr>
        <w:t>Productores</w:t>
      </w:r>
      <w:r w:rsidR="001A6BC1" w:rsidRPr="002D5416">
        <w:rPr>
          <w:b/>
          <w:bCs w:val="0"/>
          <w:lang w:val="es-CO"/>
        </w:rPr>
        <w:t>-</w:t>
      </w:r>
      <w:r w:rsidRPr="002D5416">
        <w:rPr>
          <w:b/>
          <w:bCs w:val="0"/>
        </w:rPr>
        <w:t>comercializadores</w:t>
      </w:r>
      <w:r w:rsidRPr="00AA4697">
        <w:rPr>
          <w:b/>
          <w:bCs w:val="0"/>
        </w:rPr>
        <w:t xml:space="preserve"> deberán</w:t>
      </w:r>
      <w:r w:rsidRPr="00AB0EBA">
        <w:rPr>
          <w:b/>
          <w:bCs w:val="0"/>
        </w:rPr>
        <w:t xml:space="preserve"> registrar ante el </w:t>
      </w:r>
      <w:r w:rsidR="00AA4697" w:rsidRPr="002D5416">
        <w:rPr>
          <w:b/>
          <w:bCs w:val="0"/>
          <w:u w:color="FF0000"/>
          <w:lang w:val="es-CO"/>
        </w:rPr>
        <w:t>Gestor</w:t>
      </w:r>
      <w:r w:rsidR="00AA4697" w:rsidRPr="002D5416" w:rsidDel="00AA4697">
        <w:rPr>
          <w:b/>
          <w:bCs w:val="0"/>
          <w:color w:val="FF0000"/>
          <w:sz w:val="28"/>
          <w:u w:color="FF0000"/>
        </w:rPr>
        <w:t xml:space="preserve"> </w:t>
      </w:r>
      <w:r w:rsidRPr="00AB0EBA">
        <w:rPr>
          <w:b/>
          <w:bCs w:val="0"/>
        </w:rPr>
        <w:t xml:space="preserve">del </w:t>
      </w:r>
      <w:r w:rsidR="00AA4697">
        <w:rPr>
          <w:b/>
          <w:bCs w:val="0"/>
          <w:lang w:val="es-CO"/>
        </w:rPr>
        <w:t>Me</w:t>
      </w:r>
      <w:r w:rsidRPr="00AB0EBA">
        <w:rPr>
          <w:b/>
          <w:bCs w:val="0"/>
        </w:rPr>
        <w:t xml:space="preserve">rcado los contratos de suministro de </w:t>
      </w:r>
      <w:r w:rsidRPr="007E56EE">
        <w:rPr>
          <w:b/>
          <w:bCs w:val="0"/>
        </w:rPr>
        <w:t>cantidades de gas de las que sean propietarios</w:t>
      </w:r>
      <w:r w:rsidR="00C3478E" w:rsidRPr="007E56EE">
        <w:rPr>
          <w:b/>
          <w:bCs w:val="0"/>
          <w:lang w:val="es-ES"/>
        </w:rPr>
        <w:t>,</w:t>
      </w:r>
      <w:r w:rsidRPr="007E56EE">
        <w:rPr>
          <w:b/>
          <w:bCs w:val="0"/>
        </w:rPr>
        <w:t xml:space="preserve"> que sean destinadas a consumo en refinerías </w:t>
      </w:r>
      <w:r w:rsidR="00CD0143">
        <w:rPr>
          <w:b/>
          <w:bCs w:val="0"/>
          <w:lang w:val="es-CO"/>
        </w:rPr>
        <w:t>o a</w:t>
      </w:r>
      <w:r w:rsidRPr="007E56EE">
        <w:rPr>
          <w:b/>
          <w:bCs w:val="0"/>
          <w:lang w:val="es-ES"/>
        </w:rPr>
        <w:t xml:space="preserve"> otros </w:t>
      </w:r>
      <w:r w:rsidRPr="007E56EE">
        <w:rPr>
          <w:b/>
          <w:bCs w:val="0"/>
        </w:rPr>
        <w:t>consumo</w:t>
      </w:r>
      <w:r w:rsidRPr="007E56EE">
        <w:rPr>
          <w:b/>
          <w:bCs w:val="0"/>
          <w:lang w:val="es-ES"/>
        </w:rPr>
        <w:t>s</w:t>
      </w:r>
      <w:r w:rsidRPr="007E56EE">
        <w:rPr>
          <w:b/>
          <w:bCs w:val="0"/>
        </w:rPr>
        <w:t xml:space="preserve"> propio</w:t>
      </w:r>
      <w:r w:rsidRPr="007E56EE">
        <w:rPr>
          <w:b/>
          <w:bCs w:val="0"/>
          <w:lang w:val="es-ES"/>
        </w:rPr>
        <w:t>s</w:t>
      </w:r>
      <w:r w:rsidR="002F0641">
        <w:rPr>
          <w:b/>
          <w:bCs w:val="0"/>
          <w:lang w:val="es-ES"/>
        </w:rPr>
        <w:t xml:space="preserve">, </w:t>
      </w:r>
      <w:r w:rsidR="002F0641">
        <w:rPr>
          <w:b/>
          <w:bCs w:val="0"/>
          <w:lang w:val="es-CO"/>
        </w:rPr>
        <w:t>presentando</w:t>
      </w:r>
      <w:r w:rsidR="002F0641" w:rsidRPr="007E56EE">
        <w:rPr>
          <w:b/>
          <w:bCs w:val="0"/>
          <w:lang w:val="es-CO"/>
        </w:rPr>
        <w:t xml:space="preserve"> la información aplicable correspondiente a la requerida para el registro de los contratos de suministro</w:t>
      </w:r>
      <w:r w:rsidR="002F0641">
        <w:rPr>
          <w:b/>
          <w:bCs w:val="0"/>
          <w:lang w:val="es-CO"/>
        </w:rPr>
        <w:t xml:space="preserve"> del mercado primario</w:t>
      </w:r>
      <w:r w:rsidR="002F0641" w:rsidRPr="007E56EE">
        <w:rPr>
          <w:b/>
          <w:bCs w:val="0"/>
          <w:lang w:val="es-CO"/>
        </w:rPr>
        <w:t>, según el anexo 1 de la presente Resolución</w:t>
      </w:r>
      <w:r w:rsidR="002F0641">
        <w:rPr>
          <w:b/>
          <w:bCs w:val="0"/>
          <w:lang w:val="es-CO"/>
        </w:rPr>
        <w:t>, siempre que la misma esté contenida en el contrato que se registra</w:t>
      </w:r>
      <w:r w:rsidRPr="007E56EE">
        <w:rPr>
          <w:b/>
          <w:bCs w:val="0"/>
        </w:rPr>
        <w:t>.</w:t>
      </w:r>
    </w:p>
    <w:p w14:paraId="0BB05DF7" w14:textId="08118D79" w:rsidR="007537F7" w:rsidRPr="007E56EE" w:rsidRDefault="007537F7" w:rsidP="007537F7">
      <w:pPr>
        <w:pStyle w:val="ARTICULOS"/>
        <w:numPr>
          <w:ilvl w:val="0"/>
          <w:numId w:val="0"/>
        </w:numPr>
      </w:pPr>
    </w:p>
    <w:p w14:paraId="246D0C09" w14:textId="269D40CE" w:rsidR="007537F7" w:rsidRPr="007E56EE" w:rsidRDefault="007537F7" w:rsidP="007537F7">
      <w:pPr>
        <w:pStyle w:val="ARTICULOS"/>
        <w:numPr>
          <w:ilvl w:val="0"/>
          <w:numId w:val="0"/>
        </w:numPr>
        <w:rPr>
          <w:lang w:val="es-CO"/>
        </w:rPr>
      </w:pPr>
      <w:r w:rsidRPr="007E56EE">
        <w:rPr>
          <w:b/>
          <w:bCs w:val="0"/>
          <w:lang w:val="es-CO"/>
        </w:rPr>
        <w:t>Parágrafo.</w:t>
      </w:r>
      <w:r w:rsidRPr="007E56EE">
        <w:rPr>
          <w:lang w:val="es-CO"/>
        </w:rPr>
        <w:t xml:space="preserve"> </w:t>
      </w:r>
      <w:r w:rsidRPr="007E56EE">
        <w:rPr>
          <w:b/>
          <w:bCs w:val="0"/>
          <w:lang w:val="es-CO"/>
        </w:rPr>
        <w:t xml:space="preserve">En el caso que el productor-comercializador no sea una persona jurídica independiente de la refinería </w:t>
      </w:r>
      <w:r w:rsidR="006C1442" w:rsidRPr="007E56EE">
        <w:rPr>
          <w:b/>
          <w:bCs w:val="0"/>
          <w:lang w:val="es-CO"/>
        </w:rPr>
        <w:t xml:space="preserve">o del sitio de consumo propio </w:t>
      </w:r>
      <w:r w:rsidRPr="007E56EE">
        <w:rPr>
          <w:b/>
          <w:bCs w:val="0"/>
          <w:lang w:val="es-CO"/>
        </w:rPr>
        <w:t xml:space="preserve">a la que se suministra el gas, se podrán registrar ante el Gestor del Mercado las actas, certificados o acuerdos </w:t>
      </w:r>
      <w:r w:rsidR="00302273" w:rsidRPr="007E56EE">
        <w:rPr>
          <w:b/>
          <w:bCs w:val="0"/>
          <w:lang w:val="es-CO"/>
        </w:rPr>
        <w:t>suscritos para efectos del suministro</w:t>
      </w:r>
      <w:r w:rsidR="002F0641">
        <w:rPr>
          <w:b/>
          <w:bCs w:val="0"/>
          <w:lang w:val="es-CO"/>
        </w:rPr>
        <w:t xml:space="preserve">. </w:t>
      </w:r>
      <w:r w:rsidR="006C1442" w:rsidRPr="007E56EE">
        <w:rPr>
          <w:b/>
          <w:bCs w:val="0"/>
          <w:lang w:val="es-CO"/>
        </w:rPr>
        <w:t>Estos documentos tendrán el mismo tratamiento que el Gestor del Mercado le debe dar a los acuerdos comerciales o contratos registrados entre agentes del mercado, en lo que respecta a la confidencialidad de la información</w:t>
      </w:r>
      <w:r w:rsidR="002F0641">
        <w:rPr>
          <w:b/>
          <w:bCs w:val="0"/>
          <w:lang w:val="es-CO"/>
        </w:rPr>
        <w:t xml:space="preserve">. Se deberá presentar </w:t>
      </w:r>
      <w:r w:rsidR="002F0641" w:rsidRPr="007E56EE">
        <w:rPr>
          <w:b/>
          <w:bCs w:val="0"/>
          <w:lang w:val="es-CO"/>
        </w:rPr>
        <w:t>la información aplicable correspondiente a la requerida para el registro de los contratos de suministro</w:t>
      </w:r>
      <w:r w:rsidR="002F0641">
        <w:rPr>
          <w:b/>
          <w:bCs w:val="0"/>
          <w:lang w:val="es-CO"/>
        </w:rPr>
        <w:t xml:space="preserve"> del mercado primario</w:t>
      </w:r>
      <w:r w:rsidR="002F0641" w:rsidRPr="007E56EE">
        <w:rPr>
          <w:b/>
          <w:bCs w:val="0"/>
          <w:lang w:val="es-CO"/>
        </w:rPr>
        <w:t>, según el anexo 1 de la presente Resolución</w:t>
      </w:r>
      <w:r w:rsidR="002F0641">
        <w:rPr>
          <w:b/>
          <w:bCs w:val="0"/>
          <w:lang w:val="es-CO"/>
        </w:rPr>
        <w:t>, siempre que la misma esté contenida en el acta, certificado o acuerdo que se registra</w:t>
      </w:r>
      <w:r w:rsidR="006C1442" w:rsidRPr="007E56EE">
        <w:rPr>
          <w:b/>
          <w:bCs w:val="0"/>
          <w:lang w:val="es-CO"/>
        </w:rPr>
        <w:t>.</w:t>
      </w:r>
    </w:p>
    <w:p w14:paraId="0BDE3C53" w14:textId="77777777" w:rsidR="0006302B" w:rsidRPr="007E56EE" w:rsidRDefault="0006302B" w:rsidP="0006302B">
      <w:pPr>
        <w:pStyle w:val="ARTICULOS"/>
        <w:numPr>
          <w:ilvl w:val="0"/>
          <w:numId w:val="0"/>
        </w:numPr>
      </w:pPr>
    </w:p>
    <w:p w14:paraId="2E80E318" w14:textId="79CBEE7B" w:rsidR="0006302B" w:rsidRPr="007E56EE" w:rsidRDefault="0006302B" w:rsidP="0006302B">
      <w:pPr>
        <w:pStyle w:val="ARTICULOS"/>
        <w:tabs>
          <w:tab w:val="clear" w:pos="1559"/>
          <w:tab w:val="left" w:pos="1560"/>
        </w:tabs>
        <w:outlineLvl w:val="0"/>
        <w:rPr>
          <w:rFonts w:cs="Arial"/>
          <w:b/>
          <w:color w:val="000000" w:themeColor="text1"/>
          <w:lang w:val="es-CO"/>
        </w:rPr>
      </w:pPr>
      <w:r w:rsidRPr="007E56EE">
        <w:rPr>
          <w:b/>
        </w:rPr>
        <w:t xml:space="preserve">Gas para la puesta en operación de la Infraestructura de Importación de Gas. Para efectos de la comercialización del gas natural que se requiera utilizar exclusivamente para la puesta en operación </w:t>
      </w:r>
      <w:r w:rsidRPr="007E56EE">
        <w:rPr>
          <w:b/>
          <w:lang w:val="es-ES"/>
        </w:rPr>
        <w:t>de</w:t>
      </w:r>
      <w:r w:rsidRPr="007E56EE">
        <w:rPr>
          <w:b/>
        </w:rPr>
        <w:t xml:space="preserve">  Infraestructura de Importación de Gas,</w:t>
      </w:r>
      <w:r w:rsidRPr="007E56EE">
        <w:rPr>
          <w:b/>
          <w:lang w:val="es-ES"/>
        </w:rPr>
        <w:t xml:space="preserve"> podrán ser comercializados directamente</w:t>
      </w:r>
      <w:r w:rsidR="00C3478E" w:rsidRPr="007E56EE">
        <w:rPr>
          <w:b/>
          <w:lang w:val="es-ES"/>
        </w:rPr>
        <w:t>,</w:t>
      </w:r>
      <w:r w:rsidRPr="007E56EE">
        <w:rPr>
          <w:b/>
          <w:lang w:val="es-ES"/>
        </w:rPr>
        <w:t xml:space="preserve"> y en cualquier momento y bajo cualquier modalidad de contratación de suministro permitida para el mercado primario. E</w:t>
      </w:r>
      <w:r w:rsidRPr="007E56EE">
        <w:rPr>
          <w:b/>
        </w:rPr>
        <w:t>n caso de ser necesario</w:t>
      </w:r>
      <w:r w:rsidR="00C3478E" w:rsidRPr="007E56EE">
        <w:rPr>
          <w:b/>
          <w:lang w:val="es-ES"/>
        </w:rPr>
        <w:t>,</w:t>
      </w:r>
      <w:r w:rsidRPr="007E56EE">
        <w:rPr>
          <w:b/>
        </w:rPr>
        <w:t xml:space="preserve"> la CREG </w:t>
      </w:r>
      <w:r w:rsidRPr="007E56EE">
        <w:rPr>
          <w:b/>
          <w:lang w:val="es-ES"/>
        </w:rPr>
        <w:t xml:space="preserve">podrá diseñar otros </w:t>
      </w:r>
      <w:r w:rsidRPr="007E56EE">
        <w:rPr>
          <w:b/>
        </w:rPr>
        <w:t xml:space="preserve">mecanismos de comercialización </w:t>
      </w:r>
      <w:r w:rsidRPr="007E56EE">
        <w:rPr>
          <w:b/>
          <w:lang w:val="es-ES"/>
        </w:rPr>
        <w:t xml:space="preserve">que le serán aplicados a las cantidades gas de que trata este </w:t>
      </w:r>
      <w:r w:rsidR="008F1290">
        <w:rPr>
          <w:b/>
          <w:lang w:val="es-ES"/>
        </w:rPr>
        <w:t>a</w:t>
      </w:r>
      <w:r w:rsidR="00F702FE" w:rsidRPr="007E56EE">
        <w:rPr>
          <w:b/>
          <w:lang w:val="es-ES"/>
        </w:rPr>
        <w:t>rtículo</w:t>
      </w:r>
      <w:r w:rsidRPr="007E56EE">
        <w:rPr>
          <w:b/>
          <w:lang w:val="es-ES"/>
        </w:rPr>
        <w:t xml:space="preserve">. </w:t>
      </w:r>
    </w:p>
    <w:p w14:paraId="2194DBD9" w14:textId="77777777" w:rsidR="0006302B" w:rsidRPr="007E56EE" w:rsidRDefault="0006302B" w:rsidP="0006302B">
      <w:pPr>
        <w:pStyle w:val="ARTICULOS"/>
        <w:numPr>
          <w:ilvl w:val="0"/>
          <w:numId w:val="0"/>
        </w:numPr>
        <w:tabs>
          <w:tab w:val="clear" w:pos="1559"/>
          <w:tab w:val="left" w:pos="1560"/>
        </w:tabs>
        <w:outlineLvl w:val="0"/>
        <w:rPr>
          <w:rFonts w:cs="Arial"/>
          <w:b/>
          <w:color w:val="000000" w:themeColor="text1"/>
          <w:lang w:val="es-CO"/>
        </w:rPr>
      </w:pPr>
    </w:p>
    <w:p w14:paraId="66C2DC49" w14:textId="439D1433" w:rsidR="0006302B" w:rsidRPr="007E56EE" w:rsidRDefault="0006302B" w:rsidP="0006302B">
      <w:pPr>
        <w:pStyle w:val="ARTICULOS"/>
        <w:rPr>
          <w:b/>
        </w:rPr>
      </w:pPr>
      <w:r w:rsidRPr="007E56EE">
        <w:rPr>
          <w:b/>
        </w:rPr>
        <w:t xml:space="preserve">Reglas de comportamiento. Todos los </w:t>
      </w:r>
      <w:r w:rsidRPr="007E56EE">
        <w:rPr>
          <w:b/>
          <w:lang w:val="es-ES"/>
        </w:rPr>
        <w:t>Participantes</w:t>
      </w:r>
      <w:r w:rsidRPr="007E56EE">
        <w:rPr>
          <w:b/>
        </w:rPr>
        <w:t xml:space="preserve"> en el Mercado Mayorista de gas natural deberán dar cumplimiento a las reglas de comportamiento establecidas en la Resolución CREG 080 de 2019, o aquella que la modifique, añada o sustituya.</w:t>
      </w:r>
    </w:p>
    <w:p w14:paraId="7514906E" w14:textId="77777777" w:rsidR="00AE6BE5" w:rsidRPr="007E56EE" w:rsidRDefault="00AE6BE5" w:rsidP="006461EF">
      <w:pPr>
        <w:pStyle w:val="Prrafodelista"/>
        <w:rPr>
          <w:b/>
        </w:rPr>
      </w:pPr>
      <w:bookmarkStart w:id="99" w:name="_Hlk122348516"/>
    </w:p>
    <w:p w14:paraId="2A31AE75" w14:textId="4621801F" w:rsidR="00AE6BE5" w:rsidRPr="007E56EE" w:rsidRDefault="00FF4EAB" w:rsidP="00AE6BE5">
      <w:pPr>
        <w:pStyle w:val="ARTICULOS"/>
        <w:rPr>
          <w:b/>
        </w:rPr>
      </w:pPr>
      <w:bookmarkStart w:id="100" w:name="_Ref132173639"/>
      <w:r>
        <w:rPr>
          <w:b/>
          <w:lang w:val="es-CO"/>
        </w:rPr>
        <w:t xml:space="preserve">Principios aplicables a procesos de concurrencia. </w:t>
      </w:r>
      <w:r w:rsidR="00AE6BE5" w:rsidRPr="007E56EE">
        <w:rPr>
          <w:b/>
        </w:rPr>
        <w:t xml:space="preserve">Cualquier proceso de concurrencia de interesados que se utilice por parte de los vendedores </w:t>
      </w:r>
      <w:r w:rsidR="00AE6BE5" w:rsidRPr="007E56EE">
        <w:rPr>
          <w:b/>
          <w:lang w:val="es-CO"/>
        </w:rPr>
        <w:t xml:space="preserve">de cualquier fuente de suministro, sin excepciones, </w:t>
      </w:r>
      <w:r w:rsidR="00AE6BE5" w:rsidRPr="007E56EE">
        <w:rPr>
          <w:b/>
        </w:rPr>
        <w:t>a partir del mecanismo de negociaciones directas</w:t>
      </w:r>
      <w:r w:rsidR="00AE6BE5" w:rsidRPr="007E56EE">
        <w:rPr>
          <w:b/>
          <w:lang w:val="es-CO"/>
        </w:rPr>
        <w:t>,</w:t>
      </w:r>
      <w:r w:rsidR="00AE6BE5" w:rsidRPr="007E56EE">
        <w:rPr>
          <w:b/>
        </w:rPr>
        <w:t xml:space="preserve"> deberá cumplir con los siguientes principios:</w:t>
      </w:r>
      <w:bookmarkEnd w:id="100"/>
      <w:r w:rsidR="00AE6BE5" w:rsidRPr="007E56EE">
        <w:rPr>
          <w:b/>
        </w:rPr>
        <w:t xml:space="preserve"> </w:t>
      </w:r>
    </w:p>
    <w:p w14:paraId="4EFE7BA5" w14:textId="77777777" w:rsidR="00AE6BE5" w:rsidRPr="007E56EE" w:rsidRDefault="00AE6BE5" w:rsidP="006461EF">
      <w:pPr>
        <w:pStyle w:val="ARTICULOS"/>
        <w:numPr>
          <w:ilvl w:val="0"/>
          <w:numId w:val="0"/>
        </w:numPr>
        <w:rPr>
          <w:b/>
        </w:rPr>
      </w:pPr>
    </w:p>
    <w:p w14:paraId="13DA4B2D" w14:textId="5707ED5A" w:rsidR="00AE6BE5" w:rsidRPr="007E56EE" w:rsidRDefault="00AE6BE5" w:rsidP="006461EF">
      <w:pPr>
        <w:pStyle w:val="ARTICULOS"/>
        <w:numPr>
          <w:ilvl w:val="1"/>
          <w:numId w:val="1"/>
        </w:numPr>
        <w:ind w:left="360"/>
        <w:rPr>
          <w:b/>
        </w:rPr>
      </w:pPr>
      <w:r w:rsidRPr="007E56EE">
        <w:rPr>
          <w:b/>
        </w:rPr>
        <w:t>Eficiencia: el desarrollo del mecanismo de mercado conducirá a la formación de precios eficientes de cada uno de los productos.</w:t>
      </w:r>
    </w:p>
    <w:p w14:paraId="3882B5D8" w14:textId="77777777" w:rsidR="00AE6BE5" w:rsidRPr="007E56EE" w:rsidRDefault="00AE6BE5" w:rsidP="006461EF">
      <w:pPr>
        <w:pStyle w:val="ARTICULOS"/>
        <w:numPr>
          <w:ilvl w:val="0"/>
          <w:numId w:val="0"/>
        </w:numPr>
        <w:rPr>
          <w:b/>
        </w:rPr>
      </w:pPr>
    </w:p>
    <w:p w14:paraId="0986F7AA" w14:textId="4CF3DE66" w:rsidR="00AE6BE5" w:rsidRPr="007E56EE" w:rsidRDefault="00AE6BE5" w:rsidP="006461EF">
      <w:pPr>
        <w:pStyle w:val="ARTICULOS"/>
        <w:numPr>
          <w:ilvl w:val="1"/>
          <w:numId w:val="1"/>
        </w:numPr>
        <w:ind w:left="360"/>
        <w:rPr>
          <w:b/>
        </w:rPr>
      </w:pPr>
      <w:r w:rsidRPr="007E56EE">
        <w:rPr>
          <w:b/>
        </w:rPr>
        <w:t>Publicidad: se garantizará mediante la publicación obligatoria en la página web de cada vendedor.</w:t>
      </w:r>
    </w:p>
    <w:p w14:paraId="19D7E038" w14:textId="77777777" w:rsidR="00AE6BE5" w:rsidRPr="007E56EE" w:rsidRDefault="00AE6BE5" w:rsidP="006461EF">
      <w:pPr>
        <w:pStyle w:val="ARTICULOS"/>
        <w:numPr>
          <w:ilvl w:val="0"/>
          <w:numId w:val="0"/>
        </w:numPr>
        <w:rPr>
          <w:b/>
        </w:rPr>
      </w:pPr>
    </w:p>
    <w:p w14:paraId="09C1854F" w14:textId="6401B1FB" w:rsidR="00AE6BE5" w:rsidRPr="007E56EE" w:rsidRDefault="00AE6BE5" w:rsidP="006461EF">
      <w:pPr>
        <w:pStyle w:val="ARTICULOS"/>
        <w:numPr>
          <w:ilvl w:val="1"/>
          <w:numId w:val="1"/>
        </w:numPr>
        <w:ind w:left="360"/>
        <w:rPr>
          <w:b/>
        </w:rPr>
      </w:pPr>
      <w:r w:rsidRPr="007E56EE">
        <w:rPr>
          <w:b/>
        </w:rPr>
        <w:t xml:space="preserve">Neutralidad: el diseño del mecanismo de mercado y el reglamento de este </w:t>
      </w:r>
      <w:r w:rsidRPr="007E56EE">
        <w:rPr>
          <w:b/>
        </w:rPr>
        <w:lastRenderedPageBreak/>
        <w:t>no permitirán, inducirán o adoptarán prácticas de discriminación indebida en contra de alguno de los Participantes.</w:t>
      </w:r>
    </w:p>
    <w:p w14:paraId="6023EDAE" w14:textId="77777777" w:rsidR="00AE6BE5" w:rsidRPr="007E56EE" w:rsidRDefault="00AE6BE5" w:rsidP="006461EF">
      <w:pPr>
        <w:pStyle w:val="ARTICULOS"/>
        <w:numPr>
          <w:ilvl w:val="0"/>
          <w:numId w:val="0"/>
        </w:numPr>
        <w:rPr>
          <w:b/>
        </w:rPr>
      </w:pPr>
    </w:p>
    <w:p w14:paraId="5D621F13" w14:textId="621B95C7" w:rsidR="00AE6BE5" w:rsidRPr="007E56EE" w:rsidRDefault="00AE6BE5" w:rsidP="006461EF">
      <w:pPr>
        <w:pStyle w:val="ARTICULOS"/>
        <w:numPr>
          <w:ilvl w:val="1"/>
          <w:numId w:val="1"/>
        </w:numPr>
        <w:ind w:left="360"/>
        <w:rPr>
          <w:b/>
        </w:rPr>
      </w:pPr>
      <w:r w:rsidRPr="007E56EE">
        <w:rPr>
          <w:b/>
        </w:rPr>
        <w:t>Simplicidad y transparencia: el mecanismo de mercado será claro, explícito y constará por escrito, de tal forma que pueda ser comprendido sin duda ni ambigüedad.</w:t>
      </w:r>
    </w:p>
    <w:p w14:paraId="184F0734" w14:textId="77777777" w:rsidR="00AE6BE5" w:rsidRPr="007E56EE" w:rsidRDefault="00AE6BE5" w:rsidP="006461EF">
      <w:pPr>
        <w:pStyle w:val="ARTICULOS"/>
        <w:numPr>
          <w:ilvl w:val="0"/>
          <w:numId w:val="0"/>
        </w:numPr>
        <w:rPr>
          <w:b/>
        </w:rPr>
      </w:pPr>
    </w:p>
    <w:p w14:paraId="2AD40D90" w14:textId="2B804B18" w:rsidR="00AE6BE5" w:rsidRPr="007E56EE" w:rsidRDefault="00AE6BE5" w:rsidP="006461EF">
      <w:pPr>
        <w:pStyle w:val="ARTICULOS"/>
        <w:numPr>
          <w:ilvl w:val="1"/>
          <w:numId w:val="1"/>
        </w:numPr>
        <w:ind w:left="360"/>
        <w:rPr>
          <w:b/>
        </w:rPr>
      </w:pPr>
      <w:r w:rsidRPr="007E56EE">
        <w:rPr>
          <w:b/>
        </w:rPr>
        <w:t>Objetividad: los criterios de adjudicación del mecanismo de mercado serán claros e imparciales.</w:t>
      </w:r>
    </w:p>
    <w:p w14:paraId="643A65AD" w14:textId="77777777" w:rsidR="00AE6BE5" w:rsidRPr="007E56EE" w:rsidRDefault="00AE6BE5" w:rsidP="006461EF">
      <w:pPr>
        <w:pStyle w:val="Prrafodelista"/>
        <w:rPr>
          <w:b/>
        </w:rPr>
      </w:pPr>
    </w:p>
    <w:bookmarkEnd w:id="99"/>
    <w:p w14:paraId="2CD667A2" w14:textId="3E38681A" w:rsidR="00E02BB9" w:rsidRPr="007E56EE" w:rsidRDefault="0006302B" w:rsidP="00E02BB9">
      <w:pPr>
        <w:pStyle w:val="ARTICULOS"/>
        <w:tabs>
          <w:tab w:val="clear" w:pos="1559"/>
          <w:tab w:val="left" w:pos="1560"/>
        </w:tabs>
        <w:outlineLvl w:val="0"/>
        <w:rPr>
          <w:b/>
          <w:bCs w:val="0"/>
          <w:color w:val="000000" w:themeColor="text1"/>
          <w:lang w:val="es-ES"/>
        </w:rPr>
      </w:pPr>
      <w:r w:rsidRPr="007E56EE">
        <w:rPr>
          <w:b/>
          <w:bCs w:val="0"/>
          <w:lang w:val="es-ES"/>
        </w:rPr>
        <w:t>Derogatorias</w:t>
      </w:r>
      <w:r w:rsidRPr="007E56EE">
        <w:rPr>
          <w:b/>
        </w:rPr>
        <w:t>.</w:t>
      </w:r>
      <w:r w:rsidR="00E02BB9" w:rsidRPr="007E56EE">
        <w:rPr>
          <w:b/>
          <w:lang w:val="es-CO"/>
        </w:rPr>
        <w:t xml:space="preserve"> La </w:t>
      </w:r>
      <w:r w:rsidR="00E02BB9" w:rsidRPr="007E56EE">
        <w:rPr>
          <w:rFonts w:cs="Arial"/>
          <w:b/>
          <w:bCs w:val="0"/>
          <w:color w:val="000000" w:themeColor="text1"/>
          <w:lang w:eastAsia="es-CO"/>
        </w:rPr>
        <w:t>presente Resolución deroga todas las disposiciones que le sean contrarias. En especial, las siguientes:</w:t>
      </w:r>
    </w:p>
    <w:p w14:paraId="38527A15" w14:textId="77777777" w:rsidR="00E02BB9" w:rsidRPr="007E56EE" w:rsidRDefault="00E02BB9" w:rsidP="00E02BB9">
      <w:pPr>
        <w:pStyle w:val="ARTICULOS"/>
        <w:numPr>
          <w:ilvl w:val="0"/>
          <w:numId w:val="0"/>
        </w:numPr>
        <w:ind w:left="567"/>
        <w:rPr>
          <w:b/>
          <w:bCs w:val="0"/>
          <w:color w:val="000000" w:themeColor="text1"/>
          <w:lang w:val="es-ES"/>
        </w:rPr>
      </w:pPr>
    </w:p>
    <w:p w14:paraId="4F22555D"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Resolución CREG 170 de 2011.</w:t>
      </w:r>
    </w:p>
    <w:p w14:paraId="7331B38A" w14:textId="77777777" w:rsidR="00E02BB9" w:rsidRPr="007E56EE" w:rsidRDefault="00E02BB9" w:rsidP="00E02BB9">
      <w:pPr>
        <w:pStyle w:val="ARTICULOS"/>
        <w:numPr>
          <w:ilvl w:val="0"/>
          <w:numId w:val="0"/>
        </w:numPr>
        <w:ind w:left="567"/>
        <w:rPr>
          <w:b/>
          <w:bCs w:val="0"/>
          <w:color w:val="000000" w:themeColor="text1"/>
          <w:lang w:val="es-ES"/>
        </w:rPr>
      </w:pPr>
    </w:p>
    <w:p w14:paraId="54C19E68"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Resolución CREG 118 de 2011.</w:t>
      </w:r>
    </w:p>
    <w:p w14:paraId="22E6DD91" w14:textId="77777777" w:rsidR="00E02BB9" w:rsidRPr="007E56EE" w:rsidRDefault="00E02BB9" w:rsidP="00E02BB9">
      <w:pPr>
        <w:pStyle w:val="Prrafodelista"/>
        <w:rPr>
          <w:rFonts w:ascii="Bookman Old Style" w:hAnsi="Bookman Old Style"/>
          <w:b/>
          <w:color w:val="000000" w:themeColor="text1"/>
          <w:sz w:val="24"/>
          <w:szCs w:val="24"/>
          <w:lang w:val="es-ES"/>
        </w:rPr>
      </w:pPr>
    </w:p>
    <w:p w14:paraId="0DCEB8BA"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El artículo 6 de la Resolución CREG 079 de 2011.</w:t>
      </w:r>
    </w:p>
    <w:p w14:paraId="4E918220" w14:textId="77777777" w:rsidR="00E02BB9" w:rsidRPr="007E56EE" w:rsidRDefault="00E02BB9" w:rsidP="00E02BB9">
      <w:pPr>
        <w:pStyle w:val="Prrafodelista"/>
        <w:rPr>
          <w:rFonts w:ascii="Bookman Old Style" w:hAnsi="Bookman Old Style"/>
          <w:b/>
          <w:color w:val="000000" w:themeColor="text1"/>
          <w:sz w:val="24"/>
          <w:szCs w:val="24"/>
          <w:lang w:val="es-ES"/>
        </w:rPr>
      </w:pPr>
    </w:p>
    <w:p w14:paraId="3F39D533" w14:textId="77777777" w:rsidR="00E02BB9" w:rsidRPr="007E56EE" w:rsidRDefault="00E02BB9" w:rsidP="00E02BB9">
      <w:pPr>
        <w:pStyle w:val="ARTICULOS"/>
        <w:numPr>
          <w:ilvl w:val="1"/>
          <w:numId w:val="105"/>
        </w:numPr>
        <w:ind w:left="567" w:hanging="567"/>
        <w:rPr>
          <w:b/>
          <w:bCs w:val="0"/>
          <w:color w:val="000000" w:themeColor="text1"/>
        </w:rPr>
      </w:pPr>
      <w:r w:rsidRPr="007E56EE">
        <w:rPr>
          <w:b/>
          <w:bCs w:val="0"/>
          <w:color w:val="000000" w:themeColor="text1"/>
          <w:lang w:val="es-CO"/>
        </w:rPr>
        <w:t>Los parágrafos 1 y 2 del artículo 28 de la Resolución CREG 126 de 2010.</w:t>
      </w:r>
    </w:p>
    <w:p w14:paraId="28B4DB9F" w14:textId="77777777" w:rsidR="00E02BB9" w:rsidRPr="007E56EE" w:rsidRDefault="00E02BB9" w:rsidP="00E02BB9">
      <w:pPr>
        <w:pStyle w:val="Prrafodelista"/>
        <w:rPr>
          <w:rFonts w:ascii="Bookman Old Style" w:hAnsi="Bookman Old Style" w:cs="Arial"/>
          <w:b/>
          <w:color w:val="000000" w:themeColor="text1"/>
          <w:sz w:val="24"/>
          <w:szCs w:val="24"/>
        </w:rPr>
      </w:pPr>
    </w:p>
    <w:p w14:paraId="3D5A3149" w14:textId="77777777" w:rsidR="00E02BB9" w:rsidRPr="007E56EE" w:rsidRDefault="00E02BB9" w:rsidP="00E02BB9">
      <w:pPr>
        <w:pStyle w:val="ARTICULOS"/>
        <w:numPr>
          <w:ilvl w:val="1"/>
          <w:numId w:val="105"/>
        </w:numPr>
        <w:ind w:left="567" w:hanging="567"/>
        <w:rPr>
          <w:b/>
          <w:bCs w:val="0"/>
          <w:color w:val="000000" w:themeColor="text1"/>
        </w:rPr>
      </w:pPr>
      <w:r w:rsidRPr="007E56EE">
        <w:rPr>
          <w:rFonts w:cs="Arial"/>
          <w:b/>
          <w:bCs w:val="0"/>
          <w:color w:val="000000" w:themeColor="text1"/>
        </w:rPr>
        <w:t>El artículo 3 de la Resolución 147 de 2009</w:t>
      </w:r>
      <w:r w:rsidRPr="007E56EE">
        <w:rPr>
          <w:rFonts w:cs="Arial"/>
          <w:b/>
          <w:bCs w:val="0"/>
          <w:color w:val="000000" w:themeColor="text1"/>
          <w:lang w:val="es-CO"/>
        </w:rPr>
        <w:t>.</w:t>
      </w:r>
    </w:p>
    <w:p w14:paraId="4821A525" w14:textId="77777777" w:rsidR="00E02BB9" w:rsidRPr="007E56EE" w:rsidRDefault="00E02BB9" w:rsidP="00E02BB9">
      <w:pPr>
        <w:pStyle w:val="ARTICULOS"/>
        <w:numPr>
          <w:ilvl w:val="0"/>
          <w:numId w:val="0"/>
        </w:numPr>
        <w:ind w:left="567"/>
        <w:rPr>
          <w:b/>
          <w:bCs w:val="0"/>
          <w:color w:val="000000" w:themeColor="text1"/>
        </w:rPr>
      </w:pPr>
    </w:p>
    <w:p w14:paraId="4DC95E4C" w14:textId="77777777" w:rsidR="00E02BB9" w:rsidRPr="007E56EE" w:rsidRDefault="00E02BB9" w:rsidP="00E02BB9">
      <w:pPr>
        <w:pStyle w:val="ARTICULOS"/>
        <w:numPr>
          <w:ilvl w:val="1"/>
          <w:numId w:val="105"/>
        </w:numPr>
        <w:ind w:left="567" w:hanging="567"/>
        <w:rPr>
          <w:b/>
          <w:bCs w:val="0"/>
          <w:color w:val="000000" w:themeColor="text1"/>
        </w:rPr>
      </w:pPr>
      <w:r w:rsidRPr="007E56EE">
        <w:rPr>
          <w:rFonts w:cs="Arial"/>
          <w:b/>
          <w:bCs w:val="0"/>
          <w:color w:val="000000" w:themeColor="text1"/>
        </w:rPr>
        <w:t>El artículo 1 de la Resolución CREG 045 de 2009</w:t>
      </w:r>
      <w:r w:rsidRPr="007E56EE">
        <w:rPr>
          <w:rFonts w:cs="Arial"/>
          <w:b/>
          <w:bCs w:val="0"/>
          <w:color w:val="000000" w:themeColor="text1"/>
          <w:lang w:val="es-CO"/>
        </w:rPr>
        <w:t>.</w:t>
      </w:r>
    </w:p>
    <w:p w14:paraId="41336BFE" w14:textId="77777777" w:rsidR="00E02BB9" w:rsidRPr="007E56EE" w:rsidRDefault="00E02BB9" w:rsidP="00E02BB9">
      <w:pPr>
        <w:pStyle w:val="Prrafodelista"/>
        <w:rPr>
          <w:rFonts w:ascii="Bookman Old Style" w:hAnsi="Bookman Old Style"/>
          <w:b/>
          <w:color w:val="000000" w:themeColor="text1"/>
          <w:sz w:val="24"/>
          <w:szCs w:val="24"/>
          <w:lang w:val="es-ES"/>
        </w:rPr>
      </w:pPr>
    </w:p>
    <w:p w14:paraId="6CC2B5B4"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Los artículos 1 a 19 y 21 a 25 de la Resolución CREG 095 de 2008.</w:t>
      </w:r>
    </w:p>
    <w:p w14:paraId="04C1B0B5" w14:textId="77777777" w:rsidR="00E02BB9" w:rsidRPr="007E56EE" w:rsidRDefault="00E02BB9" w:rsidP="00E02BB9">
      <w:pPr>
        <w:pStyle w:val="ARTICULOS"/>
        <w:numPr>
          <w:ilvl w:val="0"/>
          <w:numId w:val="0"/>
        </w:numPr>
        <w:ind w:left="567"/>
        <w:rPr>
          <w:b/>
          <w:bCs w:val="0"/>
          <w:color w:val="000000" w:themeColor="text1"/>
          <w:lang w:val="es-ES"/>
        </w:rPr>
      </w:pPr>
    </w:p>
    <w:p w14:paraId="15A4BC0A"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Los artículos 1 a 6 de la Resolución 070 de 2006.</w:t>
      </w:r>
    </w:p>
    <w:p w14:paraId="6BCE8C85" w14:textId="77777777" w:rsidR="00E02BB9" w:rsidRPr="007E56EE" w:rsidRDefault="00E02BB9" w:rsidP="00E02BB9">
      <w:pPr>
        <w:pStyle w:val="ARTICULOS"/>
        <w:numPr>
          <w:ilvl w:val="0"/>
          <w:numId w:val="0"/>
        </w:numPr>
        <w:ind w:left="567"/>
        <w:rPr>
          <w:b/>
          <w:bCs w:val="0"/>
          <w:color w:val="000000" w:themeColor="text1"/>
          <w:lang w:val="es-ES"/>
        </w:rPr>
      </w:pPr>
    </w:p>
    <w:p w14:paraId="6DF1AFB1" w14:textId="2161CF0C" w:rsidR="00E02BB9" w:rsidRPr="007E56EE" w:rsidRDefault="00E02BB9" w:rsidP="00E02BB9">
      <w:pPr>
        <w:pStyle w:val="ARTICULOS"/>
        <w:numPr>
          <w:ilvl w:val="1"/>
          <w:numId w:val="105"/>
        </w:numPr>
        <w:ind w:left="567" w:hanging="567"/>
        <w:rPr>
          <w:b/>
          <w:bCs w:val="0"/>
          <w:color w:val="000000" w:themeColor="text1"/>
        </w:rPr>
      </w:pPr>
      <w:r w:rsidRPr="007E56EE">
        <w:rPr>
          <w:rFonts w:cs="Arial"/>
          <w:b/>
          <w:bCs w:val="0"/>
          <w:color w:val="000000" w:themeColor="text1"/>
          <w:lang w:val="es-CO"/>
        </w:rPr>
        <w:t>E</w:t>
      </w:r>
      <w:r w:rsidRPr="007E56EE">
        <w:rPr>
          <w:rFonts w:cs="Arial"/>
          <w:b/>
          <w:bCs w:val="0"/>
          <w:color w:val="000000" w:themeColor="text1"/>
        </w:rPr>
        <w:t xml:space="preserve">l numeral 1 del </w:t>
      </w:r>
      <w:r w:rsidR="00210424">
        <w:rPr>
          <w:rFonts w:cs="Arial"/>
          <w:b/>
          <w:bCs w:val="0"/>
          <w:color w:val="000000" w:themeColor="text1"/>
          <w:lang w:val="es-CO"/>
        </w:rPr>
        <w:t>a</w:t>
      </w:r>
      <w:r w:rsidRPr="007E56EE">
        <w:rPr>
          <w:rFonts w:cs="Arial"/>
          <w:b/>
          <w:bCs w:val="0"/>
          <w:color w:val="000000" w:themeColor="text1"/>
        </w:rPr>
        <w:t>rtículo 3 de la Resolución CREG 114 de 2006</w:t>
      </w:r>
      <w:r w:rsidRPr="007E56EE">
        <w:rPr>
          <w:rFonts w:cs="Arial"/>
          <w:b/>
          <w:bCs w:val="0"/>
          <w:color w:val="000000" w:themeColor="text1"/>
          <w:lang w:val="es-CO"/>
        </w:rPr>
        <w:t>.</w:t>
      </w:r>
    </w:p>
    <w:p w14:paraId="6BEE105C" w14:textId="77777777" w:rsidR="00E02BB9" w:rsidRPr="007E56EE" w:rsidRDefault="00E02BB9" w:rsidP="00E02BB9">
      <w:pPr>
        <w:pStyle w:val="ARTICULOS"/>
        <w:numPr>
          <w:ilvl w:val="0"/>
          <w:numId w:val="0"/>
        </w:numPr>
        <w:ind w:left="567"/>
        <w:rPr>
          <w:b/>
          <w:bCs w:val="0"/>
          <w:color w:val="000000" w:themeColor="text1"/>
          <w:lang w:val="es-ES"/>
        </w:rPr>
      </w:pPr>
    </w:p>
    <w:p w14:paraId="26F68B64"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Los artículos 1, 2 y 5 a 9 de la Resolución CREG 023 de 2000.</w:t>
      </w:r>
    </w:p>
    <w:p w14:paraId="5B4E3971" w14:textId="77777777" w:rsidR="00E02BB9" w:rsidRPr="007E56EE" w:rsidRDefault="00E02BB9" w:rsidP="00E02BB9">
      <w:pPr>
        <w:pStyle w:val="ARTICULOS"/>
        <w:numPr>
          <w:ilvl w:val="0"/>
          <w:numId w:val="0"/>
        </w:numPr>
        <w:ind w:left="567"/>
        <w:rPr>
          <w:b/>
          <w:bCs w:val="0"/>
          <w:color w:val="000000" w:themeColor="text1"/>
          <w:lang w:val="es-ES"/>
        </w:rPr>
      </w:pPr>
    </w:p>
    <w:p w14:paraId="62FE9424"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La definición de mercado secundario del artículo 1 de la Resolución 017 de 2000.</w:t>
      </w:r>
    </w:p>
    <w:p w14:paraId="5B861F17" w14:textId="77777777" w:rsidR="00E02BB9" w:rsidRPr="007E56EE" w:rsidRDefault="00E02BB9" w:rsidP="00E02BB9">
      <w:pPr>
        <w:pStyle w:val="ARTICULOS"/>
        <w:numPr>
          <w:ilvl w:val="0"/>
          <w:numId w:val="0"/>
        </w:numPr>
        <w:ind w:left="567"/>
        <w:rPr>
          <w:b/>
          <w:bCs w:val="0"/>
          <w:color w:val="000000" w:themeColor="text1"/>
          <w:lang w:val="es-ES"/>
        </w:rPr>
      </w:pPr>
    </w:p>
    <w:p w14:paraId="4363926B"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Las siguientes definiciones del numeral 1.1 del RUT: capacidad disponible primaria, capacidad disponible secundaria, capacidad firme, capacidad interrumpible, capacidad liberada, comercialización de gas combustible, comercializador, liberación de capacidad, mercado secundario, remitente, remitente remplazante y variación de salida.</w:t>
      </w:r>
    </w:p>
    <w:p w14:paraId="5DF4DD46" w14:textId="77777777" w:rsidR="00E02BB9" w:rsidRPr="007E56EE" w:rsidRDefault="00E02BB9" w:rsidP="00E02BB9">
      <w:pPr>
        <w:pStyle w:val="ARTICULOS"/>
        <w:numPr>
          <w:ilvl w:val="0"/>
          <w:numId w:val="0"/>
        </w:numPr>
        <w:ind w:left="567"/>
        <w:rPr>
          <w:b/>
          <w:bCs w:val="0"/>
          <w:color w:val="000000" w:themeColor="text1"/>
          <w:lang w:val="es-ES"/>
        </w:rPr>
      </w:pPr>
    </w:p>
    <w:p w14:paraId="15D9AE6F"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El parágrafo del numeral 2.2.2 y los numerales 2.5 y 4.7.1 del RUT.</w:t>
      </w:r>
    </w:p>
    <w:p w14:paraId="5B05904B" w14:textId="77777777" w:rsidR="00E02BB9" w:rsidRPr="007E56EE" w:rsidRDefault="00E02BB9" w:rsidP="00E02BB9">
      <w:pPr>
        <w:pStyle w:val="ARTICULOS"/>
        <w:numPr>
          <w:ilvl w:val="0"/>
          <w:numId w:val="0"/>
        </w:numPr>
        <w:ind w:left="567"/>
        <w:rPr>
          <w:b/>
          <w:bCs w:val="0"/>
          <w:color w:val="000000" w:themeColor="text1"/>
          <w:lang w:val="es-ES"/>
        </w:rPr>
      </w:pPr>
    </w:p>
    <w:p w14:paraId="7F7D8162"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Los dos (2) últimos incisos del numeral 2.2.3 del RUT.</w:t>
      </w:r>
    </w:p>
    <w:p w14:paraId="0CD97B46" w14:textId="77777777" w:rsidR="00E02BB9" w:rsidRPr="007E56EE" w:rsidRDefault="00E02BB9" w:rsidP="00E02BB9">
      <w:pPr>
        <w:pStyle w:val="ARTICULOS"/>
        <w:numPr>
          <w:ilvl w:val="0"/>
          <w:numId w:val="0"/>
        </w:numPr>
        <w:ind w:left="567"/>
        <w:rPr>
          <w:b/>
          <w:bCs w:val="0"/>
          <w:color w:val="000000" w:themeColor="text1"/>
          <w:lang w:val="es-ES"/>
        </w:rPr>
      </w:pPr>
    </w:p>
    <w:p w14:paraId="0E5AEAD9"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La definición de productor-comercializador del artículo 1 de la Resolución CREG 023 de 2000.</w:t>
      </w:r>
    </w:p>
    <w:p w14:paraId="50F04612" w14:textId="77777777" w:rsidR="00E02BB9" w:rsidRPr="007E56EE" w:rsidRDefault="00E02BB9" w:rsidP="00E02BB9">
      <w:pPr>
        <w:pStyle w:val="ARTICULOS"/>
        <w:numPr>
          <w:ilvl w:val="0"/>
          <w:numId w:val="0"/>
        </w:numPr>
        <w:ind w:left="567"/>
        <w:rPr>
          <w:b/>
          <w:bCs w:val="0"/>
          <w:color w:val="000000" w:themeColor="text1"/>
          <w:lang w:val="es-ES"/>
        </w:rPr>
      </w:pPr>
    </w:p>
    <w:p w14:paraId="2CBD0612"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Las siguientes definiciones del artículo 2 de la Resolución CREG 071 de 1998: comercialización y comercializador.</w:t>
      </w:r>
    </w:p>
    <w:p w14:paraId="6A9E98BC" w14:textId="77777777" w:rsidR="00E02BB9" w:rsidRPr="007E56EE" w:rsidRDefault="00E02BB9" w:rsidP="00E02BB9">
      <w:pPr>
        <w:pStyle w:val="ARTICULOS"/>
        <w:numPr>
          <w:ilvl w:val="0"/>
          <w:numId w:val="0"/>
        </w:numPr>
        <w:ind w:left="567"/>
        <w:rPr>
          <w:b/>
          <w:bCs w:val="0"/>
          <w:color w:val="000000" w:themeColor="text1"/>
          <w:lang w:val="es-ES"/>
        </w:rPr>
      </w:pPr>
    </w:p>
    <w:p w14:paraId="615646FA"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Las siguientes definiciones del artículo 1 de la Resolución CREG 057 de 1996: comercialización de gas combustible, comercializador, mercado mayorista, prima de disponibilidad, venta de gas natural por parte de productores y centro de despacho de gas.</w:t>
      </w:r>
    </w:p>
    <w:p w14:paraId="45EDC720" w14:textId="77777777" w:rsidR="00E02BB9" w:rsidRPr="007E56EE" w:rsidRDefault="00E02BB9" w:rsidP="00E02BB9">
      <w:pPr>
        <w:pStyle w:val="ARTICULOS"/>
        <w:numPr>
          <w:ilvl w:val="0"/>
          <w:numId w:val="0"/>
        </w:numPr>
        <w:ind w:left="567"/>
        <w:rPr>
          <w:b/>
          <w:bCs w:val="0"/>
          <w:color w:val="000000" w:themeColor="text1"/>
          <w:lang w:val="es-ES"/>
        </w:rPr>
      </w:pPr>
    </w:p>
    <w:p w14:paraId="4DFCFC74" w14:textId="7777777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Los artículos 10, 12, 22, 33, 76 y 77 de la Resolución CREG 057 de 1996.</w:t>
      </w:r>
    </w:p>
    <w:p w14:paraId="7D6DC235" w14:textId="77777777" w:rsidR="00E02BB9" w:rsidRPr="007E56EE" w:rsidRDefault="00E02BB9" w:rsidP="00E02BB9">
      <w:pPr>
        <w:pStyle w:val="Prrafodelista"/>
        <w:rPr>
          <w:b/>
          <w:color w:val="000000" w:themeColor="text1"/>
          <w:lang w:val="es-ES"/>
        </w:rPr>
      </w:pPr>
    </w:p>
    <w:p w14:paraId="76C063CF" w14:textId="415A9D84" w:rsidR="00E02BB9" w:rsidRPr="007E56EE" w:rsidRDefault="00E02BB9" w:rsidP="00E02BB9">
      <w:pPr>
        <w:pStyle w:val="ARTICULOS"/>
        <w:numPr>
          <w:ilvl w:val="1"/>
          <w:numId w:val="105"/>
        </w:numPr>
        <w:ind w:left="567" w:hanging="567"/>
        <w:rPr>
          <w:b/>
          <w:bCs w:val="0"/>
          <w:color w:val="000000" w:themeColor="text1"/>
          <w:lang w:val="es-ES"/>
        </w:rPr>
      </w:pPr>
      <w:r w:rsidRPr="007E56EE">
        <w:rPr>
          <w:rFonts w:cs="Arial"/>
          <w:b/>
          <w:bCs w:val="0"/>
          <w:color w:val="000000" w:themeColor="text1"/>
          <w:lang w:val="es-CO" w:eastAsia="es-CO"/>
        </w:rPr>
        <w:t>Resolución CREG 089 de 2013 y sus modificaciones</w:t>
      </w:r>
      <w:r w:rsidRPr="007E56EE">
        <w:rPr>
          <w:b/>
          <w:bCs w:val="0"/>
          <w:lang w:val="es-CO"/>
        </w:rPr>
        <w:t>.</w:t>
      </w:r>
    </w:p>
    <w:p w14:paraId="25731102" w14:textId="77777777" w:rsidR="00E02BB9" w:rsidRPr="007E56EE" w:rsidRDefault="00E02BB9" w:rsidP="00E02BB9">
      <w:pPr>
        <w:pStyle w:val="Prrafodelista"/>
        <w:rPr>
          <w:b/>
          <w:color w:val="000000" w:themeColor="text1"/>
          <w:lang w:val="es-ES"/>
        </w:rPr>
      </w:pPr>
    </w:p>
    <w:p w14:paraId="4C59A09A" w14:textId="4B30E956"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Resolución CREG 114 de 2017 y sus modificaciones.</w:t>
      </w:r>
    </w:p>
    <w:p w14:paraId="4C105D27" w14:textId="77777777" w:rsidR="00E02BB9" w:rsidRPr="007E56EE" w:rsidRDefault="00E02BB9" w:rsidP="00E02BB9">
      <w:pPr>
        <w:pStyle w:val="Prrafodelista"/>
        <w:rPr>
          <w:b/>
          <w:color w:val="000000" w:themeColor="text1"/>
          <w:lang w:val="es-ES"/>
        </w:rPr>
      </w:pPr>
    </w:p>
    <w:p w14:paraId="4016F70C" w14:textId="42B7D6DE"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lang w:val="es-ES"/>
        </w:rPr>
        <w:t>Resolución</w:t>
      </w:r>
      <w:r w:rsidRPr="007E56EE">
        <w:rPr>
          <w:b/>
          <w:bCs w:val="0"/>
        </w:rPr>
        <w:t xml:space="preserve"> CREG 136 de 2014, </w:t>
      </w:r>
      <w:r w:rsidRPr="007E56EE">
        <w:rPr>
          <w:b/>
          <w:bCs w:val="0"/>
          <w:lang w:val="es-CO"/>
        </w:rPr>
        <w:t>y sus modificaciones.</w:t>
      </w:r>
    </w:p>
    <w:p w14:paraId="162B55CC" w14:textId="77777777" w:rsidR="00E02BB9" w:rsidRPr="007E56EE" w:rsidRDefault="00E02BB9" w:rsidP="00E02BB9">
      <w:pPr>
        <w:pStyle w:val="Prrafodelista"/>
        <w:rPr>
          <w:b/>
          <w:color w:val="000000" w:themeColor="text1"/>
          <w:lang w:val="es-ES"/>
        </w:rPr>
      </w:pPr>
    </w:p>
    <w:p w14:paraId="3725A51A" w14:textId="6F29D517"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Resolución CREG 021 de 2019.</w:t>
      </w:r>
    </w:p>
    <w:p w14:paraId="3A3BA9FE" w14:textId="77777777" w:rsidR="00E02BB9" w:rsidRPr="007E56EE" w:rsidRDefault="00E02BB9" w:rsidP="00E02BB9">
      <w:pPr>
        <w:pStyle w:val="Prrafodelista"/>
        <w:rPr>
          <w:b/>
          <w:color w:val="000000" w:themeColor="text1"/>
          <w:lang w:val="es-ES"/>
        </w:rPr>
      </w:pPr>
    </w:p>
    <w:p w14:paraId="21BACBDB" w14:textId="7604F486" w:rsidR="00E02BB9" w:rsidRPr="007E56EE" w:rsidRDefault="00E02BB9" w:rsidP="00E02BB9">
      <w:pPr>
        <w:pStyle w:val="ARTICULOS"/>
        <w:numPr>
          <w:ilvl w:val="1"/>
          <w:numId w:val="105"/>
        </w:numPr>
        <w:ind w:left="567" w:hanging="567"/>
        <w:rPr>
          <w:b/>
          <w:bCs w:val="0"/>
          <w:color w:val="000000" w:themeColor="text1"/>
          <w:lang w:val="es-ES"/>
        </w:rPr>
      </w:pPr>
      <w:r w:rsidRPr="007E56EE">
        <w:rPr>
          <w:b/>
          <w:bCs w:val="0"/>
          <w:color w:val="000000" w:themeColor="text1"/>
          <w:lang w:val="es-ES"/>
        </w:rPr>
        <w:t>Resolución CREG 186 de 2020, y sus modificaciones.</w:t>
      </w:r>
    </w:p>
    <w:p w14:paraId="4DC20671" w14:textId="77777777" w:rsidR="00E02BB9" w:rsidRPr="007E56EE" w:rsidRDefault="00E02BB9" w:rsidP="00E02BB9">
      <w:pPr>
        <w:pStyle w:val="ARTICULOS"/>
        <w:numPr>
          <w:ilvl w:val="0"/>
          <w:numId w:val="0"/>
        </w:numPr>
        <w:ind w:left="567"/>
        <w:rPr>
          <w:b/>
          <w:bCs w:val="0"/>
          <w:color w:val="000000" w:themeColor="text1"/>
          <w:lang w:val="es-ES"/>
        </w:rPr>
      </w:pPr>
    </w:p>
    <w:p w14:paraId="194590EC" w14:textId="77777777" w:rsidR="0006302B" w:rsidRPr="007E56EE" w:rsidRDefault="0006302B" w:rsidP="0006302B">
      <w:pPr>
        <w:pStyle w:val="ARTICULOS"/>
        <w:numPr>
          <w:ilvl w:val="0"/>
          <w:numId w:val="0"/>
        </w:numPr>
        <w:rPr>
          <w:b/>
        </w:rPr>
      </w:pPr>
    </w:p>
    <w:p w14:paraId="1CD55E84" w14:textId="77777777" w:rsidR="0006302B" w:rsidRPr="007E56EE" w:rsidRDefault="0006302B" w:rsidP="0006302B">
      <w:pPr>
        <w:pStyle w:val="ARTICULOS"/>
      </w:pPr>
      <w:r w:rsidRPr="007E56EE">
        <w:rPr>
          <w:b/>
        </w:rPr>
        <w:t>Vigencia.</w:t>
      </w:r>
      <w:r w:rsidRPr="007E56EE">
        <w:t xml:space="preserve"> </w:t>
      </w:r>
      <w:r w:rsidRPr="007E56EE">
        <w:rPr>
          <w:bCs w:val="0"/>
        </w:rPr>
        <w:t xml:space="preserve">La presente Resolución rige a partir de la fecha de su publicación en el </w:t>
      </w:r>
      <w:r w:rsidRPr="007E56EE">
        <w:rPr>
          <w:bCs w:val="0"/>
          <w:i/>
        </w:rPr>
        <w:t>Diario Oficial</w:t>
      </w:r>
      <w:r w:rsidRPr="007E56EE">
        <w:rPr>
          <w:bCs w:val="0"/>
        </w:rPr>
        <w:t>.</w:t>
      </w:r>
      <w:r w:rsidRPr="007E56EE">
        <w:rPr>
          <w:bCs w:val="0"/>
          <w:lang w:val="es-CO"/>
        </w:rPr>
        <w:t xml:space="preserve"> </w:t>
      </w:r>
    </w:p>
    <w:p w14:paraId="4097AAF2" w14:textId="77777777" w:rsidR="0006302B" w:rsidRPr="007E56EE" w:rsidRDefault="0006302B" w:rsidP="0006302B">
      <w:pPr>
        <w:pStyle w:val="ARTICULOS"/>
        <w:numPr>
          <w:ilvl w:val="0"/>
          <w:numId w:val="0"/>
        </w:numPr>
      </w:pPr>
    </w:p>
    <w:p w14:paraId="0F1AAA8F" w14:textId="77777777" w:rsidR="00802727" w:rsidRDefault="00802727" w:rsidP="0006302B">
      <w:pPr>
        <w:pStyle w:val="ARTICULOS"/>
        <w:numPr>
          <w:ilvl w:val="0"/>
          <w:numId w:val="0"/>
        </w:numPr>
      </w:pPr>
    </w:p>
    <w:p w14:paraId="09B09E68" w14:textId="77777777" w:rsidR="00802727" w:rsidRDefault="00802727" w:rsidP="0006302B">
      <w:pPr>
        <w:pStyle w:val="ARTICULOS"/>
        <w:numPr>
          <w:ilvl w:val="0"/>
          <w:numId w:val="0"/>
        </w:numPr>
      </w:pPr>
    </w:p>
    <w:p w14:paraId="16644003" w14:textId="77777777" w:rsidR="00802727" w:rsidRDefault="00802727" w:rsidP="0006302B">
      <w:pPr>
        <w:pStyle w:val="ARTICULOS"/>
        <w:numPr>
          <w:ilvl w:val="0"/>
          <w:numId w:val="0"/>
        </w:numPr>
      </w:pPr>
    </w:p>
    <w:p w14:paraId="13B310DE" w14:textId="77777777" w:rsidR="00802727" w:rsidRDefault="00802727" w:rsidP="0006302B">
      <w:pPr>
        <w:pStyle w:val="ARTICULOS"/>
        <w:numPr>
          <w:ilvl w:val="0"/>
          <w:numId w:val="0"/>
        </w:numPr>
      </w:pPr>
    </w:p>
    <w:p w14:paraId="7E111059" w14:textId="77777777" w:rsidR="00802727" w:rsidRDefault="00802727" w:rsidP="0006302B">
      <w:pPr>
        <w:pStyle w:val="ARTICULOS"/>
        <w:numPr>
          <w:ilvl w:val="0"/>
          <w:numId w:val="0"/>
        </w:numPr>
      </w:pPr>
    </w:p>
    <w:p w14:paraId="4399395D" w14:textId="77777777" w:rsidR="00802727" w:rsidRDefault="00802727" w:rsidP="0006302B">
      <w:pPr>
        <w:pStyle w:val="ARTICULOS"/>
        <w:numPr>
          <w:ilvl w:val="0"/>
          <w:numId w:val="0"/>
        </w:numPr>
      </w:pPr>
    </w:p>
    <w:p w14:paraId="121DDCF4" w14:textId="77777777" w:rsidR="00802727" w:rsidRDefault="00802727" w:rsidP="0006302B">
      <w:pPr>
        <w:pStyle w:val="ARTICULOS"/>
        <w:numPr>
          <w:ilvl w:val="0"/>
          <w:numId w:val="0"/>
        </w:numPr>
      </w:pPr>
    </w:p>
    <w:p w14:paraId="65285413" w14:textId="77777777" w:rsidR="00802727" w:rsidRDefault="00802727" w:rsidP="0006302B">
      <w:pPr>
        <w:pStyle w:val="ARTICULOS"/>
        <w:numPr>
          <w:ilvl w:val="0"/>
          <w:numId w:val="0"/>
        </w:numPr>
      </w:pPr>
    </w:p>
    <w:p w14:paraId="1E11BB72" w14:textId="77777777" w:rsidR="00802727" w:rsidRDefault="00802727" w:rsidP="0006302B">
      <w:pPr>
        <w:pStyle w:val="ARTICULOS"/>
        <w:numPr>
          <w:ilvl w:val="0"/>
          <w:numId w:val="0"/>
        </w:numPr>
      </w:pPr>
    </w:p>
    <w:p w14:paraId="74CC256D" w14:textId="77777777" w:rsidR="00802727" w:rsidRDefault="00802727" w:rsidP="0006302B">
      <w:pPr>
        <w:pStyle w:val="ARTICULOS"/>
        <w:numPr>
          <w:ilvl w:val="0"/>
          <w:numId w:val="0"/>
        </w:numPr>
      </w:pPr>
    </w:p>
    <w:p w14:paraId="746CE1A4" w14:textId="77777777" w:rsidR="00802727" w:rsidRDefault="00802727" w:rsidP="0006302B">
      <w:pPr>
        <w:pStyle w:val="ARTICULOS"/>
        <w:numPr>
          <w:ilvl w:val="0"/>
          <w:numId w:val="0"/>
        </w:numPr>
      </w:pPr>
    </w:p>
    <w:p w14:paraId="2F160F76" w14:textId="4BF8E17A" w:rsidR="00F821B5" w:rsidRDefault="00F821B5">
      <w:pPr>
        <w:ind w:left="0"/>
        <w:rPr>
          <w:rFonts w:ascii="Bookman Old Style" w:hAnsi="Bookman Old Style"/>
          <w:bCs/>
          <w:lang w:val="x-none" w:eastAsia="x-none"/>
        </w:rPr>
      </w:pPr>
      <w:r>
        <w:br w:type="page"/>
      </w:r>
    </w:p>
    <w:p w14:paraId="11597D4A" w14:textId="77777777" w:rsidR="0006302B" w:rsidRPr="007E56EE" w:rsidRDefault="0006302B" w:rsidP="0006302B">
      <w:bookmarkStart w:id="101" w:name="_Ref55295797"/>
    </w:p>
    <w:p w14:paraId="312827D2" w14:textId="39EEAADC" w:rsidR="0006302B" w:rsidRPr="007E56EE" w:rsidRDefault="0006302B" w:rsidP="0006302B">
      <w:pPr>
        <w:pStyle w:val="Ttulo1"/>
        <w:ind w:left="0"/>
        <w:rPr>
          <w:rFonts w:ascii="Bookman Old Style" w:hAnsi="Bookman Old Style"/>
          <w:color w:val="000000" w:themeColor="text1"/>
        </w:rPr>
      </w:pPr>
      <w:bookmarkStart w:id="102" w:name="_Ref55316068"/>
      <w:r w:rsidRPr="007E56EE">
        <w:rPr>
          <w:rFonts w:ascii="Bookman Old Style" w:hAnsi="Bookman Old Style"/>
          <w:color w:val="000000" w:themeColor="text1"/>
        </w:rPr>
        <w:t xml:space="preserve">Anexo </w:t>
      </w:r>
      <w:r w:rsidRPr="007E56EE">
        <w:rPr>
          <w:rFonts w:ascii="Bookman Old Style" w:hAnsi="Bookman Old Style"/>
          <w:color w:val="000000" w:themeColor="text1"/>
        </w:rPr>
        <w:fldChar w:fldCharType="begin"/>
      </w:r>
      <w:r w:rsidRPr="007E56EE">
        <w:rPr>
          <w:rFonts w:ascii="Bookman Old Style" w:hAnsi="Bookman Old Style"/>
          <w:color w:val="000000" w:themeColor="text1"/>
        </w:rPr>
        <w:instrText xml:space="preserve"> SEQ Anexo \* ARABIC </w:instrText>
      </w:r>
      <w:r w:rsidRPr="007E56EE">
        <w:rPr>
          <w:rFonts w:ascii="Bookman Old Style" w:hAnsi="Bookman Old Style"/>
          <w:color w:val="000000" w:themeColor="text1"/>
        </w:rPr>
        <w:fldChar w:fldCharType="separate"/>
      </w:r>
      <w:r w:rsidR="00636B6A">
        <w:rPr>
          <w:rFonts w:ascii="Bookman Old Style" w:hAnsi="Bookman Old Style"/>
          <w:noProof/>
          <w:color w:val="000000" w:themeColor="text1"/>
        </w:rPr>
        <w:t>1</w:t>
      </w:r>
      <w:r w:rsidRPr="007E56EE">
        <w:rPr>
          <w:rFonts w:ascii="Bookman Old Style" w:hAnsi="Bookman Old Style"/>
          <w:color w:val="000000" w:themeColor="text1"/>
        </w:rPr>
        <w:fldChar w:fldCharType="end"/>
      </w:r>
      <w:bookmarkEnd w:id="67"/>
      <w:bookmarkEnd w:id="101"/>
      <w:bookmarkEnd w:id="102"/>
    </w:p>
    <w:p w14:paraId="6C8C7602" w14:textId="77777777" w:rsidR="0006302B" w:rsidRPr="007E56EE" w:rsidRDefault="0006302B" w:rsidP="0006302B">
      <w:pPr>
        <w:pStyle w:val="ARTICULOS"/>
        <w:numPr>
          <w:ilvl w:val="0"/>
          <w:numId w:val="0"/>
        </w:numPr>
        <w:jc w:val="center"/>
        <w:rPr>
          <w:b/>
          <w:color w:val="000000" w:themeColor="text1"/>
          <w:lang w:val="es-CO"/>
        </w:rPr>
      </w:pPr>
      <w:r w:rsidRPr="007E56EE">
        <w:rPr>
          <w:b/>
          <w:color w:val="000000" w:themeColor="text1"/>
          <w:lang w:val="es-CO"/>
        </w:rPr>
        <w:t>Información transaccional y operativa</w:t>
      </w:r>
    </w:p>
    <w:p w14:paraId="639818F2" w14:textId="77777777" w:rsidR="0006302B" w:rsidRPr="007E56EE" w:rsidRDefault="0006302B" w:rsidP="0006302B">
      <w:pPr>
        <w:rPr>
          <w:lang w:val="es-CO"/>
        </w:rPr>
      </w:pPr>
    </w:p>
    <w:p w14:paraId="5D01DD3F" w14:textId="77777777" w:rsidR="0006302B" w:rsidRPr="0013707D" w:rsidRDefault="0006302B" w:rsidP="0006302B">
      <w:pPr>
        <w:rPr>
          <w:lang w:val="es-CO"/>
        </w:rPr>
      </w:pPr>
    </w:p>
    <w:p w14:paraId="2B9191DB" w14:textId="6035FE13" w:rsidR="0006302B" w:rsidRPr="007E56EE" w:rsidRDefault="0006302B" w:rsidP="0006302B">
      <w:pPr>
        <w:pStyle w:val="ARTICULOS"/>
        <w:numPr>
          <w:ilvl w:val="0"/>
          <w:numId w:val="0"/>
        </w:numPr>
        <w:rPr>
          <w:color w:val="000000" w:themeColor="text1"/>
          <w:lang w:val="es-CO"/>
        </w:rPr>
      </w:pPr>
      <w:r w:rsidRPr="00912CD1">
        <w:rPr>
          <w:color w:val="000000" w:themeColor="text1"/>
          <w:lang w:val="es-CO"/>
        </w:rPr>
        <w:t xml:space="preserve">En desarrollo del servicio </w:t>
      </w:r>
      <w:r w:rsidRPr="00912CD1">
        <w:rPr>
          <w:rFonts w:cs="Arial"/>
          <w:color w:val="000000" w:themeColor="text1"/>
          <w:lang w:val="es-CO"/>
        </w:rPr>
        <w:t xml:space="preserve">al que se hace referencia en el numeral </w:t>
      </w:r>
      <w:r w:rsidRPr="00912CD1">
        <w:rPr>
          <w:color w:val="000000" w:themeColor="text1"/>
          <w:lang w:val="es-CO"/>
        </w:rPr>
        <w:fldChar w:fldCharType="begin"/>
      </w:r>
      <w:r w:rsidRPr="00912CD1">
        <w:rPr>
          <w:color w:val="000000" w:themeColor="text1"/>
          <w:lang w:val="es-CO"/>
        </w:rPr>
        <w:instrText xml:space="preserve"> REF _Ref330308583 \r \h  \* MERGEFORMAT </w:instrText>
      </w:r>
      <w:r w:rsidRPr="00912CD1">
        <w:rPr>
          <w:color w:val="000000" w:themeColor="text1"/>
          <w:lang w:val="es-CO"/>
        </w:rPr>
      </w:r>
      <w:r w:rsidRPr="00912CD1">
        <w:rPr>
          <w:color w:val="000000" w:themeColor="text1"/>
          <w:lang w:val="es-CO"/>
        </w:rPr>
        <w:fldChar w:fldCharType="separate"/>
      </w:r>
      <w:r w:rsidR="00636B6A">
        <w:rPr>
          <w:color w:val="000000" w:themeColor="text1"/>
          <w:lang w:val="es-CO"/>
        </w:rPr>
        <w:t>4.2</w:t>
      </w:r>
      <w:r w:rsidRPr="00912CD1">
        <w:rPr>
          <w:color w:val="000000" w:themeColor="text1"/>
          <w:lang w:val="es-CO"/>
        </w:rPr>
        <w:fldChar w:fldCharType="end"/>
      </w:r>
      <w:r w:rsidRPr="00912CD1">
        <w:rPr>
          <w:color w:val="000000" w:themeColor="text1"/>
          <w:lang w:val="es-CO"/>
        </w:rPr>
        <w:t xml:space="preserve"> del</w:t>
      </w:r>
      <w:r w:rsidR="00210424">
        <w:rPr>
          <w:color w:val="000000" w:themeColor="text1"/>
          <w:lang w:val="es-CO"/>
        </w:rPr>
        <w:t xml:space="preserve"> artículo 5</w:t>
      </w:r>
      <w:r w:rsidRPr="00912CD1">
        <w:rPr>
          <w:color w:val="000000" w:themeColor="text1"/>
          <w:lang w:val="es-CO"/>
        </w:rPr>
        <w:t xml:space="preserve"> de esta Resolución, el </w:t>
      </w:r>
      <w:r w:rsidR="00E53E99" w:rsidRPr="00956510">
        <w:rPr>
          <w:u w:color="FF0000"/>
          <w:lang w:val="es-CO"/>
        </w:rPr>
        <w:t>Gesto</w:t>
      </w:r>
      <w:r w:rsidR="00E53E99" w:rsidRPr="00E53E99">
        <w:rPr>
          <w:u w:color="FF0000"/>
          <w:lang w:val="es-CO"/>
        </w:rPr>
        <w:t>r</w:t>
      </w:r>
      <w:r w:rsidR="00E53E99" w:rsidRPr="002D5416" w:rsidDel="00E53E99">
        <w:rPr>
          <w:color w:val="FF0000"/>
          <w:sz w:val="28"/>
          <w:u w:color="FF0000"/>
          <w:lang w:val="es-CO"/>
        </w:rPr>
        <w:t xml:space="preserve"> </w:t>
      </w:r>
      <w:r>
        <w:rPr>
          <w:color w:val="000000" w:themeColor="text1"/>
          <w:lang w:val="es-CO"/>
        </w:rPr>
        <w:t>del Mercado</w:t>
      </w:r>
      <w:r w:rsidRPr="00912CD1">
        <w:rPr>
          <w:color w:val="000000" w:themeColor="text1"/>
          <w:lang w:val="es-CO"/>
        </w:rPr>
        <w:t xml:space="preserve"> </w:t>
      </w:r>
      <w:r w:rsidRPr="00912CD1">
        <w:rPr>
          <w:rFonts w:cs="Arial"/>
          <w:color w:val="000000" w:themeColor="text1"/>
          <w:lang w:val="es-CO"/>
        </w:rPr>
        <w:t xml:space="preserve">recopilará, verificará, publicará y conservará la información que se detalla a continuación. </w:t>
      </w:r>
      <w:r w:rsidRPr="00912CD1">
        <w:rPr>
          <w:color w:val="000000" w:themeColor="text1"/>
          <w:lang w:val="es-CO"/>
        </w:rPr>
        <w:t>La declaración de la información señalada</w:t>
      </w:r>
      <w:r w:rsidRPr="0013707D">
        <w:rPr>
          <w:color w:val="000000" w:themeColor="text1"/>
          <w:lang w:val="es-CO"/>
        </w:rPr>
        <w:t xml:space="preserve"> en este anexo se hará a partir de la fecha en que el </w:t>
      </w:r>
      <w:r w:rsidR="00E53E99" w:rsidRPr="00956510">
        <w:rPr>
          <w:u w:color="FF0000"/>
          <w:lang w:val="es-CO"/>
        </w:rPr>
        <w:t>Gesto</w:t>
      </w:r>
      <w:r w:rsidR="00E53E99" w:rsidRPr="00E53E99">
        <w:rPr>
          <w:u w:color="FF0000"/>
          <w:lang w:val="es-CO"/>
        </w:rPr>
        <w:t>r</w:t>
      </w:r>
      <w:r>
        <w:rPr>
          <w:color w:val="000000" w:themeColor="text1"/>
          <w:lang w:val="es-CO"/>
        </w:rPr>
        <w:t xml:space="preserve"> del </w:t>
      </w:r>
      <w:r w:rsidRPr="007E56EE">
        <w:rPr>
          <w:color w:val="000000" w:themeColor="text1"/>
          <w:lang w:val="es-CO"/>
        </w:rPr>
        <w:t>Mercado inicie la prestación de sus servicios.</w:t>
      </w:r>
    </w:p>
    <w:p w14:paraId="6BED2154" w14:textId="03249465" w:rsidR="008E1A9E" w:rsidRPr="007E56EE" w:rsidRDefault="008E1A9E" w:rsidP="0006302B">
      <w:pPr>
        <w:pStyle w:val="ARTICULOS"/>
        <w:numPr>
          <w:ilvl w:val="0"/>
          <w:numId w:val="0"/>
        </w:numPr>
        <w:rPr>
          <w:color w:val="000000" w:themeColor="text1"/>
          <w:lang w:val="es-CO"/>
        </w:rPr>
      </w:pPr>
    </w:p>
    <w:p w14:paraId="2D5DAA5A" w14:textId="24417012" w:rsidR="008E1A9E" w:rsidRPr="007E56EE" w:rsidRDefault="008E1A9E" w:rsidP="0006302B">
      <w:pPr>
        <w:pStyle w:val="ARTICULOS"/>
        <w:numPr>
          <w:ilvl w:val="0"/>
          <w:numId w:val="0"/>
        </w:numPr>
        <w:rPr>
          <w:color w:val="000000" w:themeColor="text1"/>
          <w:lang w:val="es-CO"/>
        </w:rPr>
      </w:pPr>
      <w:r w:rsidRPr="007E56EE">
        <w:rPr>
          <w:b/>
          <w:bCs w:val="0"/>
          <w:lang w:val="es-CO"/>
        </w:rPr>
        <w:t xml:space="preserve">Los agentes </w:t>
      </w:r>
      <w:r w:rsidRPr="007E56EE">
        <w:rPr>
          <w:b/>
          <w:bCs w:val="0"/>
        </w:rPr>
        <w:t>que haya</w:t>
      </w:r>
      <w:r w:rsidRPr="007E56EE">
        <w:rPr>
          <w:b/>
          <w:bCs w:val="0"/>
          <w:lang w:val="es-CO"/>
        </w:rPr>
        <w:t>n</w:t>
      </w:r>
      <w:r w:rsidRPr="007E56EE">
        <w:rPr>
          <w:b/>
          <w:bCs w:val="0"/>
        </w:rPr>
        <w:t xml:space="preserve"> registrado contratos </w:t>
      </w:r>
      <w:r w:rsidRPr="007E56EE">
        <w:rPr>
          <w:b/>
          <w:bCs w:val="0"/>
          <w:lang w:val="es-CO"/>
        </w:rPr>
        <w:t>en forma</w:t>
      </w:r>
      <w:r w:rsidRPr="007E56EE">
        <w:rPr>
          <w:b/>
          <w:bCs w:val="0"/>
        </w:rPr>
        <w:t xml:space="preserve"> previ</w:t>
      </w:r>
      <w:r w:rsidRPr="007E56EE">
        <w:rPr>
          <w:b/>
          <w:bCs w:val="0"/>
          <w:lang w:val="es-CO"/>
        </w:rPr>
        <w:t>a</w:t>
      </w:r>
      <w:r w:rsidRPr="007E56EE">
        <w:rPr>
          <w:b/>
          <w:bCs w:val="0"/>
        </w:rPr>
        <w:t xml:space="preserve"> a </w:t>
      </w:r>
      <w:r w:rsidRPr="007E56EE">
        <w:rPr>
          <w:b/>
          <w:bCs w:val="0"/>
          <w:lang w:val="es-CO"/>
        </w:rPr>
        <w:t>l</w:t>
      </w:r>
      <w:r w:rsidRPr="007E56EE">
        <w:rPr>
          <w:b/>
          <w:bCs w:val="0"/>
        </w:rPr>
        <w:t>a fecha de publicación</w:t>
      </w:r>
      <w:r w:rsidRPr="007E56EE">
        <w:rPr>
          <w:b/>
          <w:bCs w:val="0"/>
          <w:lang w:val="es-CO"/>
        </w:rPr>
        <w:t xml:space="preserve"> de la presente Resolución</w:t>
      </w:r>
      <w:r w:rsidR="00111884" w:rsidRPr="007E56EE">
        <w:rPr>
          <w:b/>
          <w:bCs w:val="0"/>
          <w:lang w:val="es-CO"/>
        </w:rPr>
        <w:t xml:space="preserve"> y cuya ejecución se encuentre vigente</w:t>
      </w:r>
      <w:r w:rsidRPr="007E56EE">
        <w:rPr>
          <w:b/>
          <w:bCs w:val="0"/>
        </w:rPr>
        <w:t xml:space="preserve">, </w:t>
      </w:r>
      <w:r w:rsidRPr="007E56EE">
        <w:rPr>
          <w:b/>
          <w:bCs w:val="0"/>
          <w:lang w:val="es-CO"/>
        </w:rPr>
        <w:t>deberán</w:t>
      </w:r>
      <w:r w:rsidRPr="007E56EE">
        <w:rPr>
          <w:b/>
          <w:bCs w:val="0"/>
        </w:rPr>
        <w:t xml:space="preserve"> complet</w:t>
      </w:r>
      <w:r w:rsidRPr="007E56EE">
        <w:rPr>
          <w:b/>
          <w:bCs w:val="0"/>
          <w:lang w:val="es-CO"/>
        </w:rPr>
        <w:t>ar</w:t>
      </w:r>
      <w:r w:rsidRPr="007E56EE">
        <w:rPr>
          <w:b/>
          <w:bCs w:val="0"/>
        </w:rPr>
        <w:t xml:space="preserve"> la totalidad de la información requerida en </w:t>
      </w:r>
      <w:r w:rsidR="00111884" w:rsidRPr="007E56EE">
        <w:rPr>
          <w:b/>
          <w:bCs w:val="0"/>
          <w:lang w:val="es-CO"/>
        </w:rPr>
        <w:t>este</w:t>
      </w:r>
      <w:r w:rsidRPr="007E56EE">
        <w:rPr>
          <w:b/>
          <w:bCs w:val="0"/>
        </w:rPr>
        <w:t xml:space="preserve"> Anexo 1 para cada uno de los contratos registrados</w:t>
      </w:r>
      <w:r w:rsidRPr="007E56EE">
        <w:rPr>
          <w:b/>
          <w:bCs w:val="0"/>
          <w:lang w:val="es-CO"/>
        </w:rPr>
        <w:t xml:space="preserve">, en </w:t>
      </w:r>
      <w:r w:rsidR="00567769" w:rsidRPr="007E56EE">
        <w:rPr>
          <w:b/>
          <w:bCs w:val="0"/>
          <w:lang w:val="es-CO"/>
        </w:rPr>
        <w:t xml:space="preserve">el </w:t>
      </w:r>
      <w:r w:rsidRPr="007E56EE">
        <w:rPr>
          <w:b/>
          <w:bCs w:val="0"/>
        </w:rPr>
        <w:t xml:space="preserve">plazo </w:t>
      </w:r>
      <w:r w:rsidRPr="007E56EE">
        <w:rPr>
          <w:b/>
          <w:bCs w:val="0"/>
          <w:lang w:val="es-CO"/>
        </w:rPr>
        <w:t xml:space="preserve">máximo </w:t>
      </w:r>
      <w:r w:rsidR="00567769" w:rsidRPr="007E56EE">
        <w:rPr>
          <w:b/>
          <w:bCs w:val="0"/>
          <w:lang w:val="es-CO"/>
        </w:rPr>
        <w:t xml:space="preserve">establecido en el parágrafo transitorio del </w:t>
      </w:r>
      <w:r w:rsidR="005F7E73">
        <w:rPr>
          <w:b/>
          <w:bCs w:val="0"/>
          <w:lang w:val="es-CO"/>
        </w:rPr>
        <w:t>a</w:t>
      </w:r>
      <w:r w:rsidR="00567769" w:rsidRPr="007E56EE">
        <w:rPr>
          <w:b/>
          <w:bCs w:val="0"/>
          <w:lang w:val="es-CO"/>
        </w:rPr>
        <w:t>rtículo 5</w:t>
      </w:r>
      <w:r w:rsidRPr="007E56EE">
        <w:rPr>
          <w:b/>
          <w:bCs w:val="0"/>
        </w:rPr>
        <w:t xml:space="preserve"> de la presente Resolución</w:t>
      </w:r>
      <w:r w:rsidRPr="007E56EE">
        <w:rPr>
          <w:b/>
          <w:bCs w:val="0"/>
          <w:lang w:val="es-CO"/>
        </w:rPr>
        <w:t>.</w:t>
      </w:r>
      <w:r w:rsidR="007C1257" w:rsidRPr="007E56EE">
        <w:rPr>
          <w:b/>
          <w:bCs w:val="0"/>
          <w:lang w:val="es-CO"/>
        </w:rPr>
        <w:t xml:space="preserve"> En el caso de no darse cumplimiento a lo anterior</w:t>
      </w:r>
      <w:r w:rsidR="00567769" w:rsidRPr="007E56EE">
        <w:rPr>
          <w:b/>
          <w:bCs w:val="0"/>
          <w:lang w:val="es-CO"/>
        </w:rPr>
        <w:t>,</w:t>
      </w:r>
      <w:r w:rsidR="007C1257" w:rsidRPr="007E56EE">
        <w:rPr>
          <w:b/>
          <w:bCs w:val="0"/>
          <w:lang w:val="es-CO"/>
        </w:rPr>
        <w:t xml:space="preserve"> el Gestor del Mercado deberá informar dicha situación a la</w:t>
      </w:r>
      <w:r w:rsidR="001878F1" w:rsidRPr="007E56EE">
        <w:rPr>
          <w:b/>
          <w:bCs w:val="0"/>
          <w:lang w:val="es-CO"/>
        </w:rPr>
        <w:t>s</w:t>
      </w:r>
      <w:r w:rsidR="007C1257" w:rsidRPr="007E56EE">
        <w:rPr>
          <w:b/>
          <w:bCs w:val="0"/>
          <w:lang w:val="es-CO"/>
        </w:rPr>
        <w:t xml:space="preserve"> autoridades competente</w:t>
      </w:r>
      <w:r w:rsidR="001878F1" w:rsidRPr="007E56EE">
        <w:rPr>
          <w:b/>
          <w:bCs w:val="0"/>
          <w:lang w:val="es-CO"/>
        </w:rPr>
        <w:t>s</w:t>
      </w:r>
      <w:r w:rsidR="007C1257" w:rsidRPr="007E56EE">
        <w:rPr>
          <w:b/>
          <w:bCs w:val="0"/>
          <w:lang w:val="es-CO"/>
        </w:rPr>
        <w:t xml:space="preserve"> de </w:t>
      </w:r>
      <w:r w:rsidR="001878F1" w:rsidRPr="007E56EE">
        <w:rPr>
          <w:b/>
          <w:bCs w:val="0"/>
          <w:lang w:val="es-CO"/>
        </w:rPr>
        <w:t xml:space="preserve">vigilancia y </w:t>
      </w:r>
      <w:r w:rsidR="007C1257" w:rsidRPr="007E56EE">
        <w:rPr>
          <w:b/>
          <w:bCs w:val="0"/>
          <w:lang w:val="es-CO"/>
        </w:rPr>
        <w:t>control y podrá ser considerada por la autoridad competente como una práctica contraria a la libre competencia.</w:t>
      </w:r>
    </w:p>
    <w:p w14:paraId="0A953B7B" w14:textId="77777777" w:rsidR="0006302B" w:rsidRPr="007E56EE" w:rsidRDefault="0006302B" w:rsidP="0006302B">
      <w:pPr>
        <w:pStyle w:val="ARTICULOS"/>
        <w:numPr>
          <w:ilvl w:val="0"/>
          <w:numId w:val="0"/>
        </w:numPr>
        <w:rPr>
          <w:color w:val="000000" w:themeColor="text1"/>
          <w:lang w:val="es-CO"/>
        </w:rPr>
      </w:pPr>
    </w:p>
    <w:p w14:paraId="1A1784A6" w14:textId="77777777" w:rsidR="0006302B" w:rsidRPr="007E56EE" w:rsidRDefault="0006302B" w:rsidP="00A4790E">
      <w:pPr>
        <w:pStyle w:val="ARTICULOS"/>
        <w:numPr>
          <w:ilvl w:val="1"/>
          <w:numId w:val="36"/>
        </w:numPr>
        <w:ind w:left="567" w:hanging="567"/>
        <w:rPr>
          <w:b/>
          <w:color w:val="000000" w:themeColor="text1"/>
          <w:lang w:val="es-CO"/>
        </w:rPr>
      </w:pPr>
      <w:bookmarkStart w:id="103" w:name="_Ref337211033"/>
      <w:r w:rsidRPr="007E56EE">
        <w:rPr>
          <w:b/>
          <w:color w:val="000000" w:themeColor="text1"/>
          <w:lang w:val="es-CO"/>
        </w:rPr>
        <w:t>Información transaccional del mercado primario</w:t>
      </w:r>
      <w:bookmarkEnd w:id="103"/>
    </w:p>
    <w:p w14:paraId="1348992B" w14:textId="77777777" w:rsidR="0006302B" w:rsidRPr="007E56EE" w:rsidRDefault="0006302B" w:rsidP="0006302B">
      <w:pPr>
        <w:pStyle w:val="ARTICULOS"/>
        <w:numPr>
          <w:ilvl w:val="0"/>
          <w:numId w:val="0"/>
        </w:numPr>
        <w:rPr>
          <w:color w:val="000000" w:themeColor="text1"/>
          <w:lang w:val="es-CO"/>
        </w:rPr>
      </w:pPr>
    </w:p>
    <w:p w14:paraId="6328B753" w14:textId="77777777" w:rsidR="0006302B" w:rsidRPr="007E56EE" w:rsidRDefault="0006302B" w:rsidP="00A4790E">
      <w:pPr>
        <w:pStyle w:val="ARTICULOS"/>
        <w:numPr>
          <w:ilvl w:val="1"/>
          <w:numId w:val="22"/>
        </w:numPr>
        <w:ind w:left="567" w:hanging="567"/>
        <w:rPr>
          <w:color w:val="000000" w:themeColor="text1"/>
          <w:lang w:val="es-CO"/>
        </w:rPr>
      </w:pPr>
      <w:bookmarkStart w:id="104" w:name="_Ref334698400"/>
      <w:r w:rsidRPr="007E56EE">
        <w:rPr>
          <w:color w:val="000000" w:themeColor="text1"/>
          <w:lang w:val="es-CO"/>
        </w:rPr>
        <w:t>Recopilación de información sobre el suministro de gas natural en el mercado primario</w:t>
      </w:r>
      <w:bookmarkEnd w:id="104"/>
    </w:p>
    <w:p w14:paraId="2C0DC78A" w14:textId="77777777" w:rsidR="0006302B" w:rsidRPr="007E56EE" w:rsidRDefault="0006302B" w:rsidP="0006302B">
      <w:pPr>
        <w:pStyle w:val="ARTICULOS"/>
        <w:numPr>
          <w:ilvl w:val="0"/>
          <w:numId w:val="0"/>
        </w:numPr>
        <w:rPr>
          <w:color w:val="000000" w:themeColor="text1"/>
          <w:lang w:val="es-CO"/>
        </w:rPr>
      </w:pPr>
    </w:p>
    <w:p w14:paraId="27ACD18D" w14:textId="71FFAE37" w:rsidR="0006302B" w:rsidRPr="007E56EE" w:rsidRDefault="0006302B" w:rsidP="00A4790E">
      <w:pPr>
        <w:numPr>
          <w:ilvl w:val="0"/>
          <w:numId w:val="37"/>
        </w:numPr>
        <w:autoSpaceDE w:val="0"/>
        <w:autoSpaceDN w:val="0"/>
        <w:adjustRightInd w:val="0"/>
        <w:ind w:left="1134" w:hanging="567"/>
        <w:jc w:val="both"/>
        <w:rPr>
          <w:rFonts w:ascii="Bookman Old Style" w:hAnsi="Bookman Old Style" w:cs="Arial"/>
          <w:color w:val="000000" w:themeColor="text1"/>
          <w:lang w:val="es-CO"/>
        </w:rPr>
      </w:pPr>
      <w:bookmarkStart w:id="105" w:name="_Ref334698398"/>
      <w:r w:rsidRPr="007E56EE">
        <w:rPr>
          <w:rFonts w:ascii="Bookman Old Style" w:hAnsi="Bookman Old Style" w:cs="Arial"/>
          <w:color w:val="000000" w:themeColor="text1"/>
          <w:lang w:val="es-CO"/>
        </w:rPr>
        <w:t>Información a recopilar de los contratos</w:t>
      </w:r>
      <w:bookmarkEnd w:id="105"/>
      <w:r w:rsidR="006F11A3" w:rsidRPr="007E56EE">
        <w:rPr>
          <w:rFonts w:ascii="Bookman Old Style" w:hAnsi="Bookman Old Style" w:cs="Arial"/>
          <w:b/>
          <w:bCs/>
          <w:color w:val="000000" w:themeColor="text1"/>
          <w:lang w:val="es-CO"/>
        </w:rPr>
        <w:t>:</w:t>
      </w:r>
    </w:p>
    <w:p w14:paraId="2BEFCE96"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29D52B75" w14:textId="3E5A09D9"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El </w:t>
      </w:r>
      <w:r w:rsidR="00E53E99" w:rsidRPr="007E56EE">
        <w:rPr>
          <w:rFonts w:ascii="Bookman Old Style" w:hAnsi="Bookman Old Style"/>
          <w:lang w:val="es-CO"/>
        </w:rPr>
        <w:t>Gestor</w:t>
      </w:r>
      <w:r w:rsidR="00E53E99" w:rsidRPr="007E56EE" w:rsidDel="00E53E99">
        <w:rPr>
          <w:color w:val="FF0000"/>
          <w:sz w:val="28"/>
          <w:lang w:val="es-CO"/>
        </w:rPr>
        <w:t xml:space="preserve"> </w:t>
      </w:r>
      <w:r w:rsidRPr="007E56EE">
        <w:rPr>
          <w:rFonts w:ascii="Bookman Old Style" w:hAnsi="Bookman Old Style"/>
          <w:color w:val="000000" w:themeColor="text1"/>
          <w:lang w:val="es-CO"/>
        </w:rPr>
        <w:t>del Mercado llevará un registro de los contratos de suministro de gas natural que se suscriban en el mercado primario.</w:t>
      </w:r>
    </w:p>
    <w:p w14:paraId="71F0EE9C"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42FEBEF9" w14:textId="34B4CC32"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Los Participantes del Mercado Primario a los que se hace referencia en el</w:t>
      </w:r>
      <w:r w:rsidR="00210424">
        <w:rPr>
          <w:rFonts w:ascii="Bookman Old Style" w:hAnsi="Bookman Old Style"/>
          <w:color w:val="000000" w:themeColor="text1"/>
          <w:lang w:val="es-CO"/>
        </w:rPr>
        <w:t xml:space="preserve"> artículo 16</w:t>
      </w:r>
      <w:r w:rsidRPr="007E56EE">
        <w:rPr>
          <w:rFonts w:ascii="Bookman Old Style" w:hAnsi="Bookman Old Style"/>
          <w:color w:val="000000" w:themeColor="text1"/>
          <w:lang w:val="es-CO"/>
        </w:rPr>
        <w:t xml:space="preserve"> y en el</w:t>
      </w:r>
      <w:r w:rsidR="00210424">
        <w:rPr>
          <w:rFonts w:ascii="Bookman Old Style" w:hAnsi="Bookman Old Style"/>
          <w:color w:val="000000" w:themeColor="text1"/>
          <w:lang w:val="es-CO"/>
        </w:rPr>
        <w:t xml:space="preserve"> artículo 17</w:t>
      </w:r>
      <w:r w:rsidRPr="007E56EE">
        <w:rPr>
          <w:rFonts w:ascii="Bookman Old Style" w:hAnsi="Bookman Old Style"/>
          <w:color w:val="000000" w:themeColor="text1"/>
          <w:lang w:val="es-CO"/>
        </w:rPr>
        <w:t xml:space="preserve"> de esta Resolución deberán registrar ante el </w:t>
      </w:r>
      <w:r w:rsidR="00E53E99" w:rsidRPr="007E56EE">
        <w:rPr>
          <w:rFonts w:ascii="Bookman Old Style" w:hAnsi="Bookman Old Style"/>
          <w:lang w:val="es-CO"/>
        </w:rPr>
        <w:t>Gestor</w:t>
      </w:r>
      <w:r w:rsidR="00E53E99" w:rsidRPr="007E56EE" w:rsidDel="00E53E99">
        <w:rPr>
          <w:color w:val="FF0000"/>
          <w:sz w:val="28"/>
          <w:lang w:val="es-CO"/>
        </w:rPr>
        <w:t xml:space="preserve"> </w:t>
      </w:r>
      <w:r w:rsidRPr="007E56EE">
        <w:rPr>
          <w:rFonts w:ascii="Bookman Old Style" w:hAnsi="Bookman Old Style"/>
          <w:color w:val="000000" w:themeColor="text1"/>
          <w:lang w:val="es-CO"/>
        </w:rPr>
        <w:t xml:space="preserve">del Mercado los contratos de suministro de gas natural que suscriban en el mercado primario. Para estos efectos, cada vendedor y cada comprador deberá declarar al </w:t>
      </w:r>
      <w:r w:rsidR="00E53E99" w:rsidRPr="007E56EE">
        <w:rPr>
          <w:rFonts w:ascii="Bookman Old Style" w:hAnsi="Bookman Old Style"/>
          <w:lang w:val="es-CO"/>
        </w:rPr>
        <w:t>Gestor</w:t>
      </w:r>
      <w:r w:rsidR="00E53E99" w:rsidRPr="007E56EE" w:rsidDel="00E53E99">
        <w:rPr>
          <w:color w:val="FF0000"/>
          <w:sz w:val="28"/>
          <w:lang w:val="es-CO"/>
        </w:rPr>
        <w:t xml:space="preserve"> </w:t>
      </w:r>
      <w:r w:rsidRPr="007E56EE">
        <w:rPr>
          <w:rFonts w:ascii="Bookman Old Style" w:hAnsi="Bookman Old Style"/>
          <w:color w:val="000000" w:themeColor="text1"/>
          <w:lang w:val="es-CO"/>
        </w:rPr>
        <w:t>del Mercado la siguiente información de cada uno de sus contratos:</w:t>
      </w:r>
    </w:p>
    <w:p w14:paraId="41F12A4D"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5BF0AFA0" w14:textId="7777777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Número del contrato.</w:t>
      </w:r>
    </w:p>
    <w:p w14:paraId="3B8E7D4B"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64697CDC" w14:textId="7777777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Fecha de suscripción del contrato.</w:t>
      </w:r>
    </w:p>
    <w:p w14:paraId="3DE8033A"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08D092DA" w14:textId="7777777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Nombre de cada una de las partes.</w:t>
      </w:r>
    </w:p>
    <w:p w14:paraId="449E7350"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6E5BC20C" w14:textId="3D65E29B" w:rsidR="0011650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b/>
          <w:bCs/>
          <w:color w:val="000000" w:themeColor="text1"/>
          <w:sz w:val="24"/>
          <w:szCs w:val="24"/>
          <w:lang w:eastAsia="es-ES"/>
        </w:rPr>
        <w:t xml:space="preserve">Tipo </w:t>
      </w:r>
      <w:r w:rsidR="00902B8A" w:rsidRPr="007E56EE">
        <w:rPr>
          <w:rFonts w:ascii="Bookman Old Style" w:hAnsi="Bookman Old Style" w:cs="Arial"/>
          <w:b/>
          <w:bCs/>
          <w:color w:val="000000" w:themeColor="text1"/>
          <w:sz w:val="24"/>
          <w:szCs w:val="24"/>
          <w:lang w:eastAsia="es-ES"/>
        </w:rPr>
        <w:t xml:space="preserve">del contrato </w:t>
      </w:r>
      <w:r w:rsidR="0011650B" w:rsidRPr="007E56EE">
        <w:rPr>
          <w:rFonts w:ascii="Bookman Old Style" w:hAnsi="Bookman Old Style" w:cs="Arial"/>
          <w:b/>
          <w:bCs/>
          <w:color w:val="000000" w:themeColor="text1"/>
          <w:sz w:val="24"/>
          <w:szCs w:val="24"/>
          <w:lang w:eastAsia="es-ES"/>
        </w:rPr>
        <w:t>de acuerdo con lo establecido en el Decreto 2100 de 2011</w:t>
      </w:r>
      <w:r w:rsidR="00AF5F4E">
        <w:rPr>
          <w:rFonts w:ascii="Bookman Old Style" w:hAnsi="Bookman Old Style" w:cs="Arial"/>
          <w:b/>
          <w:bCs/>
          <w:color w:val="000000" w:themeColor="text1"/>
          <w:sz w:val="24"/>
          <w:szCs w:val="24"/>
          <w:lang w:eastAsia="es-ES"/>
        </w:rPr>
        <w:t>,</w:t>
      </w:r>
      <w:r w:rsidR="0011650B" w:rsidRPr="007E56EE">
        <w:rPr>
          <w:rFonts w:ascii="Bookman Old Style" w:hAnsi="Bookman Old Style" w:cs="Arial"/>
          <w:b/>
          <w:bCs/>
          <w:color w:val="000000" w:themeColor="text1"/>
          <w:sz w:val="24"/>
          <w:szCs w:val="24"/>
          <w:lang w:eastAsia="es-ES"/>
        </w:rPr>
        <w:t xml:space="preserve"> </w:t>
      </w:r>
      <w:r w:rsidR="00AF5F4E">
        <w:rPr>
          <w:rFonts w:ascii="Bookman Old Style" w:hAnsi="Bookman Old Style" w:cs="Arial"/>
          <w:b/>
          <w:bCs/>
          <w:color w:val="000000" w:themeColor="text1"/>
          <w:sz w:val="24"/>
          <w:szCs w:val="24"/>
          <w:lang w:eastAsia="es-ES"/>
        </w:rPr>
        <w:t xml:space="preserve">en el caso que no se acoja a modalidad contractual establecida por la CREG según parágrafo del </w:t>
      </w:r>
      <w:r w:rsidR="005F7E73">
        <w:rPr>
          <w:rFonts w:ascii="Bookman Old Style" w:hAnsi="Bookman Old Style" w:cs="Arial"/>
          <w:b/>
          <w:bCs/>
          <w:color w:val="000000" w:themeColor="text1"/>
          <w:sz w:val="24"/>
          <w:szCs w:val="24"/>
          <w:lang w:eastAsia="es-ES"/>
        </w:rPr>
        <w:t>a</w:t>
      </w:r>
      <w:r w:rsidR="00AF5F4E">
        <w:rPr>
          <w:rFonts w:ascii="Bookman Old Style" w:hAnsi="Bookman Old Style" w:cs="Arial"/>
          <w:b/>
          <w:bCs/>
          <w:color w:val="000000" w:themeColor="text1"/>
          <w:sz w:val="24"/>
          <w:szCs w:val="24"/>
          <w:lang w:eastAsia="es-ES"/>
        </w:rPr>
        <w:t xml:space="preserve">rtículo </w:t>
      </w:r>
      <w:r w:rsidR="00913E26">
        <w:rPr>
          <w:rFonts w:ascii="Bookman Old Style" w:hAnsi="Bookman Old Style" w:cs="Arial"/>
          <w:b/>
          <w:bCs/>
          <w:color w:val="000000" w:themeColor="text1"/>
          <w:sz w:val="24"/>
          <w:szCs w:val="24"/>
          <w:lang w:eastAsia="es-ES"/>
        </w:rPr>
        <w:t xml:space="preserve">20 </w:t>
      </w:r>
      <w:r w:rsidR="00AF5F4E">
        <w:rPr>
          <w:rFonts w:ascii="Bookman Old Style" w:hAnsi="Bookman Old Style" w:cs="Arial"/>
          <w:b/>
          <w:bCs/>
          <w:color w:val="000000" w:themeColor="text1"/>
          <w:sz w:val="24"/>
          <w:szCs w:val="24"/>
          <w:lang w:eastAsia="es-ES"/>
        </w:rPr>
        <w:t xml:space="preserve">de la presente resolución </w:t>
      </w:r>
      <w:r w:rsidR="00902B8A" w:rsidRPr="007E56EE">
        <w:rPr>
          <w:rFonts w:ascii="Bookman Old Style" w:hAnsi="Bookman Old Style" w:cs="Arial"/>
          <w:b/>
          <w:bCs/>
          <w:color w:val="000000" w:themeColor="text1"/>
          <w:sz w:val="24"/>
          <w:szCs w:val="24"/>
          <w:lang w:eastAsia="es-ES"/>
        </w:rPr>
        <w:t>(con garantía de firmeza, interrumpible o mixto)</w:t>
      </w:r>
      <w:r w:rsidR="0011650B" w:rsidRPr="007E56EE">
        <w:rPr>
          <w:rFonts w:ascii="Bookman Old Style" w:hAnsi="Bookman Old Style" w:cs="Arial"/>
          <w:b/>
          <w:bCs/>
          <w:color w:val="000000" w:themeColor="text1"/>
          <w:sz w:val="24"/>
          <w:szCs w:val="24"/>
          <w:lang w:eastAsia="es-ES"/>
        </w:rPr>
        <w:t>.</w:t>
      </w:r>
      <w:r w:rsidRPr="007E56EE">
        <w:rPr>
          <w:rFonts w:ascii="Bookman Old Style" w:hAnsi="Bookman Old Style" w:cs="Arial"/>
          <w:b/>
          <w:bCs/>
          <w:color w:val="000000" w:themeColor="text1"/>
          <w:sz w:val="24"/>
          <w:szCs w:val="24"/>
          <w:lang w:eastAsia="es-ES"/>
        </w:rPr>
        <w:t xml:space="preserve"> </w:t>
      </w:r>
    </w:p>
    <w:p w14:paraId="51303122" w14:textId="77777777" w:rsidR="0011650B" w:rsidRPr="007E56EE" w:rsidRDefault="0011650B" w:rsidP="006461EF">
      <w:pPr>
        <w:pStyle w:val="Prrafodelista"/>
        <w:rPr>
          <w:rFonts w:ascii="Bookman Old Style" w:hAnsi="Bookman Old Style" w:cs="Arial"/>
          <w:b/>
          <w:bCs/>
          <w:color w:val="000000" w:themeColor="text1"/>
          <w:sz w:val="24"/>
          <w:szCs w:val="24"/>
          <w:lang w:eastAsia="es-ES"/>
        </w:rPr>
      </w:pPr>
    </w:p>
    <w:p w14:paraId="0DBA8DCC" w14:textId="0816B045"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b/>
          <w:bCs/>
          <w:color w:val="000000" w:themeColor="text1"/>
          <w:sz w:val="24"/>
          <w:szCs w:val="24"/>
          <w:lang w:eastAsia="es-ES"/>
        </w:rPr>
        <w:t>Modalidad de contrato</w:t>
      </w:r>
      <w:r w:rsidR="00902B8A" w:rsidRPr="007E56EE">
        <w:rPr>
          <w:rFonts w:ascii="Bookman Old Style" w:hAnsi="Bookman Old Style" w:cs="Arial"/>
          <w:b/>
          <w:bCs/>
          <w:color w:val="000000" w:themeColor="text1"/>
          <w:sz w:val="24"/>
          <w:szCs w:val="24"/>
          <w:lang w:eastAsia="es-ES"/>
        </w:rPr>
        <w:t xml:space="preserve"> </w:t>
      </w:r>
      <w:r w:rsidR="00902B8A" w:rsidRPr="007E56EE">
        <w:rPr>
          <w:rFonts w:ascii="Bookman Old Style" w:hAnsi="Bookman Old Style" w:cs="Arial"/>
          <w:color w:val="000000" w:themeColor="text1"/>
          <w:sz w:val="24"/>
          <w:szCs w:val="24"/>
          <w:lang w:eastAsia="es-ES"/>
        </w:rPr>
        <w:t>según lo dispuesto en el</w:t>
      </w:r>
      <w:r w:rsidR="00210424">
        <w:rPr>
          <w:rFonts w:ascii="Bookman Old Style" w:hAnsi="Bookman Old Style" w:cs="Arial"/>
          <w:color w:val="000000" w:themeColor="text1"/>
          <w:sz w:val="24"/>
          <w:szCs w:val="24"/>
          <w:lang w:eastAsia="es-ES"/>
        </w:rPr>
        <w:t xml:space="preserve"> artículo 8</w:t>
      </w:r>
      <w:r w:rsidR="00902B8A" w:rsidRPr="007E56EE">
        <w:rPr>
          <w:rFonts w:ascii="Bookman Old Style" w:hAnsi="Bookman Old Style" w:cs="Arial"/>
          <w:color w:val="000000" w:themeColor="text1"/>
          <w:sz w:val="24"/>
          <w:szCs w:val="24"/>
          <w:lang w:eastAsia="es-ES"/>
        </w:rPr>
        <w:t xml:space="preserve"> de esta Resolución</w:t>
      </w:r>
      <w:r w:rsidR="00902B8A" w:rsidRPr="007E56EE">
        <w:rPr>
          <w:rFonts w:ascii="Bookman Old Style" w:hAnsi="Bookman Old Style" w:cs="Arial"/>
          <w:b/>
          <w:bCs/>
          <w:color w:val="000000" w:themeColor="text1"/>
          <w:sz w:val="24"/>
          <w:szCs w:val="24"/>
          <w:lang w:eastAsia="es-ES"/>
        </w:rPr>
        <w:t xml:space="preserve"> (CF95, CF80, </w:t>
      </w:r>
      <w:r w:rsidR="004F1269" w:rsidRPr="007E56EE">
        <w:rPr>
          <w:rFonts w:ascii="Bookman Old Style" w:hAnsi="Bookman Old Style" w:cs="Arial"/>
          <w:b/>
          <w:bCs/>
          <w:color w:val="000000" w:themeColor="text1"/>
          <w:sz w:val="24"/>
          <w:szCs w:val="24"/>
          <w:lang w:eastAsia="es-ES"/>
        </w:rPr>
        <w:t xml:space="preserve">OCGX, </w:t>
      </w:r>
      <w:r w:rsidR="00902B8A" w:rsidRPr="007E56EE">
        <w:rPr>
          <w:rFonts w:ascii="Bookman Old Style" w:hAnsi="Bookman Old Style" w:cs="Arial"/>
          <w:b/>
          <w:bCs/>
          <w:color w:val="000000" w:themeColor="text1"/>
          <w:sz w:val="24"/>
          <w:szCs w:val="24"/>
          <w:lang w:eastAsia="es-ES"/>
        </w:rPr>
        <w:t>CSC, CSI, CFC, OCG)</w:t>
      </w:r>
      <w:r w:rsidR="0011650B" w:rsidRPr="007E56EE">
        <w:rPr>
          <w:rFonts w:ascii="Bookman Old Style" w:hAnsi="Bookman Old Style" w:cs="Arial"/>
          <w:b/>
          <w:bCs/>
          <w:color w:val="000000" w:themeColor="text1"/>
          <w:sz w:val="24"/>
          <w:szCs w:val="24"/>
          <w:lang w:eastAsia="es-ES"/>
        </w:rPr>
        <w:t xml:space="preserve"> o según </w:t>
      </w:r>
      <w:r w:rsidR="0011650B" w:rsidRPr="007E56EE">
        <w:rPr>
          <w:rFonts w:ascii="Bookman Old Style" w:hAnsi="Bookman Old Style" w:cs="Arial"/>
          <w:b/>
          <w:bCs/>
          <w:color w:val="000000" w:themeColor="text1"/>
          <w:sz w:val="24"/>
          <w:szCs w:val="24"/>
          <w:lang w:eastAsia="es-ES"/>
        </w:rPr>
        <w:lastRenderedPageBreak/>
        <w:t xml:space="preserve">lo dispuesto en el Parágrafo del </w:t>
      </w:r>
      <w:r w:rsidR="005F7E73">
        <w:rPr>
          <w:rFonts w:ascii="Bookman Old Style" w:hAnsi="Bookman Old Style" w:cs="Arial"/>
          <w:b/>
          <w:bCs/>
          <w:color w:val="000000" w:themeColor="text1"/>
          <w:sz w:val="24"/>
          <w:szCs w:val="24"/>
          <w:lang w:eastAsia="es-ES"/>
        </w:rPr>
        <w:t>a</w:t>
      </w:r>
      <w:r w:rsidR="0011650B" w:rsidRPr="007E56EE">
        <w:rPr>
          <w:rFonts w:ascii="Bookman Old Style" w:hAnsi="Bookman Old Style" w:cs="Arial"/>
          <w:b/>
          <w:bCs/>
          <w:color w:val="000000" w:themeColor="text1"/>
          <w:sz w:val="24"/>
          <w:szCs w:val="24"/>
          <w:lang w:eastAsia="es-ES"/>
        </w:rPr>
        <w:t>rtículo 20 de la presente resolución</w:t>
      </w:r>
      <w:r w:rsidRPr="007E56EE">
        <w:rPr>
          <w:rFonts w:ascii="Bookman Old Style" w:hAnsi="Bookman Old Style" w:cs="Arial"/>
          <w:color w:val="000000" w:themeColor="text1"/>
          <w:sz w:val="24"/>
          <w:szCs w:val="24"/>
          <w:lang w:eastAsia="es-ES"/>
        </w:rPr>
        <w:t xml:space="preserve">. Para aquellos contratos suscritos antes de la entrada en vigencia de esta Resolución, se deberá declarar </w:t>
      </w:r>
      <w:r w:rsidR="00902B8A" w:rsidRPr="007E56EE">
        <w:rPr>
          <w:rFonts w:ascii="Bookman Old Style" w:hAnsi="Bookman Old Style" w:cs="Arial"/>
          <w:b/>
          <w:bCs/>
          <w:color w:val="000000" w:themeColor="text1"/>
          <w:sz w:val="24"/>
          <w:szCs w:val="24"/>
          <w:lang w:eastAsia="es-ES"/>
        </w:rPr>
        <w:t>el tipo y</w:t>
      </w:r>
      <w:r w:rsidR="00902B8A" w:rsidRPr="007E56EE">
        <w:rPr>
          <w:rFonts w:ascii="Bookman Old Style" w:hAnsi="Bookman Old Style" w:cs="Arial"/>
          <w:color w:val="000000" w:themeColor="text1"/>
          <w:sz w:val="24"/>
          <w:szCs w:val="24"/>
          <w:lang w:eastAsia="es-ES"/>
        </w:rPr>
        <w:t xml:space="preserve"> </w:t>
      </w:r>
      <w:r w:rsidRPr="007E56EE">
        <w:rPr>
          <w:rFonts w:ascii="Bookman Old Style" w:hAnsi="Bookman Old Style" w:cs="Arial"/>
          <w:color w:val="000000" w:themeColor="text1"/>
          <w:sz w:val="24"/>
          <w:szCs w:val="24"/>
          <w:lang w:eastAsia="es-ES"/>
        </w:rPr>
        <w:t>la modalidad de contrato de acuerdo con la normatividad vigente al momento de suscribirlo.</w:t>
      </w:r>
    </w:p>
    <w:p w14:paraId="48DE7465" w14:textId="77777777" w:rsidR="0006302B" w:rsidRPr="007E56EE" w:rsidRDefault="0006302B" w:rsidP="0006302B">
      <w:pPr>
        <w:pStyle w:val="Prrafodelista"/>
        <w:rPr>
          <w:rFonts w:ascii="Bookman Old Style" w:hAnsi="Bookman Old Style" w:cs="Arial"/>
          <w:color w:val="000000" w:themeColor="text1"/>
        </w:rPr>
      </w:pPr>
    </w:p>
    <w:p w14:paraId="458E08BD" w14:textId="15F0EDF7" w:rsidR="0011650B" w:rsidRPr="007E56EE" w:rsidRDefault="00111884"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b/>
          <w:bCs/>
          <w:color w:val="000000" w:themeColor="text1"/>
          <w:sz w:val="24"/>
          <w:szCs w:val="24"/>
        </w:rPr>
        <w:t>Punto</w:t>
      </w:r>
      <w:r w:rsidR="00ED2DDD">
        <w:rPr>
          <w:rFonts w:ascii="Bookman Old Style" w:hAnsi="Bookman Old Style" w:cs="Arial"/>
          <w:b/>
          <w:bCs/>
          <w:color w:val="000000" w:themeColor="text1"/>
          <w:sz w:val="24"/>
          <w:szCs w:val="24"/>
        </w:rPr>
        <w:t>(s)</w:t>
      </w:r>
      <w:r w:rsidRPr="007E56EE">
        <w:rPr>
          <w:rFonts w:ascii="Bookman Old Style" w:hAnsi="Bookman Old Style" w:cs="Arial"/>
          <w:b/>
          <w:bCs/>
          <w:color w:val="000000" w:themeColor="text1"/>
          <w:sz w:val="24"/>
          <w:szCs w:val="24"/>
        </w:rPr>
        <w:t xml:space="preserve"> de entrega</w:t>
      </w:r>
      <w:r w:rsidRPr="007E56EE">
        <w:rPr>
          <w:rFonts w:ascii="Bookman Old Style" w:hAnsi="Bookman Old Style" w:cs="Arial"/>
          <w:color w:val="000000" w:themeColor="text1"/>
          <w:sz w:val="24"/>
          <w:szCs w:val="24"/>
        </w:rPr>
        <w:t xml:space="preserve"> </w:t>
      </w:r>
      <w:r w:rsidR="0006302B" w:rsidRPr="007E56EE">
        <w:rPr>
          <w:rFonts w:ascii="Bookman Old Style" w:hAnsi="Bookman Old Style" w:cs="Arial"/>
          <w:color w:val="000000" w:themeColor="text1"/>
          <w:sz w:val="24"/>
          <w:szCs w:val="24"/>
        </w:rPr>
        <w:t>de la energía al comprador</w:t>
      </w:r>
      <w:r w:rsidR="0006302B" w:rsidRPr="00B31031">
        <w:rPr>
          <w:rFonts w:ascii="Bookman Old Style" w:hAnsi="Bookman Old Style" w:cs="Arial"/>
          <w:color w:val="000000" w:themeColor="text1"/>
          <w:sz w:val="24"/>
          <w:szCs w:val="24"/>
        </w:rPr>
        <w:t xml:space="preserve">. Se entenderá por </w:t>
      </w:r>
      <w:r w:rsidR="00F35742" w:rsidRPr="007E56EE">
        <w:rPr>
          <w:rFonts w:ascii="Bookman Old Style" w:hAnsi="Bookman Old Style" w:cs="Arial"/>
          <w:color w:val="000000" w:themeColor="text1"/>
          <w:sz w:val="24"/>
          <w:szCs w:val="24"/>
        </w:rPr>
        <w:t>Punto de Entrega</w:t>
      </w:r>
      <w:r w:rsidR="0006302B" w:rsidRPr="007E56EE">
        <w:rPr>
          <w:rFonts w:ascii="Bookman Old Style" w:hAnsi="Bookman Old Style" w:cs="Arial"/>
          <w:color w:val="000000" w:themeColor="text1"/>
          <w:sz w:val="24"/>
          <w:szCs w:val="24"/>
        </w:rPr>
        <w:t xml:space="preserve"> lo establecido en el </w:t>
      </w:r>
      <w:r w:rsidR="005F7E73">
        <w:rPr>
          <w:rFonts w:ascii="Bookman Old Style" w:hAnsi="Bookman Old Style" w:cs="Arial"/>
          <w:color w:val="000000" w:themeColor="text1"/>
          <w:sz w:val="24"/>
          <w:szCs w:val="24"/>
        </w:rPr>
        <w:t>a</w:t>
      </w:r>
      <w:r w:rsidR="0006302B" w:rsidRPr="007E56EE">
        <w:rPr>
          <w:rFonts w:ascii="Bookman Old Style" w:hAnsi="Bookman Old Style" w:cs="Arial"/>
          <w:color w:val="000000" w:themeColor="text1"/>
          <w:sz w:val="24"/>
          <w:szCs w:val="24"/>
        </w:rPr>
        <w:t xml:space="preserve">rtículo 3 de la presente resolución. </w:t>
      </w:r>
    </w:p>
    <w:p w14:paraId="74F221AF" w14:textId="77777777" w:rsidR="0011650B" w:rsidRPr="007E56EE" w:rsidRDefault="0011650B" w:rsidP="006461EF">
      <w:pPr>
        <w:pStyle w:val="Prrafodelista"/>
        <w:rPr>
          <w:rFonts w:ascii="Bookman Old Style" w:hAnsi="Bookman Old Style" w:cs="Arial"/>
          <w:color w:val="000000" w:themeColor="text1"/>
          <w:sz w:val="24"/>
          <w:szCs w:val="24"/>
        </w:rPr>
      </w:pPr>
    </w:p>
    <w:p w14:paraId="192423C1" w14:textId="56E5E290" w:rsidR="0006302B" w:rsidRPr="007E56EE" w:rsidRDefault="0011650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b/>
          <w:bCs/>
          <w:color w:val="000000" w:themeColor="text1"/>
          <w:sz w:val="24"/>
          <w:szCs w:val="24"/>
        </w:rPr>
        <w:t>Fuente de suministro</w:t>
      </w:r>
      <w:r w:rsidR="001D4E61" w:rsidRPr="007E56EE">
        <w:rPr>
          <w:rFonts w:ascii="Bookman Old Style" w:hAnsi="Bookman Old Style" w:cs="Arial"/>
          <w:b/>
          <w:bCs/>
          <w:color w:val="000000" w:themeColor="text1"/>
          <w:sz w:val="24"/>
          <w:szCs w:val="24"/>
        </w:rPr>
        <w:t xml:space="preserve"> (campo de producción o punto de importación)</w:t>
      </w:r>
      <w:r w:rsidRPr="007E56EE">
        <w:rPr>
          <w:rFonts w:ascii="Bookman Old Style" w:hAnsi="Bookman Old Style" w:cs="Arial"/>
          <w:b/>
          <w:bCs/>
          <w:color w:val="000000" w:themeColor="text1"/>
          <w:sz w:val="24"/>
          <w:szCs w:val="24"/>
        </w:rPr>
        <w:t>.</w:t>
      </w:r>
      <w:r w:rsidRPr="007E56EE">
        <w:rPr>
          <w:rFonts w:ascii="Bookman Old Style" w:hAnsi="Bookman Old Style" w:cs="Arial"/>
          <w:color w:val="000000" w:themeColor="text1"/>
          <w:sz w:val="24"/>
          <w:szCs w:val="24"/>
        </w:rPr>
        <w:t xml:space="preserve"> </w:t>
      </w:r>
      <w:r w:rsidR="0006302B" w:rsidRPr="007E56EE">
        <w:rPr>
          <w:rFonts w:ascii="Bookman Old Style" w:hAnsi="Bookman Old Style" w:cs="Arial"/>
          <w:color w:val="000000" w:themeColor="text1"/>
          <w:sz w:val="24"/>
          <w:szCs w:val="24"/>
        </w:rPr>
        <w:t>Se deberá indicar el nombre de la</w:t>
      </w:r>
      <w:r w:rsidRPr="007E56EE">
        <w:rPr>
          <w:rFonts w:ascii="Bookman Old Style" w:hAnsi="Bookman Old Style" w:cs="Arial"/>
          <w:color w:val="000000" w:themeColor="text1"/>
          <w:sz w:val="24"/>
          <w:szCs w:val="24"/>
        </w:rPr>
        <w:t>(</w:t>
      </w:r>
      <w:r w:rsidR="0006302B" w:rsidRPr="007E56EE">
        <w:rPr>
          <w:rFonts w:ascii="Bookman Old Style" w:hAnsi="Bookman Old Style" w:cs="Arial"/>
          <w:color w:val="000000" w:themeColor="text1"/>
          <w:sz w:val="24"/>
          <w:szCs w:val="24"/>
        </w:rPr>
        <w:t>s</w:t>
      </w:r>
      <w:r w:rsidRPr="007E56EE">
        <w:rPr>
          <w:rFonts w:ascii="Bookman Old Style" w:hAnsi="Bookman Old Style" w:cs="Arial"/>
          <w:color w:val="000000" w:themeColor="text1"/>
          <w:sz w:val="24"/>
          <w:szCs w:val="24"/>
        </w:rPr>
        <w:t>)</w:t>
      </w:r>
      <w:r w:rsidR="0006302B" w:rsidRPr="007E56EE">
        <w:rPr>
          <w:rFonts w:ascii="Bookman Old Style" w:hAnsi="Bookman Old Style" w:cs="Arial"/>
          <w:color w:val="000000" w:themeColor="text1"/>
          <w:sz w:val="24"/>
          <w:szCs w:val="24"/>
        </w:rPr>
        <w:t xml:space="preserve"> Fuente</w:t>
      </w:r>
      <w:r w:rsidRPr="007E56EE">
        <w:rPr>
          <w:rFonts w:ascii="Bookman Old Style" w:hAnsi="Bookman Old Style" w:cs="Arial"/>
          <w:color w:val="000000" w:themeColor="text1"/>
          <w:sz w:val="24"/>
          <w:szCs w:val="24"/>
        </w:rPr>
        <w:t>(</w:t>
      </w:r>
      <w:r w:rsidR="0006302B" w:rsidRPr="007E56EE">
        <w:rPr>
          <w:rFonts w:ascii="Bookman Old Style" w:hAnsi="Bookman Old Style" w:cs="Arial"/>
          <w:color w:val="000000" w:themeColor="text1"/>
          <w:sz w:val="24"/>
          <w:szCs w:val="24"/>
        </w:rPr>
        <w:t>s</w:t>
      </w:r>
      <w:r w:rsidRPr="007E56EE">
        <w:rPr>
          <w:rFonts w:ascii="Bookman Old Style" w:hAnsi="Bookman Old Style" w:cs="Arial"/>
          <w:color w:val="000000" w:themeColor="text1"/>
          <w:sz w:val="24"/>
          <w:szCs w:val="24"/>
        </w:rPr>
        <w:t>)</w:t>
      </w:r>
      <w:r w:rsidR="0006302B" w:rsidRPr="007E56EE">
        <w:rPr>
          <w:rFonts w:ascii="Bookman Old Style" w:hAnsi="Bookman Old Style" w:cs="Arial"/>
          <w:color w:val="000000" w:themeColor="text1"/>
          <w:sz w:val="24"/>
          <w:szCs w:val="24"/>
        </w:rPr>
        <w:t xml:space="preserve"> de Suministro de las cuales se contrató la cantidad de energía pactada en el contrato. </w:t>
      </w:r>
      <w:r w:rsidR="0006302B" w:rsidRPr="007E56EE">
        <w:rPr>
          <w:rFonts w:ascii="Bookman Old Style" w:hAnsi="Bookman Old Style" w:cs="Arial"/>
          <w:b/>
          <w:bCs/>
          <w:color w:val="000000" w:themeColor="text1"/>
          <w:sz w:val="24"/>
          <w:szCs w:val="24"/>
        </w:rPr>
        <w:t xml:space="preserve">En el caso de que en el contrato se incluyan varias Fuentes de Suministro, en un </w:t>
      </w:r>
      <w:r w:rsidR="0082292F" w:rsidRPr="007E56EE">
        <w:rPr>
          <w:rFonts w:ascii="Bookman Old Style" w:hAnsi="Bookman Old Style" w:cs="Arial"/>
          <w:b/>
          <w:bCs/>
          <w:color w:val="000000" w:themeColor="text1"/>
          <w:sz w:val="24"/>
          <w:szCs w:val="24"/>
        </w:rPr>
        <w:t>Punto de Entrega</w:t>
      </w:r>
      <w:r w:rsidR="0006302B" w:rsidRPr="007E56EE">
        <w:rPr>
          <w:rFonts w:ascii="Bookman Old Style" w:hAnsi="Bookman Old Style" w:cs="Arial"/>
          <w:b/>
          <w:bCs/>
          <w:color w:val="000000" w:themeColor="text1"/>
          <w:sz w:val="24"/>
          <w:szCs w:val="24"/>
        </w:rPr>
        <w:t xml:space="preserve"> o una Fuente de Suministro con varios Puntos de entrega se deberá indicar la cantidad de energía </w:t>
      </w:r>
      <w:r w:rsidR="00BD6BC6" w:rsidRPr="007E56EE">
        <w:rPr>
          <w:rFonts w:ascii="Bookman Old Style" w:hAnsi="Bookman Old Style" w:cs="Arial"/>
          <w:b/>
          <w:bCs/>
          <w:color w:val="000000" w:themeColor="text1"/>
          <w:sz w:val="24"/>
          <w:szCs w:val="24"/>
        </w:rPr>
        <w:t>por fuente</w:t>
      </w:r>
      <w:r w:rsidR="0006302B" w:rsidRPr="007E56EE">
        <w:rPr>
          <w:rFonts w:ascii="Bookman Old Style" w:hAnsi="Bookman Old Style" w:cs="Arial"/>
          <w:b/>
          <w:bCs/>
          <w:color w:val="000000" w:themeColor="text1"/>
          <w:sz w:val="24"/>
          <w:szCs w:val="24"/>
        </w:rPr>
        <w:t xml:space="preserve"> de suministro</w:t>
      </w:r>
      <w:r w:rsidR="001D4E61" w:rsidRPr="007E56EE">
        <w:rPr>
          <w:rFonts w:ascii="Bookman Old Style" w:hAnsi="Bookman Old Style" w:cs="Arial"/>
          <w:b/>
          <w:bCs/>
          <w:color w:val="000000" w:themeColor="text1"/>
          <w:sz w:val="24"/>
          <w:szCs w:val="24"/>
        </w:rPr>
        <w:t>, para cada mes de ejecución del contrato</w:t>
      </w:r>
      <w:r w:rsidR="0006302B" w:rsidRPr="007E56EE">
        <w:rPr>
          <w:rFonts w:ascii="Bookman Old Style" w:hAnsi="Bookman Old Style" w:cs="Arial"/>
          <w:b/>
          <w:bCs/>
          <w:color w:val="000000" w:themeColor="text1"/>
          <w:sz w:val="24"/>
          <w:szCs w:val="24"/>
        </w:rPr>
        <w:t xml:space="preserve"> y por </w:t>
      </w:r>
      <w:r w:rsidR="0082292F" w:rsidRPr="007E56EE">
        <w:rPr>
          <w:rFonts w:ascii="Bookman Old Style" w:hAnsi="Bookman Old Style" w:cs="Arial"/>
          <w:b/>
          <w:bCs/>
          <w:color w:val="000000" w:themeColor="text1"/>
          <w:sz w:val="24"/>
          <w:szCs w:val="24"/>
        </w:rPr>
        <w:t>Punto de Entrega</w:t>
      </w:r>
      <w:r w:rsidR="0006302B" w:rsidRPr="007E56EE">
        <w:rPr>
          <w:rFonts w:ascii="Bookman Old Style" w:hAnsi="Bookman Old Style" w:cs="Arial"/>
          <w:b/>
          <w:bCs/>
          <w:color w:val="000000" w:themeColor="text1"/>
          <w:sz w:val="24"/>
          <w:szCs w:val="24"/>
        </w:rPr>
        <w:t xml:space="preserve"> que el vendedor del mercado primario aportará para el cumplimiento de la cantidad de energía pactada en el contrato de suministro.</w:t>
      </w:r>
      <w:r w:rsidR="00200B6B" w:rsidRPr="007E56EE">
        <w:rPr>
          <w:rFonts w:ascii="Bookman Old Style" w:hAnsi="Bookman Old Style" w:cs="Arial"/>
          <w:b/>
          <w:bCs/>
          <w:color w:val="000000" w:themeColor="text1"/>
          <w:sz w:val="24"/>
          <w:szCs w:val="24"/>
        </w:rPr>
        <w:t xml:space="preserve"> Se debe distinguir el precio de suministro por cada uno de los puntos de entrega pactados en el contrato previamente registrado</w:t>
      </w:r>
      <w:r w:rsidR="001878F1" w:rsidRPr="007E56EE">
        <w:rPr>
          <w:rFonts w:ascii="Bookman Old Style" w:hAnsi="Bookman Old Style" w:cs="Arial"/>
          <w:b/>
          <w:bCs/>
          <w:color w:val="000000" w:themeColor="text1"/>
          <w:sz w:val="24"/>
          <w:szCs w:val="24"/>
        </w:rPr>
        <w:t>,</w:t>
      </w:r>
      <w:r w:rsidR="00200B6B" w:rsidRPr="007E56EE">
        <w:rPr>
          <w:rFonts w:ascii="Bookman Old Style" w:hAnsi="Bookman Old Style" w:cs="Arial"/>
          <w:b/>
          <w:bCs/>
          <w:color w:val="000000" w:themeColor="text1"/>
          <w:sz w:val="24"/>
          <w:szCs w:val="24"/>
        </w:rPr>
        <w:t xml:space="preserve"> cuando el gas provenga de una misma fuente de suministro en los contratos vigentes a la fecha de publicación de la presente Resolución. En el caso de contratos de suministro que incluyan el costo del transporte en el SNT para la entrega en un punto de salida del SNT, el vendedor deberá discriminar el precio de dicho transporte.</w:t>
      </w:r>
    </w:p>
    <w:p w14:paraId="1A7C6D85"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4EC2B9E4" w14:textId="3028B4B0" w:rsidR="001D4E61" w:rsidRPr="007E56EE" w:rsidRDefault="001D4E61" w:rsidP="006461EF">
      <w:pPr>
        <w:pStyle w:val="Prrafodelista"/>
        <w:numPr>
          <w:ilvl w:val="0"/>
          <w:numId w:val="38"/>
        </w:numPr>
        <w:ind w:hanging="579"/>
        <w:contextualSpacing/>
        <w:jc w:val="both"/>
        <w:outlineLvl w:val="0"/>
        <w:rPr>
          <w:rFonts w:ascii="Bookman Old Style" w:hAnsi="Bookman Old Style"/>
          <w:b/>
          <w:bCs/>
          <w:sz w:val="24"/>
          <w:szCs w:val="24"/>
        </w:rPr>
      </w:pPr>
      <w:r w:rsidRPr="007E56EE">
        <w:rPr>
          <w:rFonts w:ascii="Bookman Old Style" w:hAnsi="Bookman Old Style" w:cs="Arial"/>
          <w:b/>
          <w:bCs/>
          <w:color w:val="000000" w:themeColor="text1"/>
          <w:sz w:val="24"/>
          <w:szCs w:val="24"/>
          <w:lang w:eastAsia="es-ES"/>
        </w:rPr>
        <w:t xml:space="preserve">Condición de cada fuente de suministro al momento del registro del contrato </w:t>
      </w:r>
      <w:r w:rsidRPr="007E56EE">
        <w:rPr>
          <w:rFonts w:ascii="Bookman Old Style" w:hAnsi="Bookman Old Style"/>
          <w:b/>
          <w:bCs/>
          <w:sz w:val="24"/>
          <w:szCs w:val="24"/>
        </w:rPr>
        <w:t xml:space="preserve">(campo menor, campo en pruebas extensas con la duración de dichas pruebas o sin declaración de comercialidad, campo aislado, yacimiento no convencional, campo en desarrollo, Fuente de Suministro extranjera, otras fuentes) </w:t>
      </w:r>
    </w:p>
    <w:p w14:paraId="4C17B165" w14:textId="77777777" w:rsidR="001D4E61" w:rsidRPr="007E56EE" w:rsidRDefault="001D4E61" w:rsidP="006461EF">
      <w:pPr>
        <w:pStyle w:val="Prrafodelista"/>
        <w:ind w:left="1701" w:hanging="425"/>
        <w:contextualSpacing/>
        <w:jc w:val="both"/>
        <w:rPr>
          <w:rFonts w:ascii="Bookman Old Style" w:hAnsi="Bookman Old Style" w:cs="Arial"/>
          <w:b/>
          <w:bCs/>
          <w:color w:val="000000" w:themeColor="text1"/>
          <w:sz w:val="24"/>
          <w:szCs w:val="24"/>
          <w:lang w:eastAsia="es-ES"/>
        </w:rPr>
      </w:pPr>
    </w:p>
    <w:p w14:paraId="6E8599D4" w14:textId="19193662" w:rsidR="001D4E61" w:rsidRPr="007E56EE" w:rsidRDefault="001D4E61" w:rsidP="006461EF">
      <w:pPr>
        <w:pStyle w:val="Prrafodelista"/>
        <w:numPr>
          <w:ilvl w:val="0"/>
          <w:numId w:val="38"/>
        </w:numPr>
        <w:ind w:left="1701" w:hanging="567"/>
        <w:contextualSpacing/>
        <w:jc w:val="both"/>
        <w:outlineLvl w:val="0"/>
        <w:rPr>
          <w:rFonts w:ascii="Bookman Old Style" w:hAnsi="Bookman Old Style" w:cs="Arial"/>
          <w:color w:val="000000" w:themeColor="text1"/>
          <w:sz w:val="24"/>
          <w:szCs w:val="24"/>
          <w:lang w:eastAsia="es-ES"/>
        </w:rPr>
      </w:pPr>
      <w:r w:rsidRPr="007E56EE">
        <w:rPr>
          <w:rFonts w:ascii="Bookman Old Style" w:hAnsi="Bookman Old Style"/>
          <w:b/>
          <w:bCs/>
          <w:sz w:val="24"/>
          <w:szCs w:val="24"/>
        </w:rPr>
        <w:t>Estado del gas natural que se suministra para cada fuente de suministro (gas natural, gas natural licuado, gas natural comprimido).</w:t>
      </w:r>
    </w:p>
    <w:p w14:paraId="166B4C5C" w14:textId="77777777" w:rsidR="001D4E61" w:rsidRPr="007E56EE" w:rsidRDefault="001D4E61" w:rsidP="006461EF">
      <w:pPr>
        <w:pStyle w:val="Prrafodelista"/>
        <w:rPr>
          <w:rFonts w:ascii="Bookman Old Style" w:hAnsi="Bookman Old Style" w:cs="Arial"/>
          <w:color w:val="000000" w:themeColor="text1"/>
          <w:sz w:val="24"/>
          <w:szCs w:val="24"/>
          <w:lang w:eastAsia="es-ES"/>
        </w:rPr>
      </w:pPr>
    </w:p>
    <w:p w14:paraId="328248F4" w14:textId="208634F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Cantidad de energía contratada</w:t>
      </w:r>
      <w:r w:rsidR="00902B8A" w:rsidRPr="007E56EE">
        <w:rPr>
          <w:rFonts w:ascii="Bookman Old Style" w:hAnsi="Bookman Old Style" w:cs="Arial"/>
          <w:color w:val="000000" w:themeColor="text1"/>
          <w:sz w:val="24"/>
          <w:szCs w:val="24"/>
          <w:lang w:eastAsia="es-ES"/>
        </w:rPr>
        <w:t xml:space="preserve"> </w:t>
      </w:r>
      <w:r w:rsidR="00902B8A" w:rsidRPr="007E56EE">
        <w:rPr>
          <w:rFonts w:ascii="Bookman Old Style" w:hAnsi="Bookman Old Style" w:cs="Arial"/>
          <w:b/>
          <w:bCs/>
          <w:color w:val="000000" w:themeColor="text1"/>
          <w:sz w:val="24"/>
          <w:szCs w:val="24"/>
          <w:lang w:eastAsia="es-ES"/>
        </w:rPr>
        <w:t>con garantía de firmeza</w:t>
      </w:r>
      <w:r w:rsidRPr="007E56EE">
        <w:rPr>
          <w:rFonts w:ascii="Bookman Old Style" w:hAnsi="Bookman Old Style" w:cs="Arial"/>
          <w:color w:val="000000" w:themeColor="text1"/>
          <w:sz w:val="24"/>
          <w:szCs w:val="24"/>
          <w:lang w:eastAsia="es-ES"/>
        </w:rPr>
        <w:t>, expresada en MBTUD</w:t>
      </w:r>
      <w:r w:rsidR="001D4E61" w:rsidRPr="007E56EE">
        <w:rPr>
          <w:rFonts w:ascii="Bookman Old Style" w:hAnsi="Bookman Old Style" w:cs="Arial"/>
          <w:color w:val="000000" w:themeColor="text1"/>
          <w:sz w:val="24"/>
          <w:szCs w:val="24"/>
          <w:lang w:eastAsia="es-ES"/>
        </w:rPr>
        <w:t xml:space="preserve">, </w:t>
      </w:r>
      <w:r w:rsidR="001D4E61" w:rsidRPr="007E56EE">
        <w:rPr>
          <w:rFonts w:ascii="Bookman Old Style" w:hAnsi="Bookman Old Style" w:cs="Arial"/>
          <w:b/>
          <w:bCs/>
          <w:color w:val="000000" w:themeColor="text1"/>
          <w:sz w:val="24"/>
          <w:szCs w:val="24"/>
          <w:lang w:eastAsia="es-ES"/>
        </w:rPr>
        <w:t>para cada fuente de suministro y cada mes de suministro</w:t>
      </w:r>
      <w:r w:rsidRPr="007E56EE">
        <w:rPr>
          <w:rFonts w:ascii="Bookman Old Style" w:hAnsi="Bookman Old Style" w:cs="Arial"/>
          <w:color w:val="000000" w:themeColor="text1"/>
          <w:sz w:val="24"/>
          <w:szCs w:val="24"/>
          <w:lang w:eastAsia="es-ES"/>
        </w:rPr>
        <w:t>.</w:t>
      </w:r>
    </w:p>
    <w:p w14:paraId="4B3596FA"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4870FAE4" w14:textId="5D4088F4" w:rsidR="00902B8A" w:rsidRPr="007E56EE" w:rsidRDefault="00902B8A"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Cantidad de energía contratada con interrupciones, expresada en MBTUD.</w:t>
      </w:r>
    </w:p>
    <w:p w14:paraId="28BBF5AA" w14:textId="77777777" w:rsidR="00902B8A" w:rsidRPr="00902B8A" w:rsidRDefault="00902B8A" w:rsidP="00902B8A">
      <w:pPr>
        <w:pStyle w:val="Prrafodelista"/>
        <w:rPr>
          <w:rFonts w:ascii="Bookman Old Style" w:hAnsi="Bookman Old Style" w:cs="Arial"/>
          <w:color w:val="000000" w:themeColor="text1"/>
          <w:sz w:val="24"/>
          <w:szCs w:val="24"/>
          <w:lang w:eastAsia="es-ES"/>
        </w:rPr>
      </w:pPr>
    </w:p>
    <w:p w14:paraId="61EDC298" w14:textId="1471270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Precio a la fecha de suscripción del contrato, expresado en dólares de los Estados Unidos de América por MBTU.</w:t>
      </w:r>
    </w:p>
    <w:p w14:paraId="69E273D4" w14:textId="77777777" w:rsidR="009223EB" w:rsidRPr="007E56EE" w:rsidRDefault="009223EB" w:rsidP="009223EB">
      <w:pPr>
        <w:pStyle w:val="Prrafodelista"/>
        <w:rPr>
          <w:rFonts w:ascii="Bookman Old Style" w:hAnsi="Bookman Old Style" w:cs="Arial"/>
          <w:color w:val="000000" w:themeColor="text1"/>
          <w:sz w:val="24"/>
          <w:szCs w:val="24"/>
          <w:lang w:eastAsia="es-ES"/>
        </w:rPr>
      </w:pPr>
    </w:p>
    <w:p w14:paraId="5ADBE0DD" w14:textId="67A3EC32" w:rsidR="001D4E61" w:rsidRPr="007E56EE" w:rsidRDefault="001D4E61"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lastRenderedPageBreak/>
        <w:t>Porcentaje de pag</w:t>
      </w:r>
      <w:r w:rsidR="004B509F" w:rsidRPr="007E56EE">
        <w:rPr>
          <w:rFonts w:ascii="Bookman Old Style" w:hAnsi="Bookman Old Style" w:cs="Arial"/>
          <w:b/>
          <w:bCs/>
          <w:color w:val="000000" w:themeColor="text1"/>
          <w:sz w:val="24"/>
          <w:szCs w:val="24"/>
          <w:lang w:eastAsia="es-ES"/>
        </w:rPr>
        <w:t>o</w:t>
      </w:r>
      <w:r w:rsidRPr="007E56EE">
        <w:rPr>
          <w:rFonts w:ascii="Bookman Old Style" w:hAnsi="Bookman Old Style" w:cs="Arial"/>
          <w:b/>
          <w:bCs/>
          <w:color w:val="000000" w:themeColor="text1"/>
          <w:sz w:val="24"/>
          <w:szCs w:val="24"/>
          <w:lang w:eastAsia="es-ES"/>
        </w:rPr>
        <w:t xml:space="preserve"> mínimo </w:t>
      </w:r>
      <w:r w:rsidR="0099026C" w:rsidRPr="007E56EE">
        <w:rPr>
          <w:rFonts w:ascii="Bookman Old Style" w:hAnsi="Bookman Old Style" w:cs="Arial"/>
          <w:b/>
          <w:bCs/>
          <w:color w:val="000000" w:themeColor="text1"/>
          <w:sz w:val="24"/>
          <w:szCs w:val="24"/>
          <w:lang w:eastAsia="es-ES"/>
        </w:rPr>
        <w:t xml:space="preserve">fijo </w:t>
      </w:r>
      <w:r w:rsidRPr="007E56EE">
        <w:rPr>
          <w:rFonts w:ascii="Bookman Old Style" w:hAnsi="Bookman Old Style" w:cs="Arial"/>
          <w:b/>
          <w:bCs/>
          <w:color w:val="000000" w:themeColor="text1"/>
          <w:sz w:val="24"/>
          <w:szCs w:val="24"/>
          <w:lang w:eastAsia="es-ES"/>
        </w:rPr>
        <w:t>de las cantidades pactadas con garantía de firmeza.</w:t>
      </w:r>
    </w:p>
    <w:p w14:paraId="404E5AF9" w14:textId="77777777" w:rsidR="001D4E61" w:rsidRPr="007E56EE" w:rsidRDefault="001D4E61" w:rsidP="006461EF">
      <w:pPr>
        <w:pStyle w:val="Prrafodelista"/>
        <w:rPr>
          <w:rFonts w:ascii="Bookman Old Style" w:hAnsi="Bookman Old Style" w:cs="Arial"/>
          <w:b/>
          <w:bCs/>
          <w:color w:val="000000"/>
          <w:sz w:val="24"/>
          <w:szCs w:val="24"/>
        </w:rPr>
      </w:pPr>
    </w:p>
    <w:p w14:paraId="75B989A5" w14:textId="48F5CA12" w:rsidR="009223EB" w:rsidRPr="007E56EE" w:rsidRDefault="009223EB"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sz w:val="24"/>
          <w:szCs w:val="24"/>
        </w:rPr>
        <w:t xml:space="preserve">En el caso de contratos con interrupciones, precio único </w:t>
      </w:r>
      <w:r w:rsidR="001878F1" w:rsidRPr="007E56EE">
        <w:rPr>
          <w:rFonts w:ascii="Bookman Old Style" w:hAnsi="Bookman Old Style" w:cs="Arial"/>
          <w:b/>
          <w:bCs/>
          <w:color w:val="000000"/>
          <w:sz w:val="24"/>
          <w:szCs w:val="24"/>
        </w:rPr>
        <w:t xml:space="preserve">máximo </w:t>
      </w:r>
      <w:r w:rsidRPr="007E56EE">
        <w:rPr>
          <w:rFonts w:ascii="Bookman Old Style" w:hAnsi="Bookman Old Style" w:cs="Arial"/>
          <w:b/>
          <w:bCs/>
          <w:color w:val="000000"/>
          <w:sz w:val="24"/>
          <w:szCs w:val="24"/>
        </w:rPr>
        <w:t>pactado en el contrato, expresado en dólares de los Estados Unidos de América por MBTU, como se establece en el numeral 2 del</w:t>
      </w:r>
      <w:r w:rsidR="00210424">
        <w:rPr>
          <w:rFonts w:ascii="Bookman Old Style" w:hAnsi="Bookman Old Style" w:cs="Arial"/>
          <w:b/>
          <w:bCs/>
          <w:color w:val="000000"/>
          <w:sz w:val="24"/>
          <w:szCs w:val="24"/>
        </w:rPr>
        <w:t xml:space="preserve"> artículo 37</w:t>
      </w:r>
      <w:r w:rsidR="00472EF2" w:rsidRPr="007E56EE">
        <w:rPr>
          <w:rFonts w:ascii="Bookman Old Style" w:hAnsi="Bookman Old Style" w:cs="Arial"/>
          <w:b/>
          <w:bCs/>
          <w:color w:val="000000"/>
          <w:sz w:val="24"/>
          <w:szCs w:val="24"/>
        </w:rPr>
        <w:t xml:space="preserve"> </w:t>
      </w:r>
      <w:r w:rsidRPr="007E56EE">
        <w:rPr>
          <w:rFonts w:ascii="Bookman Old Style" w:hAnsi="Bookman Old Style" w:cs="Arial"/>
          <w:b/>
          <w:bCs/>
          <w:color w:val="000000"/>
          <w:sz w:val="24"/>
          <w:szCs w:val="24"/>
        </w:rPr>
        <w:t>de la presente Resolución.</w:t>
      </w:r>
    </w:p>
    <w:p w14:paraId="794F2FE2"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6DECFC2A" w14:textId="7777777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Fecha de inicio de la obligación de entrega (día/mes/año).</w:t>
      </w:r>
    </w:p>
    <w:p w14:paraId="3792DC42" w14:textId="77777777" w:rsidR="0006302B" w:rsidRPr="007E56E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18189357" w14:textId="77777777" w:rsidR="0006302B" w:rsidRPr="007E56EE" w:rsidRDefault="0006302B" w:rsidP="00A4790E">
      <w:pPr>
        <w:pStyle w:val="Prrafodelista"/>
        <w:numPr>
          <w:ilvl w:val="0"/>
          <w:numId w:val="38"/>
        </w:numPr>
        <w:ind w:left="1701" w:hanging="567"/>
        <w:contextualSpacing/>
        <w:jc w:val="both"/>
        <w:rPr>
          <w:rFonts w:ascii="Bookman Old Style" w:hAnsi="Bookman Old Style" w:cs="Arial"/>
          <w:color w:val="000000" w:themeColor="text1"/>
          <w:sz w:val="24"/>
          <w:szCs w:val="24"/>
          <w:lang w:eastAsia="es-ES"/>
        </w:rPr>
      </w:pPr>
      <w:r w:rsidRPr="007E56EE">
        <w:rPr>
          <w:rFonts w:ascii="Bookman Old Style" w:hAnsi="Bookman Old Style" w:cs="Arial"/>
          <w:color w:val="000000" w:themeColor="text1"/>
          <w:sz w:val="24"/>
          <w:szCs w:val="24"/>
          <w:lang w:eastAsia="es-ES"/>
        </w:rPr>
        <w:t>Fecha de terminación de la obligación de entrega (día/mes/año).</w:t>
      </w:r>
    </w:p>
    <w:p w14:paraId="01D92F66" w14:textId="77777777" w:rsidR="0006302B" w:rsidRPr="007E56EE" w:rsidRDefault="0006302B" w:rsidP="0006302B">
      <w:pPr>
        <w:pStyle w:val="Prrafodelista"/>
        <w:rPr>
          <w:rFonts w:ascii="Bookman Old Style" w:hAnsi="Bookman Old Style" w:cs="Arial"/>
          <w:color w:val="000000" w:themeColor="text1"/>
          <w:sz w:val="24"/>
          <w:szCs w:val="24"/>
          <w:lang w:eastAsia="es-ES"/>
        </w:rPr>
      </w:pPr>
    </w:p>
    <w:p w14:paraId="0D30A519" w14:textId="261D24D7" w:rsidR="00454734" w:rsidRPr="007E56EE" w:rsidRDefault="00454734"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Tipo de demanda y sector de consumo</w:t>
      </w:r>
    </w:p>
    <w:p w14:paraId="1E3A6908" w14:textId="77777777" w:rsidR="00454734" w:rsidRPr="007E56EE" w:rsidRDefault="00454734" w:rsidP="00454734">
      <w:pPr>
        <w:pStyle w:val="Prrafodelista"/>
        <w:rPr>
          <w:rFonts w:ascii="Bookman Old Style" w:hAnsi="Bookman Old Style" w:cs="Arial"/>
          <w:b/>
          <w:bCs/>
          <w:color w:val="000000" w:themeColor="text1"/>
          <w:sz w:val="24"/>
          <w:szCs w:val="24"/>
          <w:lang w:eastAsia="es-ES"/>
        </w:rPr>
      </w:pPr>
    </w:p>
    <w:p w14:paraId="03FC17C7" w14:textId="59AAEC1B" w:rsidR="0006302B" w:rsidRPr="007E56EE" w:rsidRDefault="0006302B"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Moneda de pago pactada en el contrato.</w:t>
      </w:r>
    </w:p>
    <w:p w14:paraId="7928D7DA" w14:textId="77777777" w:rsidR="0006302B" w:rsidRPr="007E56EE" w:rsidRDefault="0006302B" w:rsidP="0006302B">
      <w:pPr>
        <w:pStyle w:val="Prrafodelista"/>
        <w:rPr>
          <w:rFonts w:ascii="Bookman Old Style" w:hAnsi="Bookman Old Style" w:cs="Arial"/>
          <w:b/>
          <w:bCs/>
          <w:color w:val="000000" w:themeColor="text1"/>
          <w:sz w:val="24"/>
          <w:szCs w:val="24"/>
          <w:lang w:eastAsia="es-ES"/>
        </w:rPr>
      </w:pPr>
    </w:p>
    <w:p w14:paraId="2EEDBD9F" w14:textId="493F5F28" w:rsidR="0006302B" w:rsidRPr="007E56EE" w:rsidRDefault="0006302B" w:rsidP="00A4790E">
      <w:pPr>
        <w:pStyle w:val="Prrafodelista"/>
        <w:numPr>
          <w:ilvl w:val="0"/>
          <w:numId w:val="38"/>
        </w:numPr>
        <w:ind w:hanging="579"/>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Tasa de cambio pactada en el contrato para efectos de la conversión de dólares de los Estado Unidos de América a pesos colombianos para la liquidación y facturación, si es el caso.</w:t>
      </w:r>
    </w:p>
    <w:p w14:paraId="35B2BD63" w14:textId="77777777" w:rsidR="004B509F" w:rsidRPr="007E56EE" w:rsidRDefault="004B509F" w:rsidP="006461EF">
      <w:pPr>
        <w:pStyle w:val="Prrafodelista"/>
        <w:rPr>
          <w:rFonts w:ascii="Bookman Old Style" w:hAnsi="Bookman Old Style" w:cs="Arial"/>
          <w:b/>
          <w:bCs/>
          <w:color w:val="000000" w:themeColor="text1"/>
          <w:sz w:val="24"/>
          <w:szCs w:val="24"/>
          <w:lang w:eastAsia="es-ES"/>
        </w:rPr>
      </w:pPr>
    </w:p>
    <w:p w14:paraId="2A526328" w14:textId="6B7A599D" w:rsidR="004B509F" w:rsidRPr="007E56EE" w:rsidRDefault="004B509F" w:rsidP="00A4790E">
      <w:pPr>
        <w:pStyle w:val="Prrafodelista"/>
        <w:numPr>
          <w:ilvl w:val="0"/>
          <w:numId w:val="38"/>
        </w:numPr>
        <w:ind w:hanging="579"/>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Tipo de garantía pactada</w:t>
      </w:r>
      <w:r w:rsidR="0099026C" w:rsidRPr="007E56EE">
        <w:rPr>
          <w:rFonts w:ascii="Bookman Old Style" w:hAnsi="Bookman Old Style" w:cs="Arial"/>
          <w:b/>
          <w:bCs/>
          <w:color w:val="000000" w:themeColor="text1"/>
          <w:sz w:val="24"/>
          <w:szCs w:val="24"/>
          <w:lang w:eastAsia="es-ES"/>
        </w:rPr>
        <w:t xml:space="preserve"> según el Anexo 6 de la presente Resolución</w:t>
      </w:r>
      <w:r w:rsidRPr="007E56EE">
        <w:rPr>
          <w:rFonts w:ascii="Bookman Old Style" w:hAnsi="Bookman Old Style" w:cs="Arial"/>
          <w:b/>
          <w:bCs/>
          <w:color w:val="000000" w:themeColor="text1"/>
          <w:sz w:val="24"/>
          <w:szCs w:val="24"/>
          <w:lang w:eastAsia="es-ES"/>
        </w:rPr>
        <w:t>.</w:t>
      </w:r>
    </w:p>
    <w:p w14:paraId="68C8AA1D" w14:textId="77777777" w:rsidR="000A7F19" w:rsidRPr="007E56EE" w:rsidRDefault="000A7F19" w:rsidP="000A7F19">
      <w:pPr>
        <w:pStyle w:val="Prrafodelista"/>
        <w:rPr>
          <w:rFonts w:ascii="Bookman Old Style" w:hAnsi="Bookman Old Style" w:cs="Arial"/>
          <w:b/>
          <w:bCs/>
          <w:color w:val="000000" w:themeColor="text1"/>
          <w:sz w:val="24"/>
          <w:szCs w:val="24"/>
          <w:lang w:eastAsia="es-ES"/>
        </w:rPr>
      </w:pPr>
    </w:p>
    <w:p w14:paraId="60C3AA6C" w14:textId="5592EC51" w:rsidR="00E133E0" w:rsidRPr="007E56EE" w:rsidRDefault="00E133E0" w:rsidP="006461EF">
      <w:pPr>
        <w:pStyle w:val="Prrafodelista"/>
        <w:numPr>
          <w:ilvl w:val="0"/>
          <w:numId w:val="94"/>
        </w:numPr>
        <w:ind w:hanging="579"/>
        <w:contextualSpacing/>
        <w:jc w:val="both"/>
        <w:rPr>
          <w:rFonts w:ascii="Bookman Old Style" w:hAnsi="Bookman Old Style" w:cs="Arial"/>
          <w:b/>
          <w:bCs/>
          <w:color w:val="000000"/>
          <w:sz w:val="24"/>
          <w:szCs w:val="24"/>
        </w:rPr>
      </w:pPr>
      <w:r w:rsidRPr="00295053">
        <w:rPr>
          <w:rFonts w:ascii="Bookman Old Style" w:hAnsi="Bookman Old Style" w:cs="Arial"/>
          <w:b/>
          <w:bCs/>
          <w:color w:val="000000" w:themeColor="text1"/>
          <w:sz w:val="24"/>
          <w:szCs w:val="24"/>
        </w:rPr>
        <w:t xml:space="preserve">En </w:t>
      </w:r>
      <w:r w:rsidRPr="007E56EE">
        <w:rPr>
          <w:rFonts w:ascii="Bookman Old Style" w:hAnsi="Bookman Old Style" w:cs="Arial"/>
          <w:b/>
          <w:bCs/>
          <w:color w:val="000000" w:themeColor="text1"/>
          <w:sz w:val="24"/>
          <w:szCs w:val="24"/>
        </w:rPr>
        <w:t xml:space="preserve">el caso de campos en pruebas extensas, se debe presentar certificación vigente de la ANH </w:t>
      </w:r>
      <w:r w:rsidR="001878F1" w:rsidRPr="007E56EE">
        <w:rPr>
          <w:rFonts w:ascii="Bookman Old Style" w:hAnsi="Bookman Old Style" w:cs="Arial"/>
          <w:b/>
          <w:bCs/>
          <w:color w:val="000000" w:themeColor="text1"/>
          <w:sz w:val="24"/>
          <w:szCs w:val="24"/>
        </w:rPr>
        <w:t xml:space="preserve">sobre la consideración de </w:t>
      </w:r>
      <w:r w:rsidR="00265423">
        <w:rPr>
          <w:rFonts w:ascii="Bookman Old Style" w:hAnsi="Bookman Old Style" w:cs="Arial"/>
          <w:b/>
          <w:bCs/>
          <w:color w:val="000000" w:themeColor="text1"/>
          <w:sz w:val="24"/>
          <w:szCs w:val="24"/>
        </w:rPr>
        <w:t>r</w:t>
      </w:r>
      <w:r w:rsidR="001878F1" w:rsidRPr="007E56EE">
        <w:rPr>
          <w:rFonts w:ascii="Bookman Old Style" w:hAnsi="Bookman Old Style" w:cs="Arial"/>
          <w:b/>
          <w:bCs/>
          <w:color w:val="000000" w:themeColor="text1"/>
          <w:sz w:val="24"/>
          <w:szCs w:val="24"/>
        </w:rPr>
        <w:t>eservas probadas y probables consideradas por la ANH para dichos campos</w:t>
      </w:r>
      <w:r w:rsidRPr="007E56EE">
        <w:rPr>
          <w:rFonts w:ascii="Bookman Old Style" w:hAnsi="Bookman Old Style" w:cs="Arial"/>
          <w:b/>
          <w:bCs/>
          <w:color w:val="000000" w:themeColor="text1"/>
          <w:sz w:val="24"/>
          <w:szCs w:val="24"/>
        </w:rPr>
        <w:t>. En caso de no entregarse la certificación, el Gestor del Mercado deberá abstenerse de registrar el contrato y deberá informar a la SSPD para lo de su competencia.</w:t>
      </w:r>
    </w:p>
    <w:p w14:paraId="4D6DCAC6" w14:textId="77777777" w:rsidR="00E133E0" w:rsidRPr="007E56EE" w:rsidRDefault="00E133E0" w:rsidP="00E133E0">
      <w:pPr>
        <w:pStyle w:val="Prrafodelista"/>
        <w:rPr>
          <w:rFonts w:ascii="Bookman Old Style" w:hAnsi="Bookman Old Style" w:cs="Arial"/>
          <w:b/>
          <w:bCs/>
          <w:color w:val="000000"/>
          <w:sz w:val="24"/>
          <w:szCs w:val="24"/>
        </w:rPr>
      </w:pPr>
    </w:p>
    <w:p w14:paraId="0808EA18" w14:textId="6F6EEEE3" w:rsidR="00E133E0" w:rsidRPr="007E56EE" w:rsidRDefault="00E133E0" w:rsidP="00A4790E">
      <w:pPr>
        <w:pStyle w:val="Prrafodelista"/>
        <w:numPr>
          <w:ilvl w:val="0"/>
          <w:numId w:val="94"/>
        </w:numPr>
        <w:ind w:left="1701" w:hanging="567"/>
        <w:contextualSpacing/>
        <w:jc w:val="both"/>
        <w:rPr>
          <w:rFonts w:ascii="Bookman Old Style" w:hAnsi="Bookman Old Style" w:cs="Arial"/>
          <w:b/>
          <w:color w:val="000000"/>
          <w:sz w:val="24"/>
          <w:szCs w:val="24"/>
        </w:rPr>
      </w:pPr>
      <w:r w:rsidRPr="007E56EE">
        <w:rPr>
          <w:rFonts w:ascii="Bookman Old Style" w:hAnsi="Bookman Old Style" w:cs="Arial"/>
          <w:b/>
          <w:bCs/>
          <w:color w:val="000000"/>
          <w:sz w:val="24"/>
          <w:szCs w:val="24"/>
        </w:rPr>
        <w:t xml:space="preserve">En el caso de que un contrato se </w:t>
      </w:r>
      <w:r w:rsidR="00960719" w:rsidRPr="007E56EE">
        <w:rPr>
          <w:rFonts w:ascii="Bookman Old Style" w:hAnsi="Bookman Old Style" w:cs="Arial"/>
          <w:b/>
          <w:bCs/>
          <w:color w:val="000000"/>
          <w:sz w:val="24"/>
          <w:szCs w:val="24"/>
        </w:rPr>
        <w:t xml:space="preserve">solicite </w:t>
      </w:r>
      <w:r w:rsidRPr="007E56EE">
        <w:rPr>
          <w:rFonts w:ascii="Bookman Old Style" w:hAnsi="Bookman Old Style" w:cs="Arial"/>
          <w:b/>
          <w:bCs/>
          <w:color w:val="000000"/>
          <w:sz w:val="24"/>
          <w:szCs w:val="24"/>
        </w:rPr>
        <w:t xml:space="preserve">registrar con el tipo “firme” o “mixto”, la fuente de suministro de dicho contrato deberá contar con </w:t>
      </w:r>
      <w:r w:rsidR="00960719" w:rsidRPr="007E56EE">
        <w:rPr>
          <w:rFonts w:ascii="Bookman Old Style" w:hAnsi="Bookman Old Style" w:cs="Arial"/>
          <w:b/>
          <w:bCs/>
          <w:color w:val="000000"/>
          <w:sz w:val="24"/>
          <w:szCs w:val="24"/>
        </w:rPr>
        <w:t xml:space="preserve">la </w:t>
      </w:r>
      <w:r w:rsidRPr="007E56EE">
        <w:rPr>
          <w:rFonts w:ascii="Bookman Old Style" w:hAnsi="Bookman Old Style" w:cs="Arial"/>
          <w:b/>
          <w:bCs/>
          <w:color w:val="000000"/>
          <w:sz w:val="24"/>
          <w:szCs w:val="24"/>
        </w:rPr>
        <w:t xml:space="preserve">PTDVF </w:t>
      </w:r>
      <w:r w:rsidR="00960719" w:rsidRPr="007E56EE">
        <w:rPr>
          <w:rFonts w:ascii="Bookman Old Style" w:hAnsi="Bookman Old Style" w:cs="Arial"/>
          <w:b/>
          <w:bCs/>
          <w:color w:val="000000"/>
          <w:sz w:val="24"/>
          <w:szCs w:val="24"/>
        </w:rPr>
        <w:t xml:space="preserve">necesaria para cubrir la cantidad de energía con garantía de firmeza, </w:t>
      </w:r>
      <w:r w:rsidR="001878F1" w:rsidRPr="007E56EE">
        <w:rPr>
          <w:rFonts w:ascii="Bookman Old Style" w:hAnsi="Bookman Old Style" w:cs="Arial"/>
          <w:b/>
          <w:bCs/>
          <w:color w:val="000000"/>
          <w:sz w:val="24"/>
          <w:szCs w:val="24"/>
        </w:rPr>
        <w:t xml:space="preserve">para poder ser registrado </w:t>
      </w:r>
      <w:r w:rsidRPr="007E56EE">
        <w:rPr>
          <w:rFonts w:ascii="Bookman Old Style" w:hAnsi="Bookman Old Style" w:cs="Arial"/>
          <w:b/>
          <w:bCs/>
          <w:color w:val="000000"/>
          <w:sz w:val="24"/>
          <w:szCs w:val="24"/>
        </w:rPr>
        <w:t xml:space="preserve">en los </w:t>
      </w:r>
      <w:r w:rsidR="00960719" w:rsidRPr="007E56EE">
        <w:rPr>
          <w:rFonts w:ascii="Bookman Old Style" w:hAnsi="Bookman Old Style" w:cs="Arial"/>
          <w:b/>
          <w:bCs/>
          <w:color w:val="000000"/>
          <w:sz w:val="24"/>
          <w:szCs w:val="24"/>
        </w:rPr>
        <w:t xml:space="preserve">respectivos </w:t>
      </w:r>
      <w:r w:rsidRPr="007E56EE">
        <w:rPr>
          <w:rFonts w:ascii="Bookman Old Style" w:hAnsi="Bookman Old Style" w:cs="Arial"/>
          <w:b/>
          <w:bCs/>
          <w:color w:val="000000"/>
          <w:sz w:val="24"/>
          <w:szCs w:val="24"/>
        </w:rPr>
        <w:t>períodos de ejecución</w:t>
      </w:r>
      <w:r w:rsidR="001878F1" w:rsidRPr="007E56EE">
        <w:rPr>
          <w:rFonts w:ascii="Bookman Old Style" w:hAnsi="Bookman Old Style" w:cs="Arial"/>
          <w:b/>
          <w:bCs/>
          <w:color w:val="000000"/>
          <w:sz w:val="24"/>
          <w:szCs w:val="24"/>
        </w:rPr>
        <w:t>.</w:t>
      </w:r>
    </w:p>
    <w:p w14:paraId="717173CA" w14:textId="77777777" w:rsidR="00B237CA" w:rsidRPr="007E56EE" w:rsidRDefault="00B237CA" w:rsidP="006461EF">
      <w:pPr>
        <w:pStyle w:val="Prrafodelista"/>
        <w:rPr>
          <w:rFonts w:ascii="Bookman Old Style" w:hAnsi="Bookman Old Style" w:cs="Arial"/>
          <w:b/>
          <w:bCs/>
          <w:color w:val="000000"/>
          <w:sz w:val="24"/>
          <w:szCs w:val="24"/>
        </w:rPr>
      </w:pPr>
    </w:p>
    <w:p w14:paraId="1B679FFD" w14:textId="1F34ED31" w:rsidR="00B237CA" w:rsidRPr="007E56EE" w:rsidRDefault="00B237CA" w:rsidP="00A4790E">
      <w:pPr>
        <w:pStyle w:val="Prrafodelista"/>
        <w:numPr>
          <w:ilvl w:val="0"/>
          <w:numId w:val="94"/>
        </w:numPr>
        <w:ind w:left="1701" w:hanging="567"/>
        <w:contextualSpacing/>
        <w:jc w:val="both"/>
        <w:rPr>
          <w:rFonts w:ascii="Bookman Old Style" w:hAnsi="Bookman Old Style" w:cs="Arial"/>
          <w:b/>
          <w:bCs/>
          <w:color w:val="000000"/>
          <w:sz w:val="24"/>
          <w:szCs w:val="24"/>
        </w:rPr>
      </w:pPr>
      <w:r w:rsidRPr="007E56EE">
        <w:rPr>
          <w:rFonts w:ascii="Bookman Old Style" w:hAnsi="Bookman Old Style" w:cs="Arial"/>
          <w:b/>
          <w:bCs/>
          <w:color w:val="000000"/>
          <w:sz w:val="24"/>
          <w:szCs w:val="24"/>
        </w:rPr>
        <w:t xml:space="preserve">Mecanismo inicial de resolución de conflictos (por ejemplo </w:t>
      </w:r>
      <w:r w:rsidRPr="007E56EE">
        <w:rPr>
          <w:rFonts w:ascii="Bookman Old Style" w:hAnsi="Bookman Old Style"/>
          <w:b/>
          <w:bCs/>
          <w:sz w:val="24"/>
          <w:szCs w:val="24"/>
        </w:rPr>
        <w:t>grupo interno de las partes, tribunal de arbitramento, justicia contenciosa, amigable componedor, etc.)</w:t>
      </w:r>
      <w:r w:rsidRPr="007E56EE">
        <w:rPr>
          <w:rFonts w:ascii="Bookman Old Style" w:hAnsi="Bookman Old Style" w:cs="Arial"/>
          <w:b/>
          <w:bCs/>
          <w:color w:val="000000"/>
          <w:sz w:val="24"/>
          <w:szCs w:val="24"/>
        </w:rPr>
        <w:t>.</w:t>
      </w:r>
    </w:p>
    <w:p w14:paraId="072F9D8F" w14:textId="77777777" w:rsidR="00D93A8E" w:rsidRPr="007E56EE" w:rsidRDefault="00D93A8E" w:rsidP="00D93A8E">
      <w:pPr>
        <w:pStyle w:val="Prrafodelista"/>
        <w:rPr>
          <w:rFonts w:ascii="Bookman Old Style" w:hAnsi="Bookman Old Style" w:cs="Arial"/>
          <w:b/>
          <w:bCs/>
          <w:color w:val="000000"/>
          <w:sz w:val="24"/>
          <w:szCs w:val="24"/>
        </w:rPr>
      </w:pPr>
    </w:p>
    <w:p w14:paraId="55F35530" w14:textId="1EEA4DE4" w:rsidR="00D93A8E" w:rsidRPr="007E56EE" w:rsidRDefault="00D93A8E" w:rsidP="00A4790E">
      <w:pPr>
        <w:pStyle w:val="Prrafodelista"/>
        <w:numPr>
          <w:ilvl w:val="0"/>
          <w:numId w:val="94"/>
        </w:numPr>
        <w:autoSpaceDE w:val="0"/>
        <w:autoSpaceDN w:val="0"/>
        <w:adjustRightInd w:val="0"/>
        <w:ind w:left="1701" w:hanging="567"/>
        <w:contextualSpacing/>
        <w:jc w:val="both"/>
        <w:rPr>
          <w:rFonts w:ascii="Bookman Old Style" w:hAnsi="Bookman Old Style" w:cs="Arial"/>
          <w:b/>
          <w:bCs/>
          <w:color w:val="000000" w:themeColor="text1"/>
          <w:sz w:val="24"/>
          <w:szCs w:val="24"/>
        </w:rPr>
      </w:pPr>
      <w:r w:rsidRPr="007E56EE">
        <w:rPr>
          <w:rFonts w:ascii="Bookman Old Style" w:hAnsi="Bookman Old Style" w:cs="Arial"/>
          <w:b/>
          <w:bCs/>
          <w:color w:val="000000"/>
          <w:sz w:val="24"/>
          <w:szCs w:val="24"/>
        </w:rPr>
        <w:t xml:space="preserve">Información </w:t>
      </w:r>
      <w:r w:rsidRPr="007E56EE">
        <w:rPr>
          <w:rFonts w:ascii="Bookman Old Style" w:hAnsi="Bookman Old Style" w:cs="Arial"/>
          <w:b/>
          <w:bCs/>
          <w:color w:val="000000" w:themeColor="text1"/>
          <w:sz w:val="24"/>
          <w:szCs w:val="24"/>
          <w:lang w:eastAsia="es-ES"/>
        </w:rPr>
        <w:t xml:space="preserve">complementaria: </w:t>
      </w:r>
      <w:r w:rsidRPr="007E56EE">
        <w:rPr>
          <w:rFonts w:ascii="Bookman Old Style" w:hAnsi="Bookman Old Style"/>
          <w:color w:val="000000" w:themeColor="text1"/>
          <w:sz w:val="24"/>
          <w:szCs w:val="24"/>
        </w:rPr>
        <w:t xml:space="preserve">cada comprador deberá declarar al </w:t>
      </w:r>
      <w:r w:rsidR="00544469" w:rsidRPr="007E56EE">
        <w:rPr>
          <w:rFonts w:ascii="Bookman Old Style" w:hAnsi="Bookman Old Style"/>
          <w:sz w:val="24"/>
          <w:szCs w:val="24"/>
        </w:rPr>
        <w:t>Gestor</w:t>
      </w:r>
      <w:r w:rsidR="00544469" w:rsidRPr="007E56EE" w:rsidDel="00E53E99">
        <w:rPr>
          <w:color w:val="FF0000"/>
          <w:sz w:val="28"/>
        </w:rPr>
        <w:t xml:space="preserve"> </w:t>
      </w:r>
      <w:r w:rsidRPr="007E56EE">
        <w:rPr>
          <w:rFonts w:ascii="Bookman Old Style" w:hAnsi="Bookman Old Style"/>
          <w:color w:val="000000" w:themeColor="text1"/>
          <w:sz w:val="24"/>
          <w:szCs w:val="24"/>
        </w:rPr>
        <w:t xml:space="preserve">del Mercado el </w:t>
      </w:r>
      <w:r w:rsidRPr="007E56EE">
        <w:rPr>
          <w:rFonts w:ascii="Bookman Old Style" w:hAnsi="Bookman Old Style" w:cs="Arial"/>
          <w:color w:val="000000" w:themeColor="text1"/>
          <w:sz w:val="24"/>
          <w:szCs w:val="24"/>
        </w:rPr>
        <w:t xml:space="preserve">tipo de demanda a atender con el contrato. Esto es, </w:t>
      </w:r>
      <w:r w:rsidRPr="007E56EE">
        <w:rPr>
          <w:rFonts w:ascii="Bookman Old Style" w:hAnsi="Bookman Old Style" w:cs="Arial"/>
          <w:b/>
          <w:bCs/>
          <w:color w:val="000000" w:themeColor="text1"/>
          <w:sz w:val="24"/>
          <w:szCs w:val="24"/>
        </w:rPr>
        <w:t>si corresponde a Demanda Esencial, si corresponde a usuarios</w:t>
      </w:r>
      <w:r w:rsidRPr="007E56EE">
        <w:rPr>
          <w:rFonts w:ascii="Bookman Old Style" w:hAnsi="Bookman Old Style" w:cs="Arial"/>
          <w:color w:val="000000" w:themeColor="text1"/>
          <w:sz w:val="24"/>
          <w:szCs w:val="24"/>
        </w:rPr>
        <w:t xml:space="preserve"> regulados o no regulados, desagregada por </w:t>
      </w:r>
      <w:r w:rsidRPr="007E56EE">
        <w:rPr>
          <w:rFonts w:ascii="Bookman Old Style" w:hAnsi="Bookman Old Style" w:cs="Arial"/>
          <w:b/>
          <w:bCs/>
          <w:color w:val="000000" w:themeColor="text1"/>
          <w:sz w:val="24"/>
          <w:szCs w:val="24"/>
        </w:rPr>
        <w:t xml:space="preserve">la demanda de gas natural para la operación de las estaciones de compresión del SNT, la demanda de gas natural de usuarios residenciales y pequeños usuarios comerciales inmersos en la red de distribución, la demanda de GNCV, y  la demanda de gas natural de las refinerías, excluyendo aquella con destino a autogeneración de energía eléctrica que pueda ser reemplazada con energía del sistema interconectado </w:t>
      </w:r>
      <w:r w:rsidRPr="007E56EE">
        <w:rPr>
          <w:rFonts w:ascii="Bookman Old Style" w:hAnsi="Bookman Old Style" w:cs="Arial"/>
          <w:b/>
          <w:bCs/>
          <w:color w:val="000000" w:themeColor="text1"/>
          <w:sz w:val="24"/>
          <w:szCs w:val="24"/>
        </w:rPr>
        <w:lastRenderedPageBreak/>
        <w:t xml:space="preserve">nacional, </w:t>
      </w:r>
      <w:r w:rsidRPr="007E56EE">
        <w:rPr>
          <w:rFonts w:ascii="Bookman Old Style" w:hAnsi="Bookman Old Style" w:cs="Arial"/>
          <w:color w:val="000000" w:themeColor="text1"/>
          <w:sz w:val="24"/>
          <w:szCs w:val="24"/>
        </w:rPr>
        <w:t xml:space="preserve">comercial, industrial,  generación térmica, exportaciones u otros. </w:t>
      </w:r>
      <w:r w:rsidRPr="007E56EE">
        <w:rPr>
          <w:rFonts w:ascii="Bookman Old Style" w:hAnsi="Bookman Old Style" w:cs="Arial"/>
          <w:b/>
          <w:bCs/>
          <w:color w:val="000000" w:themeColor="text1"/>
          <w:sz w:val="24"/>
          <w:szCs w:val="24"/>
        </w:rPr>
        <w:t>Los compradores que entreguen a usuarios no regulados conectados a un sistema de transporte</w:t>
      </w:r>
      <w:r w:rsidRPr="007E56EE">
        <w:rPr>
          <w:rFonts w:ascii="Bookman Old Style" w:hAnsi="Bookman Old Style" w:cs="Arial"/>
          <w:color w:val="000000" w:themeColor="text1"/>
          <w:sz w:val="24"/>
          <w:szCs w:val="24"/>
        </w:rPr>
        <w:t xml:space="preserve"> </w:t>
      </w:r>
      <w:r w:rsidRPr="007E56EE">
        <w:rPr>
          <w:rFonts w:ascii="Bookman Old Style" w:hAnsi="Bookman Old Style" w:cs="Arial"/>
          <w:b/>
          <w:bCs/>
          <w:color w:val="000000" w:themeColor="text1"/>
          <w:sz w:val="24"/>
          <w:szCs w:val="24"/>
        </w:rPr>
        <w:t>deberán declarar el nombre del usuario, la ubicación y/o punto de salida del usuario en el SNT y la cantidad contratada con cada usuario no regulado. Cuando el comprador entregue a usuarios no regulados conectados al sistema de distribución deberá declarar el nombre del usuario no regulado, la ubicación dentro del mercado de comercialización que atiende, así como la cantidad de gas contratada a entregar en el mercado relevante de comercialización en el que se consumirá esa cantidad, discriminando entre Esenciales y No esenciales, Regulados y no regulados.</w:t>
      </w:r>
    </w:p>
    <w:p w14:paraId="7317EF1F" w14:textId="77777777" w:rsidR="00D93A8E" w:rsidRPr="007E56EE" w:rsidRDefault="00D93A8E" w:rsidP="00D93A8E">
      <w:pPr>
        <w:autoSpaceDE w:val="0"/>
        <w:autoSpaceDN w:val="0"/>
        <w:adjustRightInd w:val="0"/>
        <w:ind w:left="1134"/>
        <w:jc w:val="both"/>
        <w:rPr>
          <w:rFonts w:ascii="Bookman Old Style" w:hAnsi="Bookman Old Style"/>
          <w:color w:val="000000" w:themeColor="text1"/>
          <w:lang w:val="es-CO"/>
        </w:rPr>
      </w:pPr>
    </w:p>
    <w:p w14:paraId="73C4F6CA" w14:textId="32595586" w:rsidR="00EB4C2E" w:rsidRPr="007E56EE" w:rsidRDefault="00EB4C2E" w:rsidP="00EB4C2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lang w:eastAsia="es-ES"/>
        </w:rPr>
        <w:t>Información de los contratos de cesión de un contrato de suministro: en el caso de acordarse un contrato de cesión de un contrato de suministro del mercado primario, las partes del contrato de cesión deberán registrar la información de dicho contrato</w:t>
      </w:r>
      <w:r w:rsidR="0039534C" w:rsidRPr="007E56EE">
        <w:rPr>
          <w:rFonts w:ascii="Bookman Old Style" w:hAnsi="Bookman Old Style" w:cs="Arial"/>
          <w:b/>
          <w:bCs/>
          <w:color w:val="000000" w:themeColor="text1"/>
          <w:sz w:val="24"/>
          <w:szCs w:val="24"/>
          <w:lang w:eastAsia="es-ES"/>
        </w:rPr>
        <w:t xml:space="preserve"> de cesión</w:t>
      </w:r>
      <w:r w:rsidRPr="007E56EE">
        <w:rPr>
          <w:rFonts w:ascii="Bookman Old Style" w:hAnsi="Bookman Old Style" w:cs="Arial"/>
          <w:b/>
          <w:bCs/>
          <w:color w:val="000000" w:themeColor="text1"/>
          <w:sz w:val="24"/>
          <w:szCs w:val="24"/>
          <w:lang w:eastAsia="es-ES"/>
        </w:rPr>
        <w:t>, que no haya sido parte de la información registrada previamente.</w:t>
      </w:r>
      <w:r w:rsidRPr="007E56EE">
        <w:rPr>
          <w:rFonts w:ascii="Bookman Old Style" w:hAnsi="Bookman Old Style" w:cs="Arial"/>
          <w:b/>
          <w:bCs/>
          <w:color w:val="000000" w:themeColor="text1"/>
        </w:rPr>
        <w:t xml:space="preserve">  </w:t>
      </w:r>
    </w:p>
    <w:p w14:paraId="2832D6CA" w14:textId="77777777" w:rsidR="00D72767" w:rsidRPr="007E56EE" w:rsidRDefault="00D72767" w:rsidP="00D72767">
      <w:pPr>
        <w:pStyle w:val="Prrafodelista"/>
        <w:ind w:left="1701"/>
        <w:contextualSpacing/>
        <w:jc w:val="both"/>
        <w:rPr>
          <w:rFonts w:ascii="Bookman Old Style" w:hAnsi="Bookman Old Style" w:cs="Arial"/>
          <w:b/>
          <w:bCs/>
          <w:color w:val="000000" w:themeColor="text1"/>
          <w:sz w:val="22"/>
          <w:szCs w:val="22"/>
          <w:lang w:eastAsia="es-ES"/>
        </w:rPr>
      </w:pPr>
    </w:p>
    <w:p w14:paraId="107A6F51" w14:textId="7480EEF4" w:rsidR="00D72767" w:rsidRPr="007E56EE" w:rsidRDefault="00D72767" w:rsidP="00EB4C2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rPr>
        <w:t>Información de l</w:t>
      </w:r>
      <w:r w:rsidR="007E56EE" w:rsidRPr="007E56EE">
        <w:rPr>
          <w:rFonts w:ascii="Bookman Old Style" w:hAnsi="Bookman Old Style" w:cs="Arial"/>
          <w:b/>
          <w:bCs/>
          <w:color w:val="000000" w:themeColor="text1"/>
          <w:sz w:val="24"/>
          <w:szCs w:val="24"/>
        </w:rPr>
        <w:t>a</w:t>
      </w:r>
      <w:r w:rsidRPr="007E56EE">
        <w:rPr>
          <w:rFonts w:ascii="Bookman Old Style" w:hAnsi="Bookman Old Style" w:cs="Arial"/>
          <w:b/>
          <w:bCs/>
          <w:color w:val="000000" w:themeColor="text1"/>
          <w:sz w:val="24"/>
          <w:szCs w:val="24"/>
        </w:rPr>
        <w:t xml:space="preserve">s </w:t>
      </w:r>
      <w:r w:rsidR="000F1E12" w:rsidRPr="007E56EE">
        <w:rPr>
          <w:rFonts w:ascii="Bookman Old Style" w:hAnsi="Bookman Old Style" w:cs="Arial"/>
          <w:b/>
          <w:bCs/>
          <w:color w:val="000000" w:themeColor="text1"/>
          <w:sz w:val="24"/>
          <w:szCs w:val="24"/>
        </w:rPr>
        <w:t xml:space="preserve">fórmulas </w:t>
      </w:r>
      <w:r w:rsidRPr="007E56EE">
        <w:rPr>
          <w:rFonts w:ascii="Bookman Old Style" w:hAnsi="Bookman Old Style" w:cs="Arial"/>
          <w:b/>
          <w:bCs/>
          <w:color w:val="000000" w:themeColor="text1"/>
          <w:sz w:val="24"/>
          <w:szCs w:val="24"/>
        </w:rPr>
        <w:t xml:space="preserve">a utilizar para actualizar </w:t>
      </w:r>
      <w:r w:rsidR="000F1E12" w:rsidRPr="007E56EE">
        <w:rPr>
          <w:rFonts w:ascii="Bookman Old Style" w:hAnsi="Bookman Old Style" w:cs="Arial"/>
          <w:b/>
          <w:bCs/>
          <w:color w:val="000000" w:themeColor="text1"/>
          <w:sz w:val="24"/>
          <w:szCs w:val="24"/>
        </w:rPr>
        <w:t xml:space="preserve">los </w:t>
      </w:r>
      <w:r w:rsidRPr="007E56EE">
        <w:rPr>
          <w:rFonts w:ascii="Bookman Old Style" w:hAnsi="Bookman Old Style" w:cs="Arial"/>
          <w:b/>
          <w:bCs/>
          <w:color w:val="000000" w:themeColor="text1"/>
          <w:sz w:val="24"/>
          <w:szCs w:val="24"/>
        </w:rPr>
        <w:t>precios resultan</w:t>
      </w:r>
      <w:r w:rsidR="004B509F" w:rsidRPr="007E56EE">
        <w:rPr>
          <w:rFonts w:ascii="Bookman Old Style" w:hAnsi="Bookman Old Style" w:cs="Arial"/>
          <w:b/>
          <w:bCs/>
          <w:color w:val="000000" w:themeColor="text1"/>
          <w:sz w:val="24"/>
          <w:szCs w:val="24"/>
        </w:rPr>
        <w:t>t</w:t>
      </w:r>
      <w:r w:rsidRPr="007E56EE">
        <w:rPr>
          <w:rFonts w:ascii="Bookman Old Style" w:hAnsi="Bookman Old Style" w:cs="Arial"/>
          <w:b/>
          <w:bCs/>
          <w:color w:val="000000" w:themeColor="text1"/>
          <w:sz w:val="24"/>
          <w:szCs w:val="24"/>
        </w:rPr>
        <w:t>es de negociaciones directas</w:t>
      </w:r>
      <w:r w:rsidR="000F1E12" w:rsidRPr="007E56EE">
        <w:rPr>
          <w:rFonts w:ascii="Bookman Old Style" w:hAnsi="Bookman Old Style" w:cs="Arial"/>
          <w:b/>
          <w:bCs/>
          <w:color w:val="000000" w:themeColor="text1"/>
          <w:sz w:val="24"/>
          <w:szCs w:val="24"/>
        </w:rPr>
        <w:t>.</w:t>
      </w:r>
    </w:p>
    <w:p w14:paraId="001E2679" w14:textId="77777777" w:rsidR="000F1E12" w:rsidRPr="007E56EE" w:rsidRDefault="000F1E12" w:rsidP="002D5416">
      <w:pPr>
        <w:pStyle w:val="Prrafodelista"/>
        <w:ind w:left="1701"/>
        <w:contextualSpacing/>
        <w:jc w:val="both"/>
        <w:rPr>
          <w:rFonts w:ascii="Bookman Old Style" w:hAnsi="Bookman Old Style" w:cs="Arial"/>
          <w:b/>
          <w:bCs/>
          <w:color w:val="000000" w:themeColor="text1"/>
          <w:sz w:val="24"/>
          <w:szCs w:val="24"/>
          <w:lang w:eastAsia="es-ES"/>
        </w:rPr>
      </w:pPr>
    </w:p>
    <w:p w14:paraId="2AA587EB" w14:textId="22C44464" w:rsidR="000F1E12" w:rsidRPr="007E56EE" w:rsidRDefault="000F1E12" w:rsidP="00EB4C2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b/>
          <w:bCs/>
          <w:color w:val="000000" w:themeColor="text1"/>
          <w:sz w:val="24"/>
          <w:szCs w:val="24"/>
        </w:rPr>
        <w:t>Cada vez que se produzca una actualización de precios del contrato de suministro, se deberá informar el nuevo precio actualizado a aplicar en dicho contrato.</w:t>
      </w:r>
    </w:p>
    <w:p w14:paraId="76CE278A" w14:textId="77777777" w:rsidR="00EB4C2E" w:rsidRPr="007E56EE" w:rsidRDefault="00EB4C2E" w:rsidP="00EB4C2E">
      <w:pPr>
        <w:pStyle w:val="Prrafodelista"/>
        <w:ind w:left="1701"/>
        <w:contextualSpacing/>
        <w:jc w:val="both"/>
        <w:rPr>
          <w:rFonts w:ascii="Bookman Old Style" w:hAnsi="Bookman Old Style" w:cs="Arial"/>
          <w:b/>
          <w:bCs/>
          <w:color w:val="000000" w:themeColor="text1"/>
          <w:sz w:val="24"/>
          <w:szCs w:val="24"/>
          <w:lang w:eastAsia="es-ES"/>
        </w:rPr>
      </w:pPr>
    </w:p>
    <w:p w14:paraId="4A261A4E" w14:textId="06544C70" w:rsidR="0006302B" w:rsidRPr="007E56EE" w:rsidRDefault="0006302B" w:rsidP="00A4790E">
      <w:pPr>
        <w:pStyle w:val="Prrafodelista"/>
        <w:numPr>
          <w:ilvl w:val="0"/>
          <w:numId w:val="38"/>
        </w:numPr>
        <w:ind w:left="1701" w:hanging="567"/>
        <w:contextualSpacing/>
        <w:jc w:val="both"/>
        <w:rPr>
          <w:rFonts w:ascii="Bookman Old Style" w:hAnsi="Bookman Old Style" w:cs="Arial"/>
          <w:b/>
          <w:bCs/>
          <w:color w:val="000000" w:themeColor="text1"/>
          <w:sz w:val="24"/>
          <w:szCs w:val="24"/>
          <w:lang w:eastAsia="es-ES"/>
        </w:rPr>
      </w:pPr>
      <w:r w:rsidRPr="007E56EE">
        <w:rPr>
          <w:rFonts w:ascii="Bookman Old Style" w:hAnsi="Bookman Old Style" w:cs="Arial"/>
          <w:color w:val="000000" w:themeColor="text1"/>
          <w:sz w:val="24"/>
          <w:szCs w:val="24"/>
          <w:lang w:eastAsia="es-ES"/>
        </w:rPr>
        <w:t>La demás información que determine la CREG</w:t>
      </w:r>
      <w:r w:rsidRPr="007E56EE">
        <w:rPr>
          <w:rFonts w:ascii="Bookman Old Style" w:hAnsi="Bookman Old Style" w:cs="Arial"/>
          <w:b/>
          <w:bCs/>
          <w:color w:val="000000" w:themeColor="text1"/>
          <w:sz w:val="24"/>
          <w:szCs w:val="24"/>
          <w:lang w:eastAsia="es-ES"/>
        </w:rPr>
        <w:t>.</w:t>
      </w:r>
    </w:p>
    <w:p w14:paraId="32CC0611"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599CAB3E" w14:textId="465DDAF7" w:rsidR="0006302B" w:rsidRPr="002676A1"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La declaración de la información para el registro de los contratos se realizará a través del medio y del formato que defina el </w:t>
      </w:r>
      <w:r w:rsidR="00544469" w:rsidRPr="007E56EE">
        <w:rPr>
          <w:rFonts w:ascii="Bookman Old Style" w:hAnsi="Bookman Old Style"/>
          <w:lang w:val="es-CO"/>
        </w:rPr>
        <w:t>Gestor</w:t>
      </w:r>
      <w:r w:rsidR="00544469" w:rsidRPr="007E56EE" w:rsidDel="00E53E99">
        <w:rPr>
          <w:color w:val="FF0000"/>
          <w:sz w:val="28"/>
          <w:lang w:val="es-CO"/>
        </w:rPr>
        <w:t xml:space="preserve"> </w:t>
      </w:r>
      <w:r w:rsidRPr="007E56EE">
        <w:rPr>
          <w:rFonts w:ascii="Bookman Old Style" w:hAnsi="Bookman Old Style"/>
          <w:color w:val="000000" w:themeColor="text1"/>
          <w:lang w:val="es-CO"/>
        </w:rPr>
        <w:t>del Mercado</w:t>
      </w:r>
      <w:r w:rsidR="00544469" w:rsidRPr="007E56EE">
        <w:rPr>
          <w:rFonts w:ascii="Bookman Old Style" w:hAnsi="Bookman Old Style"/>
          <w:color w:val="000000" w:themeColor="text1"/>
          <w:lang w:val="es-CO"/>
        </w:rPr>
        <w:t>.</w:t>
      </w:r>
      <w:r w:rsidR="002676A1">
        <w:rPr>
          <w:rFonts w:ascii="Bookman Old Style" w:hAnsi="Bookman Old Style"/>
          <w:color w:val="000000" w:themeColor="text1"/>
          <w:lang w:val="es-CO"/>
        </w:rPr>
        <w:t xml:space="preserve"> </w:t>
      </w:r>
      <w:r w:rsidR="002676A1" w:rsidRPr="00295053">
        <w:rPr>
          <w:rFonts w:ascii="Bookman Old Style" w:hAnsi="Bookman Old Style"/>
          <w:b/>
          <w:bCs/>
          <w:color w:val="000000" w:themeColor="text1"/>
          <w:lang w:val="es-CO"/>
        </w:rPr>
        <w:t xml:space="preserve">Para lo anterior se deberá tener en cuenta que solo se puede registrar un contrato </w:t>
      </w:r>
      <w:r w:rsidR="002676A1">
        <w:rPr>
          <w:rFonts w:ascii="Bookman Old Style" w:hAnsi="Bookman Old Style"/>
          <w:b/>
          <w:bCs/>
          <w:color w:val="000000" w:themeColor="text1"/>
          <w:lang w:val="es-CO"/>
        </w:rPr>
        <w:t xml:space="preserve">con un solo registro, </w:t>
      </w:r>
      <w:r w:rsidR="002676A1" w:rsidRPr="00295053">
        <w:rPr>
          <w:rFonts w:ascii="Bookman Old Style" w:hAnsi="Bookman Old Style"/>
          <w:b/>
          <w:bCs/>
          <w:color w:val="000000" w:themeColor="text1"/>
          <w:lang w:val="es-CO"/>
        </w:rPr>
        <w:t xml:space="preserve">con la </w:t>
      </w:r>
      <w:r w:rsidR="002676A1">
        <w:rPr>
          <w:rFonts w:ascii="Bookman Old Style" w:hAnsi="Bookman Old Style"/>
          <w:b/>
          <w:bCs/>
          <w:color w:val="000000" w:themeColor="text1"/>
          <w:lang w:val="es-CO"/>
        </w:rPr>
        <w:t xml:space="preserve">información de la </w:t>
      </w:r>
      <w:r w:rsidR="002676A1" w:rsidRPr="00295053">
        <w:rPr>
          <w:rFonts w:ascii="Bookman Old Style" w:hAnsi="Bookman Old Style"/>
          <w:b/>
          <w:bCs/>
          <w:color w:val="000000" w:themeColor="text1"/>
          <w:lang w:val="es-CO"/>
        </w:rPr>
        <w:t>fecha de inicio y la fecha de terminación tal cu</w:t>
      </w:r>
      <w:r w:rsidR="002676A1">
        <w:rPr>
          <w:rFonts w:ascii="Bookman Old Style" w:hAnsi="Bookman Old Style"/>
          <w:b/>
          <w:bCs/>
          <w:color w:val="000000" w:themeColor="text1"/>
          <w:lang w:val="es-CO"/>
        </w:rPr>
        <w:t>a</w:t>
      </w:r>
      <w:r w:rsidR="002676A1" w:rsidRPr="00295053">
        <w:rPr>
          <w:rFonts w:ascii="Bookman Old Style" w:hAnsi="Bookman Old Style"/>
          <w:b/>
          <w:bCs/>
          <w:color w:val="000000" w:themeColor="text1"/>
          <w:lang w:val="es-CO"/>
        </w:rPr>
        <w:t xml:space="preserve">l fueron pactadas en el contrato, por lo que no podrá haber diferentes registros </w:t>
      </w:r>
      <w:r w:rsidR="002676A1">
        <w:rPr>
          <w:rFonts w:ascii="Bookman Old Style" w:hAnsi="Bookman Old Style"/>
          <w:b/>
          <w:bCs/>
          <w:color w:val="000000" w:themeColor="text1"/>
          <w:lang w:val="es-CO"/>
        </w:rPr>
        <w:t>para</w:t>
      </w:r>
      <w:r w:rsidR="002676A1" w:rsidRPr="00295053">
        <w:rPr>
          <w:rFonts w:ascii="Bookman Old Style" w:hAnsi="Bookman Old Style"/>
          <w:b/>
          <w:bCs/>
          <w:color w:val="000000" w:themeColor="text1"/>
          <w:lang w:val="es-CO"/>
        </w:rPr>
        <w:t xml:space="preserve"> un mismo contrato, separados por fechas de inicio y de terminación sucesivas</w:t>
      </w:r>
      <w:r w:rsidR="002676A1">
        <w:rPr>
          <w:rFonts w:ascii="Bookman Old Style" w:hAnsi="Bookman Old Style"/>
          <w:b/>
          <w:bCs/>
          <w:color w:val="000000" w:themeColor="text1"/>
          <w:lang w:val="es-CO"/>
        </w:rPr>
        <w:t>.</w:t>
      </w:r>
      <w:r w:rsidR="002676A1">
        <w:rPr>
          <w:rFonts w:ascii="Bookman Old Style" w:hAnsi="Bookman Old Style"/>
          <w:color w:val="000000" w:themeColor="text1"/>
          <w:lang w:val="es-CO"/>
        </w:rPr>
        <w:t xml:space="preserve"> </w:t>
      </w:r>
      <w:r w:rsidR="002676A1" w:rsidRPr="002676A1">
        <w:rPr>
          <w:rFonts w:ascii="Bookman Old Style" w:hAnsi="Bookman Old Style"/>
          <w:color w:val="000000" w:themeColor="text1"/>
          <w:lang w:val="es-CO"/>
        </w:rPr>
        <w:t xml:space="preserve"> </w:t>
      </w:r>
    </w:p>
    <w:p w14:paraId="6A625724"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59B5F650" w14:textId="6C8A960C"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Los </w:t>
      </w:r>
      <w:r w:rsidRPr="007E56EE">
        <w:rPr>
          <w:rFonts w:ascii="Bookman Old Style" w:hAnsi="Bookman Old Style"/>
          <w:b/>
          <w:bCs/>
          <w:color w:val="000000" w:themeColor="text1"/>
          <w:lang w:val="es-CO"/>
        </w:rPr>
        <w:t>Participantes del Mercado</w:t>
      </w:r>
      <w:r w:rsidRPr="007E56EE">
        <w:rPr>
          <w:rFonts w:ascii="Bookman Old Style" w:hAnsi="Bookman Old Style"/>
          <w:color w:val="000000" w:themeColor="text1"/>
          <w:lang w:val="es-CO"/>
        </w:rPr>
        <w:t xml:space="preserve"> a los que se hace referencia en los </w:t>
      </w:r>
      <w:r w:rsidR="00167459">
        <w:rPr>
          <w:rFonts w:ascii="Bookman Old Style" w:hAnsi="Bookman Old Style"/>
          <w:color w:val="000000" w:themeColor="text1"/>
          <w:lang w:val="es-CO"/>
        </w:rPr>
        <w:t>a</w:t>
      </w:r>
      <w:r w:rsidRPr="007E56EE">
        <w:rPr>
          <w:rFonts w:ascii="Bookman Old Style" w:hAnsi="Bookman Old Style"/>
          <w:color w:val="000000" w:themeColor="text1"/>
          <w:lang w:val="es-CO"/>
        </w:rPr>
        <w:t xml:space="preserve">rtículos 16 y 17 de esta Resolución deberán actualizar el registro ante el </w:t>
      </w:r>
      <w:r w:rsidR="00401E76" w:rsidRPr="007E56EE">
        <w:rPr>
          <w:rFonts w:ascii="Bookman Old Style" w:hAnsi="Bookman Old Style"/>
          <w:lang w:val="es-CO"/>
        </w:rPr>
        <w:t>Gestor</w:t>
      </w:r>
      <w:r w:rsidR="00401E76" w:rsidRPr="007E56EE" w:rsidDel="00E53E99">
        <w:rPr>
          <w:color w:val="FF0000"/>
          <w:sz w:val="28"/>
          <w:lang w:val="es-CO"/>
        </w:rPr>
        <w:t xml:space="preserve"> </w:t>
      </w:r>
      <w:r w:rsidRPr="007E56EE">
        <w:rPr>
          <w:rFonts w:ascii="Bookman Old Style" w:hAnsi="Bookman Old Style"/>
          <w:color w:val="000000" w:themeColor="text1"/>
          <w:lang w:val="es-CO"/>
        </w:rPr>
        <w:t xml:space="preserve">del Mercado, en los eventos en que exista cesión, terminación anticipada o modificación del contrato de suministro de gas natural. Para estos efectos, los vendedores y los compradores del </w:t>
      </w:r>
      <w:r w:rsidRPr="007E56EE">
        <w:rPr>
          <w:rFonts w:ascii="Bookman Old Style" w:hAnsi="Bookman Old Style"/>
          <w:b/>
          <w:bCs/>
          <w:color w:val="000000" w:themeColor="text1"/>
          <w:lang w:val="es-CO"/>
        </w:rPr>
        <w:t>Mercado Primario</w:t>
      </w:r>
      <w:r w:rsidRPr="007E56EE">
        <w:rPr>
          <w:rFonts w:ascii="Bookman Old Style" w:hAnsi="Bookman Old Style"/>
          <w:color w:val="000000" w:themeColor="text1"/>
          <w:lang w:val="es-CO"/>
        </w:rPr>
        <w:t xml:space="preserve"> deberán declarar al </w:t>
      </w:r>
      <w:r w:rsidR="00401E76" w:rsidRPr="007E56EE">
        <w:rPr>
          <w:rFonts w:ascii="Bookman Old Style" w:hAnsi="Bookman Old Style"/>
          <w:lang w:val="es-CO"/>
        </w:rPr>
        <w:t>Gestor</w:t>
      </w:r>
      <w:r w:rsidR="00401E76" w:rsidRPr="007E56EE" w:rsidDel="00E53E99">
        <w:rPr>
          <w:color w:val="FF0000"/>
          <w:sz w:val="28"/>
          <w:lang w:val="es-CO"/>
        </w:rPr>
        <w:t xml:space="preserve"> </w:t>
      </w:r>
      <w:r w:rsidRPr="007E56EE">
        <w:rPr>
          <w:rFonts w:ascii="Bookman Old Style" w:hAnsi="Bookman Old Style"/>
          <w:color w:val="000000" w:themeColor="text1"/>
          <w:lang w:val="es-CO"/>
        </w:rPr>
        <w:t>del Mercado la información previamente señalada, debidamente actualizada.</w:t>
      </w:r>
    </w:p>
    <w:p w14:paraId="34B74D08"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7712E9F2" w14:textId="1BAB4458" w:rsidR="0006302B" w:rsidRPr="007D43F8"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El </w:t>
      </w:r>
      <w:r w:rsidR="00401E76" w:rsidRPr="007E56EE">
        <w:rPr>
          <w:rFonts w:ascii="Bookman Old Style" w:hAnsi="Bookman Old Style"/>
          <w:lang w:val="es-CO"/>
        </w:rPr>
        <w:t>Gestor</w:t>
      </w:r>
      <w:r w:rsidR="00401E76" w:rsidRPr="007E56EE" w:rsidDel="00E53E99">
        <w:rPr>
          <w:color w:val="FF0000"/>
          <w:sz w:val="28"/>
          <w:lang w:val="es-CO"/>
        </w:rPr>
        <w:t xml:space="preserve"> </w:t>
      </w:r>
      <w:r w:rsidRPr="007E56EE">
        <w:rPr>
          <w:rFonts w:ascii="Bookman Old Style" w:hAnsi="Bookman Old Style"/>
          <w:color w:val="000000" w:themeColor="text1"/>
          <w:lang w:val="es-CO"/>
        </w:rPr>
        <w:t xml:space="preserve">del Mercado </w:t>
      </w:r>
      <w:r w:rsidRPr="007E56EE">
        <w:rPr>
          <w:rFonts w:ascii="Bookman Old Style" w:hAnsi="Bookman Old Style"/>
          <w:b/>
          <w:bCs/>
          <w:color w:val="000000" w:themeColor="text1"/>
          <w:lang w:val="es-CO"/>
        </w:rPr>
        <w:t xml:space="preserve">deberá contar con </w:t>
      </w:r>
      <w:r w:rsidRPr="007E56EE">
        <w:rPr>
          <w:rFonts w:ascii="Bookman Old Style" w:hAnsi="Bookman Old Style"/>
          <w:color w:val="000000" w:themeColor="text1"/>
          <w:lang w:val="es-CO"/>
        </w:rPr>
        <w:t xml:space="preserve">copia de los contratos </w:t>
      </w:r>
      <w:r w:rsidRPr="007E56EE">
        <w:rPr>
          <w:rFonts w:ascii="Bookman Old Style" w:hAnsi="Bookman Old Style"/>
          <w:b/>
          <w:bCs/>
          <w:color w:val="000000" w:themeColor="text1"/>
          <w:lang w:val="es-CO"/>
        </w:rPr>
        <w:t xml:space="preserve">de suministro </w:t>
      </w:r>
      <w:r w:rsidR="00EB4C2E" w:rsidRPr="007E56EE">
        <w:rPr>
          <w:rFonts w:ascii="Bookman Old Style" w:hAnsi="Bookman Old Style"/>
          <w:b/>
          <w:bCs/>
          <w:color w:val="000000" w:themeColor="text1"/>
          <w:lang w:val="es-CO"/>
        </w:rPr>
        <w:t xml:space="preserve">y de los contratos de cesión </w:t>
      </w:r>
      <w:r w:rsidRPr="007E56EE">
        <w:rPr>
          <w:rFonts w:ascii="Bookman Old Style" w:hAnsi="Bookman Old Style"/>
          <w:color w:val="000000" w:themeColor="text1"/>
          <w:lang w:val="es-CO"/>
        </w:rPr>
        <w:t>referidos</w:t>
      </w:r>
      <w:r w:rsidR="00401E76" w:rsidRPr="007E56EE">
        <w:rPr>
          <w:rFonts w:ascii="Bookman Old Style" w:hAnsi="Bookman Old Style"/>
          <w:color w:val="000000" w:themeColor="text1"/>
          <w:lang w:val="es-CO"/>
        </w:rPr>
        <w:t>. P</w:t>
      </w:r>
      <w:r w:rsidRPr="007E56EE">
        <w:rPr>
          <w:rFonts w:ascii="Bookman Old Style" w:hAnsi="Bookman Old Style"/>
          <w:color w:val="000000" w:themeColor="text1"/>
          <w:lang w:val="es-CO"/>
        </w:rPr>
        <w:t>ara este efecto, los vendedores a los que se hace referencia en los</w:t>
      </w:r>
      <w:r w:rsidRPr="00C13987">
        <w:rPr>
          <w:rFonts w:ascii="Bookman Old Style" w:hAnsi="Bookman Old Style"/>
          <w:color w:val="000000" w:themeColor="text1"/>
          <w:lang w:val="es-CO"/>
        </w:rPr>
        <w:t xml:space="preserve"> </w:t>
      </w:r>
      <w:r w:rsidR="00167459">
        <w:rPr>
          <w:rFonts w:ascii="Bookman Old Style" w:hAnsi="Bookman Old Style"/>
          <w:color w:val="000000" w:themeColor="text1"/>
          <w:lang w:val="es-CO"/>
        </w:rPr>
        <w:t>a</w:t>
      </w:r>
      <w:r w:rsidRPr="00D66B65">
        <w:rPr>
          <w:rFonts w:ascii="Bookman Old Style" w:hAnsi="Bookman Old Style"/>
          <w:color w:val="000000" w:themeColor="text1"/>
          <w:lang w:val="es-CO"/>
        </w:rPr>
        <w:t xml:space="preserve">rtículos 16 </w:t>
      </w:r>
      <w:r w:rsidRPr="00C13987">
        <w:rPr>
          <w:rFonts w:ascii="Bookman Old Style" w:hAnsi="Bookman Old Style"/>
          <w:color w:val="000000" w:themeColor="text1"/>
          <w:lang w:val="es-CO"/>
        </w:rPr>
        <w:t>de</w:t>
      </w:r>
      <w:r w:rsidRPr="007D43F8">
        <w:rPr>
          <w:rFonts w:ascii="Bookman Old Style" w:hAnsi="Bookman Old Style"/>
          <w:color w:val="000000" w:themeColor="text1"/>
          <w:lang w:val="es-CO"/>
        </w:rPr>
        <w:t xml:space="preserve"> esta Resolución estarán en la obligación de entregar tales copias al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7D43F8">
        <w:rPr>
          <w:rFonts w:ascii="Bookman Old Style" w:hAnsi="Bookman Old Style"/>
          <w:color w:val="000000" w:themeColor="text1"/>
          <w:lang w:val="es-CO"/>
        </w:rPr>
        <w:t>.</w:t>
      </w:r>
    </w:p>
    <w:p w14:paraId="2BA5D20A"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13779D7B" w14:textId="538698F0"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La no declaración de la información aquí señalada </w:t>
      </w:r>
      <w:r w:rsidRPr="007E56EE">
        <w:rPr>
          <w:rFonts w:ascii="Bookman Old Style" w:hAnsi="Bookman Old Style"/>
          <w:b/>
          <w:bCs/>
          <w:color w:val="000000" w:themeColor="text1"/>
          <w:lang w:val="es-CO"/>
        </w:rPr>
        <w:t xml:space="preserve">y entregada de manera incompleta en los formatos establecidos por el </w:t>
      </w:r>
      <w:r w:rsidR="0022131A" w:rsidRPr="007E56EE">
        <w:rPr>
          <w:rFonts w:ascii="Bookman Old Style" w:hAnsi="Bookman Old Style"/>
          <w:b/>
          <w:lang w:val="es-CO"/>
        </w:rPr>
        <w:t>Gestor</w:t>
      </w:r>
      <w:r w:rsidRPr="007E56EE">
        <w:rPr>
          <w:rFonts w:ascii="Bookman Old Style" w:hAnsi="Bookman Old Style"/>
          <w:b/>
          <w:bCs/>
          <w:color w:val="000000" w:themeColor="text1"/>
          <w:lang w:val="es-CO"/>
        </w:rPr>
        <w:t xml:space="preserve"> del Mercado</w:t>
      </w:r>
      <w:r w:rsidRPr="007E56EE">
        <w:rPr>
          <w:rFonts w:ascii="Bookman Old Style" w:hAnsi="Bookman Old Style"/>
          <w:color w:val="000000" w:themeColor="text1"/>
          <w:lang w:val="es-CO"/>
        </w:rPr>
        <w:t xml:space="preserve"> </w:t>
      </w:r>
      <w:r w:rsidR="007C1257" w:rsidRPr="007E56EE">
        <w:rPr>
          <w:rFonts w:ascii="Bookman Old Style" w:hAnsi="Bookman Old Style"/>
          <w:b/>
          <w:bCs/>
          <w:color w:val="000000" w:themeColor="text1"/>
          <w:lang w:val="es-CO"/>
        </w:rPr>
        <w:t>no permitirá el registro del contrato</w:t>
      </w:r>
      <w:r w:rsidR="007C1257" w:rsidRPr="007E56EE">
        <w:rPr>
          <w:rFonts w:ascii="Bookman Old Style" w:hAnsi="Bookman Old Style"/>
          <w:color w:val="000000" w:themeColor="text1"/>
          <w:lang w:val="es-CO"/>
        </w:rPr>
        <w:t xml:space="preserve"> y </w:t>
      </w:r>
      <w:r w:rsidRPr="007E56EE">
        <w:rPr>
          <w:rFonts w:ascii="Bookman Old Style" w:hAnsi="Bookman Old Style"/>
          <w:color w:val="000000" w:themeColor="text1"/>
          <w:lang w:val="es-CO"/>
        </w:rPr>
        <w:t xml:space="preserve">podrá ser considerada por la autoridad competente como una práctica contraria a la libre competencia. Igual consideración se podrá dar a la declaración reiterada de información inconsistente. </w:t>
      </w:r>
      <w:r w:rsidRPr="007E56EE">
        <w:rPr>
          <w:rFonts w:ascii="Bookman Old Style" w:hAnsi="Bookman Old Style" w:cs="Arial"/>
          <w:color w:val="000000" w:themeColor="text1"/>
          <w:lang w:val="es-CO"/>
        </w:rPr>
        <w:t>Lo anterior sin perjuicio de la responsabilidad derivada de la posible</w:t>
      </w:r>
      <w:r w:rsidRPr="0013707D">
        <w:rPr>
          <w:rFonts w:ascii="Bookman Old Style" w:hAnsi="Bookman Old Style" w:cs="Arial"/>
          <w:color w:val="000000" w:themeColor="text1"/>
          <w:lang w:val="es-CO"/>
        </w:rPr>
        <w:t xml:space="preserve"> falla en la prestación del servicio que se cause por la no declaración de esta información.</w:t>
      </w:r>
    </w:p>
    <w:p w14:paraId="6EE134F9" w14:textId="77777777" w:rsidR="0006302B" w:rsidRPr="0013707D" w:rsidRDefault="0006302B" w:rsidP="0006302B">
      <w:pPr>
        <w:ind w:left="0"/>
        <w:rPr>
          <w:color w:val="000000" w:themeColor="text1"/>
          <w:sz w:val="28"/>
          <w:lang w:val="es-CO"/>
        </w:rPr>
      </w:pPr>
    </w:p>
    <w:p w14:paraId="50BA24A0" w14:textId="77777777" w:rsidR="0006302B" w:rsidRDefault="0006302B" w:rsidP="00A4790E">
      <w:pPr>
        <w:pStyle w:val="ARTICULOS"/>
        <w:numPr>
          <w:ilvl w:val="1"/>
          <w:numId w:val="22"/>
        </w:numPr>
        <w:ind w:left="567" w:hanging="567"/>
        <w:rPr>
          <w:color w:val="000000" w:themeColor="text1"/>
          <w:lang w:val="es-CO"/>
        </w:rPr>
      </w:pPr>
      <w:bookmarkStart w:id="106" w:name="_Ref335641142"/>
      <w:r w:rsidRPr="0013707D">
        <w:rPr>
          <w:color w:val="000000" w:themeColor="text1"/>
          <w:lang w:val="es-CO"/>
        </w:rPr>
        <w:t>Verificación de información, registro de contratos y publicación de información transaccional del mercado primario</w:t>
      </w:r>
      <w:bookmarkEnd w:id="106"/>
    </w:p>
    <w:p w14:paraId="101BE4D2" w14:textId="77777777" w:rsidR="0006302B" w:rsidRPr="0013707D" w:rsidRDefault="0006302B" w:rsidP="0006302B">
      <w:pPr>
        <w:pStyle w:val="ARTICULOS"/>
        <w:numPr>
          <w:ilvl w:val="0"/>
          <w:numId w:val="0"/>
        </w:numPr>
        <w:ind w:left="567"/>
        <w:rPr>
          <w:color w:val="000000" w:themeColor="text1"/>
          <w:lang w:val="es-CO"/>
        </w:rPr>
      </w:pPr>
    </w:p>
    <w:p w14:paraId="192605D6" w14:textId="77777777" w:rsidR="0006302B" w:rsidRPr="0013707D" w:rsidRDefault="0006302B" w:rsidP="00A4790E">
      <w:pPr>
        <w:keepNext/>
        <w:numPr>
          <w:ilvl w:val="0"/>
          <w:numId w:val="39"/>
        </w:numPr>
        <w:autoSpaceDE w:val="0"/>
        <w:autoSpaceDN w:val="0"/>
        <w:adjustRightInd w:val="0"/>
        <w:ind w:left="1134" w:hanging="567"/>
        <w:jc w:val="both"/>
        <w:rPr>
          <w:rFonts w:ascii="Bookman Old Style" w:hAnsi="Bookman Old Style" w:cs="Arial"/>
          <w:color w:val="000000" w:themeColor="text1"/>
          <w:lang w:val="es-CO"/>
        </w:rPr>
      </w:pPr>
      <w:bookmarkStart w:id="107" w:name="_Ref337708140"/>
      <w:r w:rsidRPr="0013707D">
        <w:rPr>
          <w:rFonts w:ascii="Bookman Old Style" w:hAnsi="Bookman Old Style" w:cs="Arial"/>
          <w:color w:val="000000" w:themeColor="text1"/>
          <w:lang w:val="es-CO"/>
        </w:rPr>
        <w:t>Verificación</w:t>
      </w:r>
      <w:bookmarkEnd w:id="107"/>
    </w:p>
    <w:p w14:paraId="62BAA966" w14:textId="77777777" w:rsidR="0006302B" w:rsidRPr="0013707D" w:rsidRDefault="0006302B" w:rsidP="0006302B">
      <w:pPr>
        <w:keepNext/>
        <w:autoSpaceDE w:val="0"/>
        <w:autoSpaceDN w:val="0"/>
        <w:adjustRightInd w:val="0"/>
        <w:ind w:left="1134"/>
        <w:jc w:val="both"/>
        <w:rPr>
          <w:rFonts w:ascii="Bookman Old Style" w:hAnsi="Bookman Old Style"/>
          <w:color w:val="000000" w:themeColor="text1"/>
          <w:lang w:val="es-CO"/>
        </w:rPr>
      </w:pPr>
    </w:p>
    <w:p w14:paraId="2E0192E9" w14:textId="5AA461A9"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El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verificará la consistencia de la información transaccional declarada por</w:t>
      </w:r>
      <w:r>
        <w:rPr>
          <w:rFonts w:ascii="Bookman Old Style" w:hAnsi="Bookman Old Style"/>
          <w:color w:val="000000" w:themeColor="text1"/>
          <w:lang w:val="es-CO"/>
        </w:rPr>
        <w:t xml:space="preserve"> lo vendedores y los compradores</w:t>
      </w:r>
      <w:r w:rsidRPr="0013707D">
        <w:rPr>
          <w:rFonts w:ascii="Bookman Old Style" w:hAnsi="Bookman Old Style"/>
          <w:color w:val="000000" w:themeColor="text1"/>
          <w:lang w:val="es-CO"/>
        </w:rPr>
        <w:t xml:space="preserve"> del mercado primario. En particular, verificará que:</w:t>
      </w:r>
    </w:p>
    <w:p w14:paraId="0D6DBADB" w14:textId="77777777" w:rsidR="0006302B" w:rsidRPr="0013707D" w:rsidRDefault="0006302B" w:rsidP="0006302B">
      <w:pPr>
        <w:pStyle w:val="Prrafodelista"/>
        <w:ind w:left="1134"/>
        <w:contextualSpacing/>
        <w:jc w:val="both"/>
        <w:rPr>
          <w:rFonts w:ascii="Bookman Old Style" w:hAnsi="Bookman Old Style" w:cs="Arial"/>
          <w:color w:val="000000" w:themeColor="text1"/>
          <w:sz w:val="24"/>
          <w:szCs w:val="24"/>
          <w:lang w:eastAsia="es-ES"/>
        </w:rPr>
      </w:pPr>
    </w:p>
    <w:p w14:paraId="45A61E9A" w14:textId="38F186C1" w:rsidR="0006302B" w:rsidRPr="005157F3" w:rsidRDefault="0006302B" w:rsidP="00A4790E">
      <w:pPr>
        <w:pStyle w:val="Prrafodelista"/>
        <w:numPr>
          <w:ilvl w:val="0"/>
          <w:numId w:val="23"/>
        </w:numPr>
        <w:ind w:left="1701" w:hanging="567"/>
        <w:contextualSpacing/>
        <w:jc w:val="both"/>
        <w:rPr>
          <w:rFonts w:ascii="Bookman Old Style" w:hAnsi="Bookman Old Style" w:cs="Arial"/>
          <w:color w:val="000000" w:themeColor="text1"/>
          <w:sz w:val="24"/>
          <w:szCs w:val="24"/>
          <w:lang w:eastAsia="es-ES"/>
        </w:rPr>
      </w:pPr>
      <w:bookmarkStart w:id="108" w:name="_Ref356998545"/>
      <w:r w:rsidRPr="0013707D">
        <w:rPr>
          <w:rFonts w:ascii="Bookman Old Style" w:hAnsi="Bookman Old Style" w:cs="Arial"/>
          <w:color w:val="000000" w:themeColor="text1"/>
          <w:sz w:val="24"/>
          <w:szCs w:val="24"/>
          <w:lang w:eastAsia="es-ES"/>
        </w:rPr>
        <w:t xml:space="preserve">La información </w:t>
      </w:r>
      <w:r w:rsidRPr="005157F3">
        <w:rPr>
          <w:rFonts w:ascii="Bookman Old Style" w:hAnsi="Bookman Old Style" w:cs="Arial"/>
          <w:color w:val="000000" w:themeColor="text1"/>
          <w:sz w:val="24"/>
          <w:szCs w:val="24"/>
          <w:lang w:eastAsia="es-ES"/>
        </w:rPr>
        <w:t xml:space="preserve">declarada por cada </w:t>
      </w:r>
      <w:r>
        <w:rPr>
          <w:rFonts w:ascii="Bookman Old Style" w:hAnsi="Bookman Old Style" w:cs="Arial"/>
          <w:color w:val="000000" w:themeColor="text1"/>
          <w:sz w:val="24"/>
          <w:szCs w:val="24"/>
          <w:lang w:eastAsia="es-ES"/>
        </w:rPr>
        <w:t>V</w:t>
      </w:r>
      <w:r w:rsidRPr="005157F3">
        <w:rPr>
          <w:rFonts w:ascii="Bookman Old Style" w:hAnsi="Bookman Old Style" w:cs="Arial"/>
          <w:color w:val="000000" w:themeColor="text1"/>
          <w:sz w:val="24"/>
          <w:szCs w:val="24"/>
          <w:lang w:eastAsia="es-ES"/>
        </w:rPr>
        <w:t xml:space="preserve">endedor en atención a lo dispuesto en el </w:t>
      </w:r>
      <w:r w:rsidRPr="00D66B65">
        <w:rPr>
          <w:rFonts w:ascii="Bookman Old Style" w:hAnsi="Bookman Old Style" w:cs="Arial"/>
          <w:color w:val="000000" w:themeColor="text1"/>
          <w:sz w:val="24"/>
          <w:szCs w:val="24"/>
          <w:lang w:eastAsia="es-ES"/>
        </w:rPr>
        <w:t xml:space="preserve">literal </w:t>
      </w:r>
      <w:r w:rsidRPr="00D66B65">
        <w:rPr>
          <w:rFonts w:ascii="Bookman Old Style" w:hAnsi="Bookman Old Style" w:cs="Arial"/>
          <w:color w:val="000000" w:themeColor="text1"/>
          <w:sz w:val="24"/>
          <w:szCs w:val="24"/>
          <w:lang w:eastAsia="es-ES"/>
        </w:rPr>
        <w:fldChar w:fldCharType="begin"/>
      </w:r>
      <w:r w:rsidRPr="00D66B65">
        <w:rPr>
          <w:rFonts w:ascii="Bookman Old Style" w:hAnsi="Bookman Old Style" w:cs="Arial"/>
          <w:color w:val="000000" w:themeColor="text1"/>
          <w:sz w:val="24"/>
          <w:szCs w:val="24"/>
          <w:lang w:eastAsia="es-ES"/>
        </w:rPr>
        <w:instrText xml:space="preserve"> REF _Ref334698398 \r \h  \* MERGEFORMAT </w:instrText>
      </w:r>
      <w:r w:rsidRPr="00D66B65">
        <w:rPr>
          <w:rFonts w:ascii="Bookman Old Style" w:hAnsi="Bookman Old Style" w:cs="Arial"/>
          <w:color w:val="000000" w:themeColor="text1"/>
          <w:sz w:val="24"/>
          <w:szCs w:val="24"/>
          <w:lang w:eastAsia="es-ES"/>
        </w:rPr>
      </w:r>
      <w:r w:rsidRPr="00D66B65">
        <w:rPr>
          <w:rFonts w:ascii="Bookman Old Style" w:hAnsi="Bookman Old Style" w:cs="Arial"/>
          <w:color w:val="000000" w:themeColor="text1"/>
          <w:sz w:val="24"/>
          <w:szCs w:val="24"/>
          <w:lang w:eastAsia="es-ES"/>
        </w:rPr>
        <w:fldChar w:fldCharType="separate"/>
      </w:r>
      <w:r w:rsidR="00636B6A">
        <w:rPr>
          <w:rFonts w:ascii="Bookman Old Style" w:hAnsi="Bookman Old Style" w:cs="Arial"/>
          <w:color w:val="000000" w:themeColor="text1"/>
          <w:sz w:val="24"/>
          <w:szCs w:val="24"/>
          <w:lang w:eastAsia="es-ES"/>
        </w:rPr>
        <w:t>a)</w:t>
      </w:r>
      <w:r w:rsidRPr="00D66B65">
        <w:rPr>
          <w:rFonts w:ascii="Bookman Old Style" w:hAnsi="Bookman Old Style" w:cs="Arial"/>
          <w:color w:val="000000" w:themeColor="text1"/>
          <w:sz w:val="24"/>
          <w:szCs w:val="24"/>
          <w:lang w:eastAsia="es-ES"/>
        </w:rPr>
        <w:fldChar w:fldCharType="end"/>
      </w:r>
      <w:r w:rsidRPr="00D66B65">
        <w:rPr>
          <w:rFonts w:ascii="Bookman Old Style" w:hAnsi="Bookman Old Style" w:cs="Arial"/>
          <w:color w:val="000000" w:themeColor="text1"/>
          <w:sz w:val="24"/>
          <w:szCs w:val="24"/>
          <w:lang w:eastAsia="es-ES"/>
        </w:rPr>
        <w:t xml:space="preserve"> del numeral </w:t>
      </w:r>
      <w:r w:rsidRPr="00D66B65">
        <w:rPr>
          <w:rFonts w:ascii="Bookman Old Style" w:hAnsi="Bookman Old Style" w:cs="Arial"/>
          <w:color w:val="000000" w:themeColor="text1"/>
          <w:sz w:val="24"/>
          <w:szCs w:val="24"/>
          <w:lang w:eastAsia="es-ES"/>
        </w:rPr>
        <w:fldChar w:fldCharType="begin"/>
      </w:r>
      <w:r w:rsidRPr="00D66B65">
        <w:rPr>
          <w:rFonts w:ascii="Bookman Old Style" w:hAnsi="Bookman Old Style" w:cs="Arial"/>
          <w:color w:val="000000" w:themeColor="text1"/>
          <w:sz w:val="24"/>
          <w:szCs w:val="24"/>
          <w:lang w:eastAsia="es-ES"/>
        </w:rPr>
        <w:instrText xml:space="preserve"> REF _Ref334698400 \r \h  \* MERGEFORMAT </w:instrText>
      </w:r>
      <w:r w:rsidRPr="00D66B65">
        <w:rPr>
          <w:rFonts w:ascii="Bookman Old Style" w:hAnsi="Bookman Old Style" w:cs="Arial"/>
          <w:color w:val="000000" w:themeColor="text1"/>
          <w:sz w:val="24"/>
          <w:szCs w:val="24"/>
          <w:lang w:eastAsia="es-ES"/>
        </w:rPr>
      </w:r>
      <w:r w:rsidRPr="00D66B65">
        <w:rPr>
          <w:rFonts w:ascii="Bookman Old Style" w:hAnsi="Bookman Old Style" w:cs="Arial"/>
          <w:color w:val="000000" w:themeColor="text1"/>
          <w:sz w:val="24"/>
          <w:szCs w:val="24"/>
          <w:lang w:eastAsia="es-ES"/>
        </w:rPr>
        <w:fldChar w:fldCharType="separate"/>
      </w:r>
      <w:r w:rsidR="00636B6A">
        <w:rPr>
          <w:rFonts w:ascii="Bookman Old Style" w:hAnsi="Bookman Old Style" w:cs="Arial"/>
          <w:color w:val="000000" w:themeColor="text1"/>
          <w:sz w:val="24"/>
          <w:szCs w:val="24"/>
          <w:lang w:eastAsia="es-ES"/>
        </w:rPr>
        <w:t>1.1</w:t>
      </w:r>
      <w:r w:rsidRPr="00D66B65">
        <w:rPr>
          <w:rFonts w:ascii="Bookman Old Style" w:hAnsi="Bookman Old Style" w:cs="Arial"/>
          <w:color w:val="000000" w:themeColor="text1"/>
          <w:sz w:val="24"/>
          <w:szCs w:val="24"/>
          <w:lang w:eastAsia="es-ES"/>
        </w:rPr>
        <w:fldChar w:fldCharType="end"/>
      </w:r>
      <w:r w:rsidRPr="005157F3">
        <w:rPr>
          <w:rFonts w:ascii="Bookman Old Style" w:hAnsi="Bookman Old Style" w:cs="Arial"/>
          <w:color w:val="000000" w:themeColor="text1"/>
          <w:sz w:val="24"/>
          <w:szCs w:val="24"/>
          <w:lang w:eastAsia="es-ES"/>
        </w:rPr>
        <w:t xml:space="preserve"> de este Anexo coincida con la declarada por cada comprador en atención a lo dispuesto en el </w:t>
      </w:r>
      <w:r w:rsidRPr="00D66B65">
        <w:rPr>
          <w:rFonts w:ascii="Bookman Old Style" w:hAnsi="Bookman Old Style" w:cs="Arial"/>
          <w:color w:val="000000" w:themeColor="text1"/>
          <w:sz w:val="24"/>
          <w:szCs w:val="24"/>
          <w:lang w:eastAsia="es-ES"/>
        </w:rPr>
        <w:t xml:space="preserve">literal </w:t>
      </w:r>
      <w:r w:rsidRPr="00D66B65">
        <w:rPr>
          <w:rFonts w:ascii="Bookman Old Style" w:hAnsi="Bookman Old Style" w:cs="Arial"/>
          <w:color w:val="000000" w:themeColor="text1"/>
          <w:sz w:val="24"/>
          <w:szCs w:val="24"/>
          <w:lang w:eastAsia="es-ES"/>
        </w:rPr>
        <w:fldChar w:fldCharType="begin"/>
      </w:r>
      <w:r w:rsidRPr="00D66B65">
        <w:rPr>
          <w:rFonts w:ascii="Bookman Old Style" w:hAnsi="Bookman Old Style" w:cs="Arial"/>
          <w:color w:val="000000" w:themeColor="text1"/>
          <w:sz w:val="24"/>
          <w:szCs w:val="24"/>
          <w:lang w:eastAsia="es-ES"/>
        </w:rPr>
        <w:instrText xml:space="preserve"> REF _Ref334698398 \r \h  \* MERGEFORMAT </w:instrText>
      </w:r>
      <w:r w:rsidRPr="00D66B65">
        <w:rPr>
          <w:rFonts w:ascii="Bookman Old Style" w:hAnsi="Bookman Old Style" w:cs="Arial"/>
          <w:color w:val="000000" w:themeColor="text1"/>
          <w:sz w:val="24"/>
          <w:szCs w:val="24"/>
          <w:lang w:eastAsia="es-ES"/>
        </w:rPr>
      </w:r>
      <w:r w:rsidRPr="00D66B65">
        <w:rPr>
          <w:rFonts w:ascii="Bookman Old Style" w:hAnsi="Bookman Old Style" w:cs="Arial"/>
          <w:color w:val="000000" w:themeColor="text1"/>
          <w:sz w:val="24"/>
          <w:szCs w:val="24"/>
          <w:lang w:eastAsia="es-ES"/>
        </w:rPr>
        <w:fldChar w:fldCharType="separate"/>
      </w:r>
      <w:r w:rsidR="00636B6A">
        <w:rPr>
          <w:rFonts w:ascii="Bookman Old Style" w:hAnsi="Bookman Old Style" w:cs="Arial"/>
          <w:color w:val="000000" w:themeColor="text1"/>
          <w:sz w:val="24"/>
          <w:szCs w:val="24"/>
          <w:lang w:eastAsia="es-ES"/>
        </w:rPr>
        <w:t>a)</w:t>
      </w:r>
      <w:r w:rsidRPr="00D66B65">
        <w:rPr>
          <w:rFonts w:ascii="Bookman Old Style" w:hAnsi="Bookman Old Style" w:cs="Arial"/>
          <w:color w:val="000000" w:themeColor="text1"/>
          <w:sz w:val="24"/>
          <w:szCs w:val="24"/>
          <w:lang w:eastAsia="es-ES"/>
        </w:rPr>
        <w:fldChar w:fldCharType="end"/>
      </w:r>
      <w:r w:rsidRPr="00D66B65">
        <w:rPr>
          <w:rFonts w:ascii="Bookman Old Style" w:hAnsi="Bookman Old Style" w:cs="Arial"/>
          <w:color w:val="000000" w:themeColor="text1"/>
          <w:sz w:val="24"/>
          <w:szCs w:val="24"/>
          <w:lang w:eastAsia="es-ES"/>
        </w:rPr>
        <w:t xml:space="preserve"> del numeral </w:t>
      </w:r>
      <w:r w:rsidRPr="00D66B65">
        <w:rPr>
          <w:rFonts w:ascii="Bookman Old Style" w:hAnsi="Bookman Old Style" w:cs="Arial"/>
          <w:color w:val="000000" w:themeColor="text1"/>
          <w:sz w:val="24"/>
          <w:szCs w:val="24"/>
          <w:lang w:eastAsia="es-ES"/>
        </w:rPr>
        <w:fldChar w:fldCharType="begin"/>
      </w:r>
      <w:r w:rsidRPr="00D66B65">
        <w:rPr>
          <w:rFonts w:ascii="Bookman Old Style" w:hAnsi="Bookman Old Style" w:cs="Arial"/>
          <w:color w:val="000000" w:themeColor="text1"/>
          <w:sz w:val="24"/>
          <w:szCs w:val="24"/>
          <w:lang w:eastAsia="es-ES"/>
        </w:rPr>
        <w:instrText xml:space="preserve"> REF _Ref334698400 \r \h  \* MERGEFORMAT </w:instrText>
      </w:r>
      <w:r w:rsidRPr="00D66B65">
        <w:rPr>
          <w:rFonts w:ascii="Bookman Old Style" w:hAnsi="Bookman Old Style" w:cs="Arial"/>
          <w:color w:val="000000" w:themeColor="text1"/>
          <w:sz w:val="24"/>
          <w:szCs w:val="24"/>
          <w:lang w:eastAsia="es-ES"/>
        </w:rPr>
      </w:r>
      <w:r w:rsidRPr="00D66B65">
        <w:rPr>
          <w:rFonts w:ascii="Bookman Old Style" w:hAnsi="Bookman Old Style" w:cs="Arial"/>
          <w:color w:val="000000" w:themeColor="text1"/>
          <w:sz w:val="24"/>
          <w:szCs w:val="24"/>
          <w:lang w:eastAsia="es-ES"/>
        </w:rPr>
        <w:fldChar w:fldCharType="separate"/>
      </w:r>
      <w:r w:rsidR="00636B6A">
        <w:rPr>
          <w:rFonts w:ascii="Bookman Old Style" w:hAnsi="Bookman Old Style" w:cs="Arial"/>
          <w:color w:val="000000" w:themeColor="text1"/>
          <w:sz w:val="24"/>
          <w:szCs w:val="24"/>
          <w:lang w:eastAsia="es-ES"/>
        </w:rPr>
        <w:t>1.1</w:t>
      </w:r>
      <w:r w:rsidRPr="00D66B65">
        <w:rPr>
          <w:rFonts w:ascii="Bookman Old Style" w:hAnsi="Bookman Old Style" w:cs="Arial"/>
          <w:color w:val="000000" w:themeColor="text1"/>
          <w:sz w:val="24"/>
          <w:szCs w:val="24"/>
          <w:lang w:eastAsia="es-ES"/>
        </w:rPr>
        <w:fldChar w:fldCharType="end"/>
      </w:r>
      <w:r w:rsidRPr="00D66B65">
        <w:rPr>
          <w:rFonts w:ascii="Bookman Old Style" w:hAnsi="Bookman Old Style" w:cs="Arial"/>
          <w:color w:val="000000" w:themeColor="text1"/>
          <w:sz w:val="24"/>
          <w:szCs w:val="24"/>
          <w:lang w:eastAsia="es-ES"/>
        </w:rPr>
        <w:t xml:space="preserve"> de</w:t>
      </w:r>
      <w:r w:rsidRPr="005157F3">
        <w:rPr>
          <w:rFonts w:ascii="Bookman Old Style" w:hAnsi="Bookman Old Style" w:cs="Arial"/>
          <w:color w:val="000000" w:themeColor="text1"/>
          <w:sz w:val="24"/>
          <w:szCs w:val="24"/>
          <w:lang w:eastAsia="es-ES"/>
        </w:rPr>
        <w:t xml:space="preserve"> este Anexo.</w:t>
      </w:r>
      <w:bookmarkEnd w:id="108"/>
    </w:p>
    <w:p w14:paraId="10F0D8E2"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02BD0EE7" w14:textId="419EB4A9" w:rsidR="0006302B" w:rsidRPr="009C6342" w:rsidRDefault="0006302B" w:rsidP="0006302B">
      <w:pPr>
        <w:autoSpaceDE w:val="0"/>
        <w:autoSpaceDN w:val="0"/>
        <w:adjustRightInd w:val="0"/>
        <w:ind w:left="1701"/>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Si el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encuentra discrepancias como resultado de las verificaciones el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informárselo a las partes, dentro de las 24 horas siguientes al recibo de la última de las declaraciones presentadas por las partes de cada contrato, para que ellas rectifiquen las diferencias a más tardar 24 horas después del recibo de la solicitud de verificación. Cuando no sea posible la rectificación dentro de este término el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abstenerse de registrar el contrato y no podrá tenerlo en cuenta para efectos de publicación. En este caso el </w:t>
      </w:r>
      <w:r w:rsidR="00401E76" w:rsidRPr="00956510">
        <w:rPr>
          <w:rFonts w:ascii="Bookman Old Style" w:hAnsi="Bookman Old Style"/>
          <w:u w:color="FF0000"/>
          <w:lang w:val="es-CO"/>
        </w:rPr>
        <w:t>Gesto</w:t>
      </w:r>
      <w:r w:rsidR="00401E76" w:rsidRPr="00E53E99">
        <w:rPr>
          <w:rFonts w:ascii="Bookman Old Style" w:hAnsi="Bookman Old Style"/>
          <w:u w:color="FF0000"/>
          <w:lang w:val="es-CO"/>
        </w:rPr>
        <w:t>r</w:t>
      </w:r>
      <w:r w:rsidR="00401E76"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informar esta situación a las partes involucradas y a los </w:t>
      </w:r>
      <w:r w:rsidRPr="009C6342">
        <w:rPr>
          <w:rFonts w:ascii="Bookman Old Style" w:hAnsi="Bookman Old Style"/>
          <w:color w:val="000000" w:themeColor="text1"/>
          <w:lang w:val="es-CO"/>
        </w:rPr>
        <w:t>órganos responsables de la inspección, vigilancia y control.</w:t>
      </w:r>
    </w:p>
    <w:p w14:paraId="29F15B42" w14:textId="77777777" w:rsidR="0006302B" w:rsidRPr="009C6342" w:rsidRDefault="0006302B" w:rsidP="0006302B">
      <w:pPr>
        <w:autoSpaceDE w:val="0"/>
        <w:autoSpaceDN w:val="0"/>
        <w:adjustRightInd w:val="0"/>
        <w:jc w:val="both"/>
        <w:rPr>
          <w:rFonts w:ascii="Bookman Old Style" w:hAnsi="Bookman Old Style"/>
          <w:color w:val="000000" w:themeColor="text1"/>
          <w:lang w:val="es-CO"/>
        </w:rPr>
      </w:pPr>
    </w:p>
    <w:p w14:paraId="2B46B451" w14:textId="69160BEB" w:rsidR="0006302B" w:rsidRPr="00745436" w:rsidRDefault="0006302B" w:rsidP="007E56EE">
      <w:pPr>
        <w:pStyle w:val="Prrafodelista"/>
        <w:numPr>
          <w:ilvl w:val="0"/>
          <w:numId w:val="23"/>
        </w:numPr>
        <w:ind w:hanging="579"/>
        <w:jc w:val="both"/>
        <w:rPr>
          <w:rFonts w:ascii="Bookman Old Style" w:hAnsi="Bookman Old Style"/>
          <w:b/>
          <w:bCs/>
          <w:sz w:val="24"/>
          <w:szCs w:val="24"/>
        </w:rPr>
      </w:pPr>
      <w:r w:rsidRPr="00745436">
        <w:rPr>
          <w:rFonts w:ascii="Bookman Old Style" w:hAnsi="Bookman Old Style"/>
          <w:b/>
          <w:bCs/>
          <w:color w:val="000000" w:themeColor="text1"/>
          <w:sz w:val="24"/>
          <w:szCs w:val="24"/>
        </w:rPr>
        <w:t>En el caso de contratos de suministro</w:t>
      </w:r>
      <w:r w:rsidR="006B1DB6">
        <w:rPr>
          <w:rFonts w:ascii="Bookman Old Style" w:hAnsi="Bookman Old Style"/>
          <w:b/>
          <w:bCs/>
          <w:color w:val="000000" w:themeColor="text1"/>
          <w:sz w:val="24"/>
          <w:szCs w:val="24"/>
        </w:rPr>
        <w:t xml:space="preserve"> firme o con garantía de firmeza</w:t>
      </w:r>
      <w:r w:rsidRPr="00745436">
        <w:rPr>
          <w:rFonts w:ascii="Bookman Old Style" w:hAnsi="Bookman Old Style"/>
          <w:b/>
          <w:bCs/>
          <w:color w:val="000000" w:themeColor="text1"/>
          <w:sz w:val="24"/>
          <w:szCs w:val="24"/>
        </w:rPr>
        <w:t xml:space="preserve"> en el que un </w:t>
      </w:r>
      <w:r w:rsidR="00B61A85">
        <w:rPr>
          <w:rFonts w:ascii="Bookman Old Style" w:hAnsi="Bookman Old Style"/>
          <w:b/>
          <w:bCs/>
          <w:color w:val="000000" w:themeColor="text1"/>
          <w:sz w:val="24"/>
          <w:szCs w:val="24"/>
        </w:rPr>
        <w:t>vendedor del mercado primario</w:t>
      </w:r>
      <w:r w:rsidR="00B61A85" w:rsidRPr="00745436">
        <w:rPr>
          <w:rFonts w:ascii="Bookman Old Style" w:hAnsi="Bookman Old Style"/>
          <w:b/>
          <w:bCs/>
          <w:color w:val="000000" w:themeColor="text1"/>
          <w:sz w:val="24"/>
          <w:szCs w:val="24"/>
        </w:rPr>
        <w:t xml:space="preserve"> </w:t>
      </w:r>
      <w:r w:rsidRPr="00745436">
        <w:rPr>
          <w:rFonts w:ascii="Bookman Old Style" w:hAnsi="Bookman Old Style"/>
          <w:b/>
          <w:bCs/>
          <w:color w:val="000000" w:themeColor="text1"/>
          <w:sz w:val="24"/>
          <w:szCs w:val="24"/>
        </w:rPr>
        <w:t xml:space="preserve">garantiza el servicio de suministro de una cantidad máxima de gas natural, sin interrupciones, durante un período determinado, excepto en los </w:t>
      </w:r>
      <w:r w:rsidRPr="00822B26">
        <w:rPr>
          <w:rFonts w:ascii="Bookman Old Style" w:hAnsi="Bookman Old Style"/>
          <w:b/>
          <w:bCs/>
          <w:color w:val="000000" w:themeColor="text1"/>
          <w:sz w:val="24"/>
          <w:szCs w:val="24"/>
        </w:rPr>
        <w:t xml:space="preserve">días establecidos para mantenimiento y labores programadas, </w:t>
      </w:r>
      <w:r w:rsidRPr="00822B26">
        <w:rPr>
          <w:rFonts w:ascii="Bookman Old Style" w:hAnsi="Bookman Old Style"/>
          <w:b/>
          <w:bCs/>
          <w:sz w:val="24"/>
          <w:szCs w:val="24"/>
        </w:rPr>
        <w:t xml:space="preserve">el </w:t>
      </w:r>
      <w:r w:rsidR="0022131A" w:rsidRPr="002D5416">
        <w:rPr>
          <w:rFonts w:ascii="Bookman Old Style" w:hAnsi="Bookman Old Style"/>
          <w:b/>
          <w:sz w:val="24"/>
          <w:szCs w:val="24"/>
          <w:u w:color="FF0000"/>
        </w:rPr>
        <w:t>Gestor</w:t>
      </w:r>
      <w:r w:rsidRPr="00401E76">
        <w:rPr>
          <w:rFonts w:ascii="Bookman Old Style" w:hAnsi="Bookman Old Style"/>
          <w:b/>
          <w:sz w:val="24"/>
          <w:szCs w:val="24"/>
        </w:rPr>
        <w:t xml:space="preserve"> </w:t>
      </w:r>
      <w:r w:rsidRPr="00822B26">
        <w:rPr>
          <w:rFonts w:ascii="Bookman Old Style" w:hAnsi="Bookman Old Style"/>
          <w:b/>
          <w:bCs/>
          <w:sz w:val="24"/>
          <w:szCs w:val="24"/>
        </w:rPr>
        <w:t>del Mercado deberá verificar que la PTDVF con la que cuenta cada una de las Fuentes de Suministro utilizadas en el contrato que se registra, tiene un valor igual o superior a la cantidad asignada a dicha Fuente de Suministro en dicho contrato. Para la comparación anterior</w:t>
      </w:r>
      <w:r w:rsidR="0093219A" w:rsidRPr="00822B26">
        <w:rPr>
          <w:rFonts w:ascii="Bookman Old Style" w:hAnsi="Bookman Old Style"/>
          <w:b/>
          <w:bCs/>
          <w:sz w:val="24"/>
          <w:szCs w:val="24"/>
        </w:rPr>
        <w:t>,</w:t>
      </w:r>
      <w:r w:rsidRPr="00822B26">
        <w:rPr>
          <w:rFonts w:ascii="Bookman Old Style" w:hAnsi="Bookman Old Style"/>
          <w:b/>
          <w:bCs/>
          <w:sz w:val="24"/>
          <w:szCs w:val="24"/>
        </w:rPr>
        <w:t xml:space="preserve"> el</w:t>
      </w:r>
      <w:r w:rsidRPr="00401E76">
        <w:rPr>
          <w:rFonts w:ascii="Bookman Old Style" w:hAnsi="Bookman Old Style"/>
          <w:b/>
          <w:sz w:val="24"/>
          <w:szCs w:val="24"/>
        </w:rPr>
        <w:t xml:space="preserve"> </w:t>
      </w:r>
      <w:r w:rsidR="0022131A" w:rsidRPr="002D5416">
        <w:rPr>
          <w:rFonts w:ascii="Bookman Old Style" w:hAnsi="Bookman Old Style"/>
          <w:b/>
          <w:sz w:val="24"/>
          <w:szCs w:val="24"/>
          <w:u w:color="FF0000"/>
        </w:rPr>
        <w:t>Gestor</w:t>
      </w:r>
      <w:r w:rsidRPr="00401E76">
        <w:rPr>
          <w:rFonts w:ascii="Bookman Old Style" w:hAnsi="Bookman Old Style"/>
          <w:b/>
          <w:bCs/>
          <w:sz w:val="24"/>
          <w:szCs w:val="24"/>
        </w:rPr>
        <w:t xml:space="preserve"> </w:t>
      </w:r>
      <w:r w:rsidRPr="00822B26">
        <w:rPr>
          <w:rFonts w:ascii="Bookman Old Style" w:hAnsi="Bookman Old Style"/>
          <w:b/>
          <w:bCs/>
          <w:sz w:val="24"/>
          <w:szCs w:val="24"/>
        </w:rPr>
        <w:t>del Mercado deberá utilizar el resultado que obtenga para la PTDVF disponible</w:t>
      </w:r>
      <w:r w:rsidRPr="00745436">
        <w:rPr>
          <w:rFonts w:ascii="Bookman Old Style" w:hAnsi="Bookman Old Style"/>
          <w:b/>
          <w:bCs/>
          <w:sz w:val="24"/>
          <w:szCs w:val="24"/>
        </w:rPr>
        <w:t xml:space="preserve"> de cada </w:t>
      </w:r>
      <w:r>
        <w:rPr>
          <w:rFonts w:ascii="Bookman Old Style" w:hAnsi="Bookman Old Style"/>
          <w:b/>
          <w:bCs/>
          <w:sz w:val="24"/>
          <w:szCs w:val="24"/>
        </w:rPr>
        <w:t>Fuente de Suministro</w:t>
      </w:r>
      <w:r w:rsidRPr="00745436">
        <w:rPr>
          <w:rFonts w:ascii="Bookman Old Style" w:hAnsi="Bookman Old Style"/>
          <w:b/>
          <w:bCs/>
          <w:sz w:val="24"/>
          <w:szCs w:val="24"/>
        </w:rPr>
        <w:t xml:space="preserve"> que aparece en el contrato, el cual se calcula </w:t>
      </w:r>
      <w:r w:rsidRPr="00745436">
        <w:rPr>
          <w:rFonts w:ascii="Bookman Old Style" w:hAnsi="Bookman Old Style"/>
          <w:b/>
          <w:bCs/>
          <w:sz w:val="24"/>
          <w:szCs w:val="24"/>
        </w:rPr>
        <w:lastRenderedPageBreak/>
        <w:t xml:space="preserve">restando al valor total de la PTDVF declarada más reciente, las cantidades de suministro </w:t>
      </w:r>
      <w:r w:rsidR="006B1DB6">
        <w:rPr>
          <w:rFonts w:ascii="Bookman Old Style" w:hAnsi="Bookman Old Style"/>
          <w:b/>
          <w:bCs/>
          <w:sz w:val="24"/>
          <w:szCs w:val="24"/>
        </w:rPr>
        <w:t>firme o con garantía de firmeza</w:t>
      </w:r>
      <w:r w:rsidRPr="00745436">
        <w:rPr>
          <w:rFonts w:ascii="Bookman Old Style" w:hAnsi="Bookman Old Style"/>
          <w:b/>
          <w:bCs/>
          <w:sz w:val="24"/>
          <w:szCs w:val="24"/>
        </w:rPr>
        <w:t xml:space="preserve"> asignadas a esa </w:t>
      </w:r>
      <w:r>
        <w:rPr>
          <w:rFonts w:ascii="Bookman Old Style" w:hAnsi="Bookman Old Style"/>
          <w:b/>
          <w:bCs/>
          <w:sz w:val="24"/>
          <w:szCs w:val="24"/>
        </w:rPr>
        <w:t>Fuente de Suministro</w:t>
      </w:r>
      <w:r w:rsidRPr="00745436">
        <w:rPr>
          <w:rFonts w:ascii="Bookman Old Style" w:hAnsi="Bookman Old Style"/>
          <w:b/>
          <w:bCs/>
          <w:sz w:val="24"/>
          <w:szCs w:val="24"/>
        </w:rPr>
        <w:t xml:space="preserve"> en los contratos registrados con posterioridad a la declaración de dicha PTDVF. </w:t>
      </w:r>
    </w:p>
    <w:p w14:paraId="528060E4" w14:textId="77777777" w:rsidR="0006302B" w:rsidRPr="00745436" w:rsidRDefault="0006302B" w:rsidP="0006302B">
      <w:pPr>
        <w:pStyle w:val="Prrafodelista"/>
        <w:ind w:left="1713"/>
        <w:jc w:val="both"/>
        <w:rPr>
          <w:rFonts w:ascii="Bookman Old Style" w:hAnsi="Bookman Old Style"/>
          <w:b/>
          <w:bCs/>
          <w:color w:val="000000" w:themeColor="text1"/>
          <w:sz w:val="24"/>
          <w:szCs w:val="24"/>
        </w:rPr>
      </w:pPr>
    </w:p>
    <w:p w14:paraId="2211E006" w14:textId="4699F9CE" w:rsidR="0006302B" w:rsidRDefault="0006302B" w:rsidP="0006302B">
      <w:pPr>
        <w:autoSpaceDE w:val="0"/>
        <w:autoSpaceDN w:val="0"/>
        <w:adjustRightInd w:val="0"/>
        <w:ind w:left="1701"/>
        <w:jc w:val="both"/>
        <w:rPr>
          <w:rFonts w:ascii="Bookman Old Style" w:hAnsi="Bookman Old Style"/>
          <w:b/>
          <w:bCs/>
          <w:color w:val="000000" w:themeColor="text1"/>
          <w:lang w:val="es-CO"/>
        </w:rPr>
      </w:pPr>
      <w:r w:rsidRPr="00745436">
        <w:rPr>
          <w:rFonts w:ascii="Bookman Old Style" w:hAnsi="Bookman Old Style"/>
          <w:b/>
          <w:bCs/>
          <w:color w:val="000000" w:themeColor="text1"/>
          <w:lang w:val="es-CO"/>
        </w:rPr>
        <w:t xml:space="preserve">Si el </w:t>
      </w:r>
      <w:r w:rsidR="0022131A" w:rsidRPr="002D5416">
        <w:rPr>
          <w:rFonts w:ascii="Bookman Old Style" w:hAnsi="Bookman Old Style"/>
          <w:b/>
          <w:u w:color="FF0000"/>
          <w:lang w:val="es-CO"/>
        </w:rPr>
        <w:t>Gestor</w:t>
      </w:r>
      <w:r w:rsidRPr="002D5416">
        <w:rPr>
          <w:rFonts w:ascii="Bookman Old Style" w:hAnsi="Bookman Old Style"/>
          <w:b/>
          <w:lang w:val="es-CO"/>
        </w:rPr>
        <w:t xml:space="preserve"> </w:t>
      </w:r>
      <w:r w:rsidRPr="00745436">
        <w:rPr>
          <w:rFonts w:ascii="Bookman Old Style" w:hAnsi="Bookman Old Style"/>
          <w:b/>
          <w:bCs/>
          <w:color w:val="000000" w:themeColor="text1"/>
          <w:lang w:val="es-CO"/>
        </w:rPr>
        <w:t xml:space="preserve">del Mercado encuentra </w:t>
      </w:r>
      <w:r w:rsidRPr="00745436">
        <w:rPr>
          <w:rFonts w:ascii="Bookman Old Style" w:hAnsi="Bookman Old Style"/>
          <w:b/>
          <w:bCs/>
        </w:rPr>
        <w:t xml:space="preserve">que la PTDVF disponible calculada de la manera anteriormente descrita, es inferior a la cantidad asignada para cada </w:t>
      </w:r>
      <w:r>
        <w:rPr>
          <w:rFonts w:ascii="Bookman Old Style" w:hAnsi="Bookman Old Style"/>
          <w:b/>
          <w:bCs/>
        </w:rPr>
        <w:t>Fuente de Suministro</w:t>
      </w:r>
      <w:r w:rsidRPr="00745436">
        <w:rPr>
          <w:rFonts w:ascii="Bookman Old Style" w:hAnsi="Bookman Old Style"/>
          <w:b/>
          <w:bCs/>
        </w:rPr>
        <w:t xml:space="preserve"> que se incluye en el contrato que se desea registrar</w:t>
      </w:r>
      <w:r w:rsidR="0093219A">
        <w:rPr>
          <w:rFonts w:ascii="Bookman Old Style" w:hAnsi="Bookman Old Style"/>
          <w:b/>
          <w:bCs/>
        </w:rPr>
        <w:t>,</w:t>
      </w:r>
      <w:r w:rsidRPr="00745436">
        <w:rPr>
          <w:rFonts w:ascii="Bookman Old Style" w:hAnsi="Bookman Old Style"/>
          <w:b/>
          <w:bCs/>
          <w:color w:val="000000" w:themeColor="text1"/>
          <w:lang w:val="es-CO"/>
        </w:rPr>
        <w:t xml:space="preserve"> deberá informárselo a</w:t>
      </w:r>
      <w:r>
        <w:rPr>
          <w:rFonts w:ascii="Bookman Old Style" w:hAnsi="Bookman Old Style"/>
          <w:b/>
          <w:bCs/>
          <w:color w:val="000000" w:themeColor="text1"/>
          <w:lang w:val="es-CO"/>
        </w:rPr>
        <w:t>l Vendedor del Mercado Primario</w:t>
      </w:r>
      <w:r w:rsidRPr="00745436">
        <w:rPr>
          <w:rFonts w:ascii="Bookman Old Style" w:hAnsi="Bookman Old Style"/>
          <w:b/>
          <w:bCs/>
          <w:color w:val="000000" w:themeColor="text1"/>
          <w:lang w:val="es-CO"/>
        </w:rPr>
        <w:t>, dentro de las 24 horas siguientes a</w:t>
      </w:r>
      <w:r>
        <w:rPr>
          <w:rFonts w:ascii="Bookman Old Style" w:hAnsi="Bookman Old Style"/>
          <w:b/>
          <w:bCs/>
          <w:color w:val="000000" w:themeColor="text1"/>
          <w:lang w:val="es-CO"/>
        </w:rPr>
        <w:t xml:space="preserve"> su </w:t>
      </w:r>
      <w:r w:rsidRPr="00745436">
        <w:rPr>
          <w:rFonts w:ascii="Bookman Old Style" w:hAnsi="Bookman Old Style"/>
          <w:b/>
          <w:bCs/>
          <w:color w:val="000000" w:themeColor="text1"/>
          <w:lang w:val="es-CO"/>
        </w:rPr>
        <w:t>recibo, para que rectifique. Cuando no sea posible la rectificación</w:t>
      </w:r>
      <w:r w:rsidR="00401E76">
        <w:rPr>
          <w:rFonts w:ascii="Bookman Old Style" w:hAnsi="Bookman Old Style"/>
          <w:b/>
          <w:bCs/>
          <w:color w:val="000000" w:themeColor="text1"/>
          <w:lang w:val="es-CO"/>
        </w:rPr>
        <w:t xml:space="preserve">, </w:t>
      </w:r>
      <w:r w:rsidRPr="00745436">
        <w:rPr>
          <w:rFonts w:ascii="Bookman Old Style" w:hAnsi="Bookman Old Style"/>
          <w:b/>
          <w:bCs/>
          <w:color w:val="000000" w:themeColor="text1"/>
          <w:lang w:val="es-CO"/>
        </w:rPr>
        <w:t xml:space="preserve">el </w:t>
      </w:r>
      <w:r w:rsidR="0022131A" w:rsidRPr="002D5416">
        <w:rPr>
          <w:rFonts w:ascii="Bookman Old Style" w:hAnsi="Bookman Old Style"/>
          <w:b/>
          <w:u w:color="FF0000"/>
          <w:lang w:val="es-CO"/>
        </w:rPr>
        <w:t>Gestor</w:t>
      </w:r>
      <w:r w:rsidRPr="002D5416">
        <w:rPr>
          <w:rFonts w:ascii="Bookman Old Style" w:hAnsi="Bookman Old Style"/>
          <w:b/>
          <w:lang w:val="es-CO"/>
        </w:rPr>
        <w:t xml:space="preserve"> </w:t>
      </w:r>
      <w:r w:rsidRPr="00745436">
        <w:rPr>
          <w:rFonts w:ascii="Bookman Old Style" w:hAnsi="Bookman Old Style"/>
          <w:b/>
          <w:bCs/>
          <w:color w:val="000000" w:themeColor="text1"/>
          <w:lang w:val="es-CO"/>
        </w:rPr>
        <w:t>del Mercado deberá abstenerse de registrar el contrato</w:t>
      </w:r>
      <w:r w:rsidR="00B61A85">
        <w:rPr>
          <w:rFonts w:ascii="Bookman Old Style" w:hAnsi="Bookman Old Style"/>
          <w:b/>
          <w:bCs/>
          <w:color w:val="000000" w:themeColor="text1"/>
          <w:lang w:val="es-CO"/>
        </w:rPr>
        <w:t xml:space="preserve"> y</w:t>
      </w:r>
      <w:r w:rsidR="0093219A">
        <w:rPr>
          <w:rFonts w:ascii="Bookman Old Style" w:hAnsi="Bookman Old Style"/>
          <w:b/>
          <w:bCs/>
          <w:color w:val="000000" w:themeColor="text1"/>
          <w:lang w:val="es-CO"/>
        </w:rPr>
        <w:t>,</w:t>
      </w:r>
      <w:r w:rsidR="00B61A85">
        <w:rPr>
          <w:rFonts w:ascii="Bookman Old Style" w:hAnsi="Bookman Old Style"/>
          <w:b/>
          <w:bCs/>
          <w:color w:val="000000" w:themeColor="text1"/>
          <w:lang w:val="es-CO"/>
        </w:rPr>
        <w:t xml:space="preserve"> por tanto</w:t>
      </w:r>
      <w:r w:rsidR="0093219A">
        <w:rPr>
          <w:rFonts w:ascii="Bookman Old Style" w:hAnsi="Bookman Old Style"/>
          <w:b/>
          <w:bCs/>
          <w:color w:val="000000" w:themeColor="text1"/>
          <w:lang w:val="es-CO"/>
        </w:rPr>
        <w:t>,</w:t>
      </w:r>
      <w:r w:rsidR="00B61A85">
        <w:rPr>
          <w:rFonts w:ascii="Bookman Old Style" w:hAnsi="Bookman Old Style"/>
          <w:b/>
          <w:bCs/>
          <w:color w:val="000000" w:themeColor="text1"/>
          <w:lang w:val="es-CO"/>
        </w:rPr>
        <w:t xml:space="preserve"> no podrá ser ejecutado</w:t>
      </w:r>
      <w:r w:rsidRPr="00745436">
        <w:rPr>
          <w:rFonts w:ascii="Bookman Old Style" w:hAnsi="Bookman Old Style"/>
          <w:b/>
          <w:bCs/>
          <w:color w:val="000000" w:themeColor="text1"/>
          <w:lang w:val="es-CO"/>
        </w:rPr>
        <w:t>. En este caso</w:t>
      </w:r>
      <w:r w:rsidR="0093219A">
        <w:rPr>
          <w:rFonts w:ascii="Bookman Old Style" w:hAnsi="Bookman Old Style"/>
          <w:b/>
          <w:bCs/>
          <w:color w:val="000000" w:themeColor="text1"/>
          <w:lang w:val="es-CO"/>
        </w:rPr>
        <w:t>,</w:t>
      </w:r>
      <w:r w:rsidRPr="00745436">
        <w:rPr>
          <w:rFonts w:ascii="Bookman Old Style" w:hAnsi="Bookman Old Style"/>
          <w:b/>
          <w:bCs/>
          <w:color w:val="000000" w:themeColor="text1"/>
          <w:lang w:val="es-CO"/>
        </w:rPr>
        <w:t xml:space="preserve"> el </w:t>
      </w:r>
      <w:r w:rsidR="0022131A" w:rsidRPr="002D5416">
        <w:rPr>
          <w:rFonts w:ascii="Bookman Old Style" w:hAnsi="Bookman Old Style"/>
          <w:b/>
          <w:u w:color="FF0000"/>
          <w:lang w:val="es-CO"/>
        </w:rPr>
        <w:t>Gestor</w:t>
      </w:r>
      <w:r w:rsidRPr="002D5416">
        <w:rPr>
          <w:rFonts w:ascii="Bookman Old Style" w:hAnsi="Bookman Old Style"/>
          <w:b/>
          <w:lang w:val="es-CO"/>
        </w:rPr>
        <w:t xml:space="preserve"> </w:t>
      </w:r>
      <w:r w:rsidRPr="00745436">
        <w:rPr>
          <w:rFonts w:ascii="Bookman Old Style" w:hAnsi="Bookman Old Style"/>
          <w:b/>
          <w:bCs/>
          <w:color w:val="000000" w:themeColor="text1"/>
          <w:lang w:val="es-CO"/>
        </w:rPr>
        <w:t>del Mercado deberá informar esta situación a las partes involucradas y a los órganos responsables de la inspección, vigilancia y control.</w:t>
      </w:r>
    </w:p>
    <w:p w14:paraId="22CC0DD0" w14:textId="77777777" w:rsidR="0006302B" w:rsidRDefault="0006302B" w:rsidP="0006302B">
      <w:pPr>
        <w:autoSpaceDE w:val="0"/>
        <w:autoSpaceDN w:val="0"/>
        <w:adjustRightInd w:val="0"/>
        <w:ind w:left="1701"/>
        <w:jc w:val="both"/>
        <w:rPr>
          <w:rFonts w:ascii="Bookman Old Style" w:hAnsi="Bookman Old Style"/>
          <w:b/>
          <w:bCs/>
          <w:color w:val="000000" w:themeColor="text1"/>
          <w:lang w:val="es-CO"/>
        </w:rPr>
      </w:pPr>
    </w:p>
    <w:p w14:paraId="093AB0EB" w14:textId="0735AE41" w:rsidR="0006302B" w:rsidRDefault="0006302B" w:rsidP="0006302B">
      <w:pPr>
        <w:autoSpaceDE w:val="0"/>
        <w:autoSpaceDN w:val="0"/>
        <w:adjustRightInd w:val="0"/>
        <w:ind w:left="1701"/>
        <w:jc w:val="both"/>
        <w:rPr>
          <w:rFonts w:ascii="Bookman Old Style" w:hAnsi="Bookman Old Style"/>
          <w:b/>
          <w:bCs/>
        </w:rPr>
      </w:pPr>
      <w:r w:rsidRPr="00822B26">
        <w:rPr>
          <w:rFonts w:ascii="Bookman Old Style" w:hAnsi="Bookman Old Style"/>
          <w:b/>
          <w:bCs/>
        </w:rPr>
        <w:t>Adicionalmente</w:t>
      </w:r>
      <w:r w:rsidR="0093219A" w:rsidRPr="00822B26">
        <w:rPr>
          <w:rFonts w:ascii="Bookman Old Style" w:hAnsi="Bookman Old Style"/>
          <w:b/>
          <w:bCs/>
        </w:rPr>
        <w:t>,</w:t>
      </w:r>
      <w:r w:rsidRPr="00822B26">
        <w:rPr>
          <w:rFonts w:ascii="Bookman Old Style" w:hAnsi="Bookman Old Style"/>
          <w:b/>
          <w:bCs/>
        </w:rPr>
        <w:t xml:space="preserve"> y para efectos de lo anterior, los vendedores del mercado primario y el </w:t>
      </w:r>
      <w:r w:rsidR="0022131A" w:rsidRPr="002D5416">
        <w:rPr>
          <w:rFonts w:ascii="Bookman Old Style" w:hAnsi="Bookman Old Style"/>
          <w:b/>
          <w:u w:color="FF0000"/>
        </w:rPr>
        <w:t>Gestor</w:t>
      </w:r>
      <w:r w:rsidRPr="00401E76">
        <w:rPr>
          <w:rFonts w:ascii="Bookman Old Style" w:hAnsi="Bookman Old Style"/>
          <w:b/>
        </w:rPr>
        <w:t xml:space="preserve"> </w:t>
      </w:r>
      <w:r w:rsidRPr="00822B26">
        <w:rPr>
          <w:rFonts w:ascii="Bookman Old Style" w:hAnsi="Bookman Old Style"/>
          <w:b/>
          <w:bCs/>
        </w:rPr>
        <w:t xml:space="preserve">del Mercado deberán tener en cuenta, para los contratos que se desean registrar con base en los casos establecidos en el Parágrafo del </w:t>
      </w:r>
      <w:r w:rsidR="009C02E5">
        <w:rPr>
          <w:rFonts w:ascii="Bookman Old Style" w:hAnsi="Bookman Old Style"/>
          <w:b/>
          <w:bCs/>
        </w:rPr>
        <w:t>a</w:t>
      </w:r>
      <w:r w:rsidRPr="00822B26">
        <w:rPr>
          <w:rFonts w:ascii="Bookman Old Style" w:hAnsi="Bookman Old Style"/>
          <w:b/>
          <w:bCs/>
        </w:rPr>
        <w:t>rtículo 20 de la presente resolución, tomar el valor asignado a cada fuente de suministro incluida en el contrato, con la que se garantiza el servicio de suministro de gas natural, sin interrupciones, durante un período determinado, excepto en los días establecidos para mantenimiento y labores programadas. Lo anterior independientemente de la denominación que se haya utilizado para definir el</w:t>
      </w:r>
      <w:r w:rsidRPr="008765CC">
        <w:rPr>
          <w:rFonts w:ascii="Bookman Old Style" w:hAnsi="Bookman Old Style"/>
          <w:b/>
          <w:bCs/>
        </w:rPr>
        <w:t xml:space="preserve"> contrato de suministro que se desea registrar.</w:t>
      </w:r>
    </w:p>
    <w:p w14:paraId="7D866EB6" w14:textId="2952343B" w:rsidR="00574A62" w:rsidRDefault="00574A62" w:rsidP="0006302B">
      <w:pPr>
        <w:autoSpaceDE w:val="0"/>
        <w:autoSpaceDN w:val="0"/>
        <w:adjustRightInd w:val="0"/>
        <w:ind w:left="1701"/>
        <w:jc w:val="both"/>
        <w:rPr>
          <w:rFonts w:ascii="Bookman Old Style" w:hAnsi="Bookman Old Style"/>
          <w:b/>
          <w:bCs/>
        </w:rPr>
      </w:pPr>
    </w:p>
    <w:p w14:paraId="7BDCA26C" w14:textId="58B9270A" w:rsidR="0006302B" w:rsidRPr="007E56EE" w:rsidRDefault="0006302B" w:rsidP="007E56EE">
      <w:pPr>
        <w:pStyle w:val="Prrafodelista"/>
        <w:numPr>
          <w:ilvl w:val="0"/>
          <w:numId w:val="23"/>
        </w:numPr>
        <w:autoSpaceDE w:val="0"/>
        <w:autoSpaceDN w:val="0"/>
        <w:adjustRightInd w:val="0"/>
        <w:ind w:hanging="579"/>
        <w:jc w:val="both"/>
        <w:rPr>
          <w:rFonts w:ascii="Bookman Old Style" w:hAnsi="Bookman Old Style"/>
          <w:color w:val="000000" w:themeColor="text1"/>
          <w:sz w:val="24"/>
          <w:szCs w:val="24"/>
          <w:lang w:eastAsia="es-ES"/>
        </w:rPr>
      </w:pPr>
      <w:r w:rsidRPr="007E56EE">
        <w:rPr>
          <w:rFonts w:ascii="Bookman Old Style" w:hAnsi="Bookman Old Style"/>
          <w:color w:val="000000" w:themeColor="text1"/>
          <w:sz w:val="24"/>
          <w:szCs w:val="24"/>
          <w:lang w:eastAsia="es-ES"/>
        </w:rPr>
        <w:t xml:space="preserve">Para efectos de la verificación, el </w:t>
      </w:r>
      <w:r w:rsidR="00401E76" w:rsidRPr="007E56EE">
        <w:rPr>
          <w:rFonts w:ascii="Bookman Old Style" w:hAnsi="Bookman Old Style"/>
          <w:sz w:val="24"/>
          <w:szCs w:val="24"/>
        </w:rPr>
        <w:t>Gestor</w:t>
      </w:r>
      <w:r w:rsidR="00401E76" w:rsidRPr="007E56EE" w:rsidDel="00E53E99">
        <w:rPr>
          <w:color w:val="FF0000"/>
          <w:sz w:val="28"/>
        </w:rPr>
        <w:t xml:space="preserve"> </w:t>
      </w:r>
      <w:r w:rsidRPr="007E56EE">
        <w:rPr>
          <w:rFonts w:ascii="Bookman Old Style" w:hAnsi="Bookman Old Style"/>
          <w:color w:val="000000" w:themeColor="text1"/>
          <w:sz w:val="24"/>
          <w:szCs w:val="24"/>
          <w:lang w:eastAsia="es-ES"/>
        </w:rPr>
        <w:t>del Mercado podrá contrastar la información declarada por los Participantes del mercado con la contenida en los contratos de suministro.</w:t>
      </w:r>
    </w:p>
    <w:p w14:paraId="6CC264C9" w14:textId="77777777" w:rsidR="00574A62" w:rsidRPr="007E56EE" w:rsidRDefault="00574A62" w:rsidP="00574A62">
      <w:pPr>
        <w:pStyle w:val="Prrafodelista"/>
        <w:autoSpaceDE w:val="0"/>
        <w:autoSpaceDN w:val="0"/>
        <w:adjustRightInd w:val="0"/>
        <w:ind w:left="1713"/>
        <w:jc w:val="both"/>
        <w:rPr>
          <w:rFonts w:ascii="Bookman Old Style" w:hAnsi="Bookman Old Style"/>
          <w:color w:val="000000" w:themeColor="text1"/>
          <w:sz w:val="24"/>
          <w:szCs w:val="24"/>
          <w:lang w:eastAsia="es-ES"/>
        </w:rPr>
      </w:pPr>
    </w:p>
    <w:p w14:paraId="559B59D2" w14:textId="70C5DEA3" w:rsidR="00574A62" w:rsidRPr="007E56EE" w:rsidRDefault="00574A62" w:rsidP="007E56EE">
      <w:pPr>
        <w:pStyle w:val="ARTICULOS"/>
        <w:numPr>
          <w:ilvl w:val="0"/>
          <w:numId w:val="0"/>
        </w:numPr>
        <w:tabs>
          <w:tab w:val="clear" w:pos="1559"/>
        </w:tabs>
        <w:ind w:left="1134"/>
        <w:rPr>
          <w:b/>
          <w:bCs w:val="0"/>
          <w:lang w:val="es-CO"/>
        </w:rPr>
      </w:pPr>
      <w:r w:rsidRPr="007E56EE">
        <w:rPr>
          <w:b/>
          <w:bCs w:val="0"/>
          <w:color w:val="000000" w:themeColor="text1"/>
          <w:lang w:eastAsia="es-ES"/>
        </w:rPr>
        <w:t xml:space="preserve">En el caso del registro de los contratos con interrupciones, </w:t>
      </w:r>
      <w:r w:rsidRPr="007E56EE">
        <w:rPr>
          <w:b/>
          <w:bCs w:val="0"/>
          <w:lang w:val="es-CO"/>
        </w:rPr>
        <w:t xml:space="preserve">el Gestor del Mercado deberá validar que se cumplan los topes establecidos en el </w:t>
      </w:r>
      <w:r w:rsidR="00472EF2">
        <w:rPr>
          <w:b/>
          <w:bCs w:val="0"/>
          <w:lang w:val="es-CO"/>
        </w:rPr>
        <w:t xml:space="preserve">numeral 8 </w:t>
      </w:r>
      <w:r w:rsidRPr="007E56EE">
        <w:rPr>
          <w:b/>
          <w:bCs w:val="0"/>
          <w:lang w:val="es-CO"/>
        </w:rPr>
        <w:t xml:space="preserve">del </w:t>
      </w:r>
      <w:r w:rsidR="00590848">
        <w:rPr>
          <w:b/>
          <w:bCs w:val="0"/>
          <w:lang w:val="es-CO"/>
        </w:rPr>
        <w:t>a</w:t>
      </w:r>
      <w:r w:rsidRPr="007E56EE">
        <w:rPr>
          <w:b/>
          <w:bCs w:val="0"/>
          <w:lang w:val="es-CO"/>
        </w:rPr>
        <w:t>rtículo 3</w:t>
      </w:r>
      <w:r w:rsidR="00472EF2">
        <w:rPr>
          <w:b/>
          <w:bCs w:val="0"/>
          <w:lang w:val="es-CO"/>
        </w:rPr>
        <w:t>7</w:t>
      </w:r>
      <w:r w:rsidRPr="007E56EE">
        <w:rPr>
          <w:b/>
          <w:bCs w:val="0"/>
          <w:lang w:val="es-CO"/>
        </w:rPr>
        <w:t xml:space="preserve"> de la presente resolución cuando los agentes proceden al registro de un contrato. En caso de que el Gestor del Mercado encuentre que no se cumplen los topes, este deberá informárselo al Vendedor del Mercado Primario, dentro de las 24 horas siguientes a su recibo, para que rectifique. Cuando no sea posible la rectificación</w:t>
      </w:r>
      <w:r w:rsidR="004B2CDB" w:rsidRPr="007E56EE">
        <w:rPr>
          <w:b/>
          <w:bCs w:val="0"/>
          <w:lang w:val="es-CO"/>
        </w:rPr>
        <w:t>,</w:t>
      </w:r>
      <w:r w:rsidRPr="007E56EE">
        <w:rPr>
          <w:b/>
          <w:bCs w:val="0"/>
          <w:lang w:val="es-CO"/>
        </w:rPr>
        <w:t xml:space="preserve"> el Gestor del Mercado deberá abstenerse de registrar el contrato, no podrá tenerlo en cuenta para efectos de publicación y deberá informar dicha situación a las partes involucradas y a los órganos responsables de la inspección, vigilancia y control.   </w:t>
      </w:r>
    </w:p>
    <w:p w14:paraId="5A50071D"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4B2DC35E" w14:textId="77777777" w:rsidR="0006302B" w:rsidRPr="007E56EE" w:rsidRDefault="0006302B" w:rsidP="00A4790E">
      <w:pPr>
        <w:numPr>
          <w:ilvl w:val="0"/>
          <w:numId w:val="39"/>
        </w:numPr>
        <w:autoSpaceDE w:val="0"/>
        <w:autoSpaceDN w:val="0"/>
        <w:adjustRightInd w:val="0"/>
        <w:ind w:left="1134" w:hanging="567"/>
        <w:jc w:val="both"/>
        <w:rPr>
          <w:rFonts w:ascii="Bookman Old Style" w:hAnsi="Bookman Old Style" w:cs="Arial"/>
          <w:color w:val="000000" w:themeColor="text1"/>
          <w:lang w:val="es-CO"/>
        </w:rPr>
      </w:pPr>
      <w:bookmarkStart w:id="109" w:name="_Ref335641149"/>
      <w:r w:rsidRPr="007E56EE">
        <w:rPr>
          <w:rFonts w:ascii="Bookman Old Style" w:hAnsi="Bookman Old Style" w:cs="Arial"/>
          <w:color w:val="000000" w:themeColor="text1"/>
          <w:lang w:val="es-CO"/>
        </w:rPr>
        <w:t>Registro de contratos</w:t>
      </w:r>
    </w:p>
    <w:p w14:paraId="35ACD334" w14:textId="77777777" w:rsidR="0006302B" w:rsidRPr="007E56EE" w:rsidRDefault="0006302B" w:rsidP="0006302B">
      <w:pPr>
        <w:autoSpaceDE w:val="0"/>
        <w:autoSpaceDN w:val="0"/>
        <w:adjustRightInd w:val="0"/>
        <w:ind w:left="1134"/>
        <w:jc w:val="both"/>
        <w:rPr>
          <w:rFonts w:ascii="Bookman Old Style" w:hAnsi="Bookman Old Style" w:cs="Arial"/>
          <w:color w:val="000000" w:themeColor="text1"/>
          <w:lang w:val="es-CO"/>
        </w:rPr>
      </w:pPr>
    </w:p>
    <w:p w14:paraId="422F3481" w14:textId="1C763FA9"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lastRenderedPageBreak/>
        <w:t>El registro de los contratos del mercado primario</w:t>
      </w:r>
      <w:r w:rsidRPr="0013707D">
        <w:rPr>
          <w:rFonts w:ascii="Bookman Old Style" w:hAnsi="Bookman Old Style"/>
          <w:color w:val="000000" w:themeColor="text1"/>
          <w:lang w:val="es-CO"/>
        </w:rPr>
        <w:t xml:space="preserve"> se iniciará a partir de la fecha en que 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inicie la prestación de sus servicios.</w:t>
      </w:r>
    </w:p>
    <w:p w14:paraId="27FDFEB3"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5620D797" w14:textId="2A859C53" w:rsidR="0006302B" w:rsidRPr="00DF0CA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registrará cada contrato del mercado primario una vez haya verificado que la información declarada por el </w:t>
      </w:r>
      <w:r>
        <w:rPr>
          <w:rFonts w:ascii="Bookman Old Style" w:hAnsi="Bookman Old Style"/>
          <w:color w:val="000000" w:themeColor="text1"/>
          <w:lang w:val="es-CO"/>
        </w:rPr>
        <w:t xml:space="preserve">comprador </w:t>
      </w:r>
      <w:r w:rsidRPr="0013707D">
        <w:rPr>
          <w:rFonts w:ascii="Bookman Old Style" w:hAnsi="Bookman Old Style"/>
          <w:color w:val="000000" w:themeColor="text1"/>
          <w:lang w:val="es-CO"/>
        </w:rPr>
        <w:t xml:space="preserve">es consistente con la información declarada por el vendedor, según lo señalado en el literal </w:t>
      </w:r>
      <w:r w:rsidRPr="0013707D">
        <w:rPr>
          <w:rFonts w:ascii="Bookman Old Style" w:hAnsi="Bookman Old Style"/>
          <w:color w:val="000000" w:themeColor="text1"/>
          <w:lang w:val="es-CO"/>
        </w:rPr>
        <w:fldChar w:fldCharType="begin"/>
      </w:r>
      <w:r w:rsidRPr="0013707D">
        <w:rPr>
          <w:rFonts w:ascii="Bookman Old Style" w:hAnsi="Bookman Old Style"/>
          <w:color w:val="000000" w:themeColor="text1"/>
          <w:lang w:val="es-CO"/>
        </w:rPr>
        <w:instrText xml:space="preserve"> REF _Ref337708140 \r \h  \* MERGEFORMAT </w:instrText>
      </w:r>
      <w:r w:rsidRPr="0013707D">
        <w:rPr>
          <w:rFonts w:ascii="Bookman Old Style" w:hAnsi="Bookman Old Style"/>
          <w:color w:val="000000" w:themeColor="text1"/>
          <w:lang w:val="es-CO"/>
        </w:rPr>
      </w:r>
      <w:r w:rsidRPr="0013707D">
        <w:rPr>
          <w:rFonts w:ascii="Bookman Old Style" w:hAnsi="Bookman Old Style"/>
          <w:color w:val="000000" w:themeColor="text1"/>
          <w:lang w:val="es-CO"/>
        </w:rPr>
        <w:fldChar w:fldCharType="separate"/>
      </w:r>
      <w:r w:rsidR="00636B6A">
        <w:rPr>
          <w:rFonts w:ascii="Bookman Old Style" w:hAnsi="Bookman Old Style"/>
          <w:color w:val="000000" w:themeColor="text1"/>
          <w:lang w:val="es-CO"/>
        </w:rPr>
        <w:t>a)</w:t>
      </w:r>
      <w:r w:rsidRPr="0013707D">
        <w:rPr>
          <w:rFonts w:ascii="Bookman Old Style" w:hAnsi="Bookman Old Style"/>
          <w:color w:val="000000" w:themeColor="text1"/>
          <w:lang w:val="es-CO"/>
        </w:rPr>
        <w:fldChar w:fldCharType="end"/>
      </w:r>
      <w:r w:rsidRPr="0013707D">
        <w:rPr>
          <w:rFonts w:ascii="Bookman Old Style" w:hAnsi="Bookman Old Style"/>
          <w:color w:val="000000" w:themeColor="text1"/>
          <w:lang w:val="es-CO"/>
        </w:rPr>
        <w:t xml:space="preserve"> de este numeral</w:t>
      </w:r>
      <w:r w:rsidR="00B641C3">
        <w:rPr>
          <w:rFonts w:ascii="Bookman Old Style" w:hAnsi="Bookman Old Style"/>
          <w:color w:val="000000" w:themeColor="text1"/>
          <w:lang w:val="es-CO"/>
        </w:rPr>
        <w:t>.</w:t>
      </w:r>
      <w:r w:rsidRPr="00DF0CAD">
        <w:rPr>
          <w:rFonts w:ascii="Bookman Old Style" w:hAnsi="Bookman Old Style"/>
          <w:color w:val="000000" w:themeColor="text1"/>
          <w:lang w:val="es-CO"/>
        </w:rPr>
        <w:t xml:space="preserve"> 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sidRPr="00DF0CAD">
        <w:rPr>
          <w:rFonts w:ascii="Bookman Old Style" w:hAnsi="Bookman Old Style"/>
          <w:color w:val="000000" w:themeColor="text1"/>
          <w:lang w:val="es-CO"/>
        </w:rPr>
        <w:t>del Mercado asignará un número de registro a cada contrato registrado.</w:t>
      </w:r>
    </w:p>
    <w:p w14:paraId="44FBAF65" w14:textId="77777777" w:rsidR="0006302B" w:rsidRPr="00DF0CAD" w:rsidRDefault="0006302B" w:rsidP="0006302B">
      <w:pPr>
        <w:autoSpaceDE w:val="0"/>
        <w:autoSpaceDN w:val="0"/>
        <w:adjustRightInd w:val="0"/>
        <w:ind w:left="1134"/>
        <w:jc w:val="both"/>
        <w:rPr>
          <w:rFonts w:ascii="Bookman Old Style" w:hAnsi="Bookman Old Style" w:cs="Arial"/>
          <w:color w:val="000000" w:themeColor="text1"/>
          <w:lang w:val="es-CO"/>
        </w:rPr>
      </w:pPr>
    </w:p>
    <w:p w14:paraId="068492FB" w14:textId="07FD12A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r w:rsidRPr="00DF0CAD">
        <w:rPr>
          <w:rFonts w:ascii="Bookman Old Style" w:hAnsi="Bookman Old Style"/>
          <w:color w:val="000000" w:themeColor="text1"/>
          <w:lang w:val="es-CO"/>
        </w:rPr>
        <w:t xml:space="preserve">Para el caso de los contratos que se suscriban con posterioridad a la fecha mencionada en el primer inciso de este literal, la declaración de la información señalada en </w:t>
      </w:r>
      <w:r w:rsidRPr="00D66B65">
        <w:rPr>
          <w:rFonts w:ascii="Bookman Old Style" w:hAnsi="Bookman Old Style" w:cs="Arial"/>
          <w:color w:val="000000" w:themeColor="text1"/>
          <w:lang w:val="es-CO"/>
        </w:rPr>
        <w:t xml:space="preserve">literal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_Ref334698398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a)</w:t>
      </w:r>
      <w:r w:rsidRPr="00D66B65">
        <w:rPr>
          <w:rFonts w:ascii="Bookman Old Style" w:hAnsi="Bookman Old Style" w:cs="Arial"/>
          <w:color w:val="000000" w:themeColor="text1"/>
          <w:lang w:val="es-CO"/>
        </w:rPr>
        <w:fldChar w:fldCharType="end"/>
      </w:r>
      <w:r w:rsidRPr="00D66B65">
        <w:rPr>
          <w:rFonts w:ascii="Bookman Old Style" w:hAnsi="Bookman Old Style" w:cs="Arial"/>
          <w:color w:val="000000" w:themeColor="text1"/>
          <w:lang w:val="es-CO"/>
        </w:rPr>
        <w:t xml:space="preserve"> d</w:t>
      </w:r>
      <w:r w:rsidRPr="00D66B65">
        <w:rPr>
          <w:rFonts w:ascii="Bookman Old Style" w:hAnsi="Bookman Old Style"/>
          <w:color w:val="000000" w:themeColor="text1"/>
          <w:lang w:val="es-CO"/>
        </w:rPr>
        <w:t xml:space="preserve">el </w:t>
      </w:r>
      <w:r w:rsidRPr="00D66B65">
        <w:rPr>
          <w:rFonts w:ascii="Bookman Old Style" w:hAnsi="Bookman Old Style" w:cs="Arial"/>
          <w:color w:val="000000" w:themeColor="text1"/>
          <w:lang w:val="es-CO"/>
        </w:rPr>
        <w:t xml:space="preserve">numeral </w:t>
      </w:r>
      <w:r w:rsidRPr="00D66B65">
        <w:rPr>
          <w:rFonts w:ascii="Bookman Old Style" w:hAnsi="Bookman Old Style" w:cs="Arial"/>
          <w:color w:val="000000" w:themeColor="text1"/>
          <w:lang w:val="es-CO"/>
        </w:rPr>
        <w:fldChar w:fldCharType="begin"/>
      </w:r>
      <w:r w:rsidRPr="00D66B65">
        <w:rPr>
          <w:rFonts w:ascii="Bookman Old Style" w:hAnsi="Bookman Old Style" w:cs="Arial"/>
          <w:color w:val="000000" w:themeColor="text1"/>
          <w:lang w:val="es-CO"/>
        </w:rPr>
        <w:instrText xml:space="preserve"> REF _Ref334698400 \r \h  \* MERGEFORMAT </w:instrText>
      </w:r>
      <w:r w:rsidRPr="00D66B65">
        <w:rPr>
          <w:rFonts w:ascii="Bookman Old Style" w:hAnsi="Bookman Old Style" w:cs="Arial"/>
          <w:color w:val="000000" w:themeColor="text1"/>
          <w:lang w:val="es-CO"/>
        </w:rPr>
      </w:r>
      <w:r w:rsidRPr="00D66B65">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1.1</w:t>
      </w:r>
      <w:r w:rsidRPr="00D66B65">
        <w:rPr>
          <w:rFonts w:ascii="Bookman Old Style" w:hAnsi="Bookman Old Style" w:cs="Arial"/>
          <w:color w:val="000000" w:themeColor="text1"/>
          <w:lang w:val="es-CO"/>
        </w:rPr>
        <w:fldChar w:fldCharType="end"/>
      </w:r>
      <w:r w:rsidRPr="00DF0CAD">
        <w:rPr>
          <w:rFonts w:ascii="Bookman Old Style" w:hAnsi="Bookman Old Style" w:cs="Arial"/>
          <w:color w:val="000000" w:themeColor="text1"/>
          <w:lang w:val="es-CO"/>
        </w:rPr>
        <w:t xml:space="preserve"> este Anexo </w:t>
      </w:r>
      <w:r w:rsidRPr="00DF0CAD">
        <w:rPr>
          <w:rFonts w:ascii="Bookman Old Style" w:hAnsi="Bookman Old Style"/>
          <w:color w:val="000000" w:themeColor="text1"/>
          <w:lang w:val="es-CO"/>
        </w:rPr>
        <w:t xml:space="preserve">se deberá realizar dentro de los </w:t>
      </w:r>
      <w:r w:rsidR="00247851" w:rsidRPr="00295053">
        <w:rPr>
          <w:rFonts w:ascii="Bookman Old Style" w:hAnsi="Bookman Old Style"/>
          <w:b/>
          <w:bCs/>
          <w:color w:val="000000" w:themeColor="text1"/>
          <w:lang w:val="es-CO"/>
        </w:rPr>
        <w:t xml:space="preserve">plazos establecidos en la presente resolución, por lo que de no hacerse en dichos plazos el contrato no podrá ser registrado </w:t>
      </w:r>
      <w:r w:rsidR="00972AF9">
        <w:rPr>
          <w:rFonts w:ascii="Bookman Old Style" w:hAnsi="Bookman Old Style"/>
          <w:b/>
          <w:bCs/>
          <w:color w:val="000000" w:themeColor="text1"/>
          <w:lang w:val="es-CO"/>
        </w:rPr>
        <w:t>en el trimestre de negociación</w:t>
      </w:r>
      <w:r w:rsidR="00247851" w:rsidRPr="00295053">
        <w:rPr>
          <w:rFonts w:ascii="Bookman Old Style" w:hAnsi="Bookman Old Style"/>
          <w:b/>
          <w:bCs/>
          <w:color w:val="000000" w:themeColor="text1"/>
          <w:lang w:val="es-CO"/>
        </w:rPr>
        <w:t>, excepto en condiciones extraordin</w:t>
      </w:r>
      <w:r w:rsidR="00247851">
        <w:rPr>
          <w:rFonts w:ascii="Bookman Old Style" w:hAnsi="Bookman Old Style"/>
          <w:b/>
          <w:bCs/>
          <w:color w:val="000000" w:themeColor="text1"/>
          <w:lang w:val="es-CO"/>
        </w:rPr>
        <w:t>arias de fuerza mayor</w:t>
      </w:r>
      <w:r w:rsidR="00972AF9">
        <w:rPr>
          <w:rFonts w:ascii="Bookman Old Style" w:hAnsi="Bookman Old Style"/>
          <w:b/>
          <w:bCs/>
          <w:color w:val="000000" w:themeColor="text1"/>
          <w:lang w:val="es-CO"/>
        </w:rPr>
        <w:t>, las cantidades comprometidas de venta y de compra quedarán liberadas para ser comercializadas en el siguiente trimestre de negociación</w:t>
      </w:r>
      <w:r w:rsidRPr="00DF0CAD">
        <w:rPr>
          <w:rFonts w:ascii="Bookman Old Style" w:hAnsi="Bookman Old Style"/>
          <w:color w:val="000000" w:themeColor="text1"/>
          <w:lang w:val="es-CO"/>
        </w:rPr>
        <w:t xml:space="preserve">. 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sidRPr="00DF0CAD">
        <w:rPr>
          <w:rFonts w:ascii="Bookman Old Style" w:hAnsi="Bookman Old Style"/>
          <w:color w:val="000000" w:themeColor="text1"/>
          <w:lang w:val="es-CO"/>
        </w:rPr>
        <w:t>del Mercado dispondrá de hasta tres (3) días hábiles, contados a partir del recibo</w:t>
      </w:r>
      <w:r w:rsidRPr="0013707D">
        <w:rPr>
          <w:rFonts w:ascii="Bookman Old Style" w:hAnsi="Bookman Old Style"/>
          <w:color w:val="000000" w:themeColor="text1"/>
          <w:lang w:val="es-CO"/>
        </w:rPr>
        <w:t xml:space="preserve"> de la última de las declaraciones presentadas por las partes de cada contrato, para verificar la información, registrar el contrato cuando proceda y actualizar la </w:t>
      </w:r>
      <w:r w:rsidRPr="007E56EE">
        <w:rPr>
          <w:rFonts w:ascii="Bookman Old Style" w:hAnsi="Bookman Old Style"/>
          <w:color w:val="000000" w:themeColor="text1"/>
          <w:lang w:val="es-CO"/>
        </w:rPr>
        <w:t>lista de contratos registrados.</w:t>
      </w:r>
    </w:p>
    <w:p w14:paraId="24B7CEF2" w14:textId="3A8ADF39" w:rsidR="001F27DF" w:rsidRPr="007E56EE" w:rsidRDefault="001F27DF" w:rsidP="0006302B">
      <w:pPr>
        <w:autoSpaceDE w:val="0"/>
        <w:autoSpaceDN w:val="0"/>
        <w:adjustRightInd w:val="0"/>
        <w:ind w:left="1134"/>
        <w:jc w:val="both"/>
        <w:rPr>
          <w:rFonts w:ascii="Bookman Old Style" w:hAnsi="Bookman Old Style"/>
          <w:color w:val="000000" w:themeColor="text1"/>
          <w:lang w:val="es-CO"/>
        </w:rPr>
      </w:pPr>
    </w:p>
    <w:p w14:paraId="7CA26838" w14:textId="382EA17C" w:rsidR="001F27DF" w:rsidRPr="007E56EE" w:rsidRDefault="001F27DF" w:rsidP="0006302B">
      <w:pPr>
        <w:autoSpaceDE w:val="0"/>
        <w:autoSpaceDN w:val="0"/>
        <w:adjustRightInd w:val="0"/>
        <w:ind w:left="1134"/>
        <w:jc w:val="both"/>
        <w:rPr>
          <w:rFonts w:ascii="Bookman Old Style" w:hAnsi="Bookman Old Style"/>
          <w:b/>
          <w:bCs/>
          <w:color w:val="000000" w:themeColor="text1"/>
          <w:lang w:val="es-CO"/>
        </w:rPr>
      </w:pPr>
      <w:r w:rsidRPr="007E56EE">
        <w:rPr>
          <w:rFonts w:ascii="Bookman Old Style" w:hAnsi="Bookman Old Style"/>
          <w:b/>
          <w:bCs/>
          <w:color w:val="000000" w:themeColor="text1"/>
          <w:lang w:val="es-CO"/>
        </w:rPr>
        <w:t>Una vez iniciado el registro del contrato por una de las partes, la otra parte dispondrá de, como máximo de un (1) día hábil para efectuar el registro de dicho contrato. En caso de que ello no ocurra, el Gestor del Mercado se abstendrá de realizar dicho registro</w:t>
      </w:r>
      <w:r w:rsidR="00D91F31" w:rsidRPr="007E56EE">
        <w:rPr>
          <w:rFonts w:ascii="Bookman Old Style" w:hAnsi="Bookman Old Style"/>
          <w:b/>
          <w:bCs/>
          <w:color w:val="000000" w:themeColor="text1"/>
          <w:lang w:val="es-CO"/>
        </w:rPr>
        <w:t xml:space="preserve"> para esa oportunidad. En caso de que no se registre el contrato antes del plazo máximo establecido para ello</w:t>
      </w:r>
      <w:r w:rsidR="00E22976" w:rsidRPr="007E56EE">
        <w:rPr>
          <w:rFonts w:ascii="Bookman Old Style" w:hAnsi="Bookman Old Style"/>
          <w:b/>
          <w:bCs/>
          <w:color w:val="000000" w:themeColor="text1"/>
          <w:lang w:val="es-CO"/>
        </w:rPr>
        <w:t>,</w:t>
      </w:r>
      <w:r w:rsidR="00B14726" w:rsidRPr="007E56EE">
        <w:rPr>
          <w:rFonts w:ascii="Bookman Old Style" w:hAnsi="Bookman Old Style"/>
          <w:b/>
          <w:bCs/>
          <w:color w:val="000000" w:themeColor="text1"/>
          <w:lang w:val="es-CO"/>
        </w:rPr>
        <w:t xml:space="preserve"> de acuerdo con lo establecido en el </w:t>
      </w:r>
      <w:r w:rsidR="0054070E">
        <w:rPr>
          <w:rFonts w:ascii="Bookman Old Style" w:hAnsi="Bookman Old Style"/>
          <w:b/>
          <w:bCs/>
          <w:color w:val="000000" w:themeColor="text1"/>
          <w:lang w:val="es-CO"/>
        </w:rPr>
        <w:t>a</w:t>
      </w:r>
      <w:r w:rsidR="00B14726" w:rsidRPr="007E56EE">
        <w:rPr>
          <w:rFonts w:ascii="Bookman Old Style" w:hAnsi="Bookman Old Style"/>
          <w:b/>
          <w:bCs/>
          <w:color w:val="000000" w:themeColor="text1"/>
          <w:lang w:val="es-CO"/>
        </w:rPr>
        <w:t xml:space="preserve">rtículo </w:t>
      </w:r>
      <w:r w:rsidR="00472EF2">
        <w:rPr>
          <w:rFonts w:ascii="Bookman Old Style" w:hAnsi="Bookman Old Style"/>
          <w:b/>
          <w:bCs/>
          <w:color w:val="000000" w:themeColor="text1"/>
          <w:lang w:val="es-CO"/>
        </w:rPr>
        <w:t>22</w:t>
      </w:r>
      <w:r w:rsidR="00B14726" w:rsidRPr="007E56EE">
        <w:rPr>
          <w:rFonts w:ascii="Bookman Old Style" w:hAnsi="Bookman Old Style"/>
          <w:b/>
          <w:bCs/>
          <w:color w:val="000000" w:themeColor="text1"/>
          <w:lang w:val="es-CO"/>
        </w:rPr>
        <w:t xml:space="preserve"> de la presente Resolución</w:t>
      </w:r>
      <w:r w:rsidRPr="007E56EE">
        <w:rPr>
          <w:rFonts w:ascii="Bookman Old Style" w:hAnsi="Bookman Old Style"/>
          <w:b/>
          <w:bCs/>
          <w:color w:val="000000" w:themeColor="text1"/>
          <w:lang w:val="es-CO"/>
        </w:rPr>
        <w:t>, las cantidades comprometidas deberá</w:t>
      </w:r>
      <w:r w:rsidR="00D91F31" w:rsidRPr="007E56EE">
        <w:rPr>
          <w:rFonts w:ascii="Bookman Old Style" w:hAnsi="Bookman Old Style"/>
          <w:b/>
          <w:bCs/>
          <w:color w:val="000000" w:themeColor="text1"/>
          <w:lang w:val="es-CO"/>
        </w:rPr>
        <w:t>n</w:t>
      </w:r>
      <w:r w:rsidRPr="007E56EE">
        <w:rPr>
          <w:rFonts w:ascii="Bookman Old Style" w:hAnsi="Bookman Old Style"/>
          <w:b/>
          <w:bCs/>
          <w:color w:val="000000" w:themeColor="text1"/>
          <w:lang w:val="es-CO"/>
        </w:rPr>
        <w:t xml:space="preserve"> pasar a hacer parte de la información que se debe reportar de acuerdo con el numeral 1 del </w:t>
      </w:r>
      <w:r w:rsidR="00B14726" w:rsidRPr="007E56EE">
        <w:rPr>
          <w:rFonts w:ascii="Bookman Old Style" w:hAnsi="Bookman Old Style"/>
          <w:b/>
          <w:bCs/>
          <w:color w:val="000000" w:themeColor="text1"/>
          <w:lang w:val="es-CO"/>
        </w:rPr>
        <w:t xml:space="preserve">dicho </w:t>
      </w:r>
      <w:r w:rsidR="0054070E">
        <w:rPr>
          <w:rFonts w:ascii="Bookman Old Style" w:hAnsi="Bookman Old Style"/>
          <w:b/>
          <w:bCs/>
          <w:color w:val="000000" w:themeColor="text1"/>
          <w:lang w:val="es-CO"/>
        </w:rPr>
        <w:t>a</w:t>
      </w:r>
      <w:r w:rsidR="00B14726" w:rsidRPr="007E56EE">
        <w:rPr>
          <w:rFonts w:ascii="Bookman Old Style" w:hAnsi="Bookman Old Style"/>
          <w:b/>
          <w:bCs/>
          <w:color w:val="000000" w:themeColor="text1"/>
          <w:lang w:val="es-CO"/>
        </w:rPr>
        <w:t>rtículo</w:t>
      </w:r>
      <w:r w:rsidR="00D91F31" w:rsidRPr="007E56EE">
        <w:rPr>
          <w:rFonts w:ascii="Bookman Old Style" w:hAnsi="Bookman Old Style"/>
          <w:b/>
          <w:bCs/>
          <w:color w:val="000000" w:themeColor="text1"/>
          <w:lang w:val="es-CO"/>
        </w:rPr>
        <w:t>.</w:t>
      </w:r>
    </w:p>
    <w:p w14:paraId="27076022" w14:textId="77777777" w:rsidR="0006302B" w:rsidRPr="007E56EE" w:rsidRDefault="0006302B" w:rsidP="0006302B">
      <w:pPr>
        <w:autoSpaceDE w:val="0"/>
        <w:autoSpaceDN w:val="0"/>
        <w:adjustRightInd w:val="0"/>
        <w:ind w:left="1134"/>
        <w:jc w:val="both"/>
        <w:rPr>
          <w:rFonts w:ascii="Bookman Old Style" w:hAnsi="Bookman Old Style" w:cs="Arial"/>
          <w:color w:val="000000" w:themeColor="text1"/>
          <w:lang w:val="es-CO"/>
        </w:rPr>
      </w:pPr>
    </w:p>
    <w:p w14:paraId="60FFADA0" w14:textId="5C05B06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 xml:space="preserve">Los Vendedores del Mercado Primario no podrán aceptar las nominaciones ni podrán entregar las cantidades correspondientes a contratos que no estén registrados ante el </w:t>
      </w:r>
      <w:r w:rsidR="00B641C3" w:rsidRPr="007E56EE">
        <w:rPr>
          <w:rFonts w:ascii="Bookman Old Style" w:hAnsi="Bookman Old Style"/>
          <w:lang w:val="es-CO"/>
        </w:rPr>
        <w:t>Gestor</w:t>
      </w:r>
      <w:r w:rsidR="00B641C3" w:rsidRPr="007E56EE" w:rsidDel="00E53E99">
        <w:rPr>
          <w:color w:val="FF0000"/>
          <w:sz w:val="28"/>
          <w:lang w:val="es-CO"/>
        </w:rPr>
        <w:t xml:space="preserve"> </w:t>
      </w:r>
      <w:r w:rsidRPr="007E56EE">
        <w:rPr>
          <w:rFonts w:ascii="Bookman Old Style" w:hAnsi="Bookman Old Style"/>
          <w:color w:val="000000" w:themeColor="text1"/>
          <w:lang w:val="es-CO"/>
        </w:rPr>
        <w:t xml:space="preserve">del Mercado. </w:t>
      </w:r>
    </w:p>
    <w:p w14:paraId="4BB4B295" w14:textId="77777777" w:rsidR="0006302B" w:rsidRPr="007E56EE" w:rsidRDefault="0006302B" w:rsidP="0006302B">
      <w:pPr>
        <w:autoSpaceDE w:val="0"/>
        <w:autoSpaceDN w:val="0"/>
        <w:adjustRightInd w:val="0"/>
        <w:ind w:left="1134"/>
        <w:jc w:val="both"/>
        <w:rPr>
          <w:rFonts w:ascii="Bookman Old Style" w:hAnsi="Bookman Old Style"/>
          <w:color w:val="000000" w:themeColor="text1"/>
          <w:lang w:val="es-CO"/>
        </w:rPr>
      </w:pPr>
    </w:p>
    <w:p w14:paraId="6E33E7B3" w14:textId="6C7A750C"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7E56EE">
        <w:rPr>
          <w:rFonts w:ascii="Bookman Old Style" w:hAnsi="Bookman Old Style"/>
          <w:color w:val="000000" w:themeColor="text1"/>
          <w:lang w:val="es-CO"/>
        </w:rPr>
        <w:t>Para facilitar el cumplimiento de esta medida</w:t>
      </w:r>
      <w:r w:rsidRPr="0013707D">
        <w:rPr>
          <w:rFonts w:ascii="Bookman Old Style" w:hAnsi="Bookman Old Style"/>
          <w:color w:val="000000" w:themeColor="text1"/>
          <w:lang w:val="es-CO"/>
        </w:rPr>
        <w:t xml:space="preserve"> 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a través del BEC, pondrá a disposición de los </w:t>
      </w:r>
      <w:r>
        <w:rPr>
          <w:rFonts w:ascii="Bookman Old Style" w:hAnsi="Bookman Old Style"/>
          <w:color w:val="000000" w:themeColor="text1"/>
          <w:lang w:val="es-CO"/>
        </w:rPr>
        <w:t>P</w:t>
      </w:r>
      <w:r w:rsidRPr="0013707D">
        <w:rPr>
          <w:rFonts w:ascii="Bookman Old Style" w:hAnsi="Bookman Old Style"/>
          <w:color w:val="000000" w:themeColor="text1"/>
          <w:lang w:val="es-CO"/>
        </w:rPr>
        <w:t>articipantes del mercado que estén registrados en el BEC, la lista de sus contratos debidamente registrados.</w:t>
      </w:r>
    </w:p>
    <w:p w14:paraId="584CBB9B"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2C613A3" w14:textId="77777777" w:rsidR="0006302B" w:rsidRPr="0013707D" w:rsidRDefault="0006302B" w:rsidP="00A4790E">
      <w:pPr>
        <w:numPr>
          <w:ilvl w:val="0"/>
          <w:numId w:val="39"/>
        </w:numPr>
        <w:autoSpaceDE w:val="0"/>
        <w:autoSpaceDN w:val="0"/>
        <w:adjustRightInd w:val="0"/>
        <w:ind w:left="1134" w:hanging="567"/>
        <w:jc w:val="both"/>
        <w:rPr>
          <w:rFonts w:ascii="Bookman Old Style" w:hAnsi="Bookman Old Style" w:cs="Arial"/>
          <w:color w:val="000000" w:themeColor="text1"/>
          <w:lang w:val="es-CO"/>
        </w:rPr>
      </w:pPr>
      <w:bookmarkStart w:id="110" w:name="_Ref357004066"/>
      <w:r w:rsidRPr="0013707D">
        <w:rPr>
          <w:rFonts w:ascii="Bookman Old Style" w:hAnsi="Bookman Old Style" w:cs="Arial"/>
          <w:color w:val="000000" w:themeColor="text1"/>
          <w:lang w:val="es-CO"/>
        </w:rPr>
        <w:t>Publicación</w:t>
      </w:r>
      <w:bookmarkEnd w:id="109"/>
      <w:bookmarkEnd w:id="110"/>
    </w:p>
    <w:p w14:paraId="53EBFE06"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1F7D13A8" w14:textId="57197C39"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El </w:t>
      </w:r>
      <w:r w:rsidR="00B641C3" w:rsidRPr="00956510">
        <w:rPr>
          <w:rFonts w:ascii="Bookman Old Style" w:hAnsi="Bookman Old Style"/>
          <w:u w:color="FF0000"/>
          <w:lang w:val="es-CO"/>
        </w:rPr>
        <w:t>Gesto</w:t>
      </w:r>
      <w:r w:rsidR="00B641C3" w:rsidRPr="00E53E99">
        <w:rPr>
          <w:rFonts w:ascii="Bookman Old Style" w:hAnsi="Bookman Old Style"/>
          <w:u w:color="FF0000"/>
          <w:lang w:val="es-CO"/>
        </w:rPr>
        <w:t>r</w:t>
      </w:r>
      <w:r w:rsidR="00B641C3"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publicará la siguiente información en el BEC, con la periodicidad indicada:</w:t>
      </w:r>
    </w:p>
    <w:p w14:paraId="1C67E7F4"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593A3FE6" w14:textId="3541DE6B" w:rsidR="0006302B" w:rsidRPr="0013707D" w:rsidRDefault="0006302B" w:rsidP="00A4790E">
      <w:pPr>
        <w:pStyle w:val="Prrafodelista"/>
        <w:numPr>
          <w:ilvl w:val="0"/>
          <w:numId w:val="24"/>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La cantidad total de energía negociada mediante cada modalidad de contrato y para cada</w:t>
      </w:r>
      <w:r w:rsidR="00A919A8">
        <w:rPr>
          <w:rFonts w:ascii="Bookman Old Style" w:hAnsi="Bookman Old Style" w:cs="Arial"/>
          <w:color w:val="000000" w:themeColor="text1"/>
          <w:sz w:val="24"/>
          <w:szCs w:val="24"/>
          <w:lang w:eastAsia="es-ES"/>
        </w:rPr>
        <w:t xml:space="preserve"> Punto de Entrega</w:t>
      </w:r>
      <w:r w:rsidRPr="0013707D">
        <w:rPr>
          <w:rFonts w:ascii="Bookman Old Style" w:hAnsi="Bookman Old Style" w:cs="Arial"/>
          <w:color w:val="000000" w:themeColor="text1"/>
          <w:sz w:val="24"/>
          <w:szCs w:val="24"/>
          <w:lang w:eastAsia="es-ES"/>
        </w:rPr>
        <w:t xml:space="preserve">. Esta información se </w:t>
      </w:r>
      <w:r w:rsidRPr="002164C7">
        <w:rPr>
          <w:rFonts w:ascii="Bookman Old Style" w:hAnsi="Bookman Old Style" w:cs="Arial"/>
          <w:color w:val="000000" w:themeColor="text1"/>
          <w:sz w:val="24"/>
          <w:szCs w:val="24"/>
          <w:lang w:eastAsia="es-ES"/>
        </w:rPr>
        <w:t xml:space="preserve">actualizará cada vez que cambie la cantidad contratada bajo </w:t>
      </w:r>
      <w:r w:rsidRPr="002164C7">
        <w:rPr>
          <w:rFonts w:ascii="Bookman Old Style" w:hAnsi="Bookman Old Style" w:cs="Arial"/>
          <w:color w:val="000000" w:themeColor="text1"/>
          <w:sz w:val="24"/>
          <w:szCs w:val="24"/>
          <w:lang w:eastAsia="es-ES"/>
        </w:rPr>
        <w:lastRenderedPageBreak/>
        <w:t>alguna de las modalidades contractuales definidas en el</w:t>
      </w:r>
      <w:r w:rsidR="00210424">
        <w:rPr>
          <w:rFonts w:ascii="Bookman Old Style" w:hAnsi="Bookman Old Style" w:cs="Arial"/>
          <w:color w:val="000000" w:themeColor="text1"/>
          <w:sz w:val="24"/>
          <w:szCs w:val="24"/>
          <w:lang w:eastAsia="es-ES"/>
        </w:rPr>
        <w:t xml:space="preserve"> artículo 8</w:t>
      </w:r>
      <w:r w:rsidRPr="002164C7">
        <w:rPr>
          <w:rFonts w:ascii="Bookman Old Style" w:hAnsi="Bookman Old Style" w:cs="Arial"/>
          <w:color w:val="000000" w:themeColor="text1"/>
          <w:sz w:val="24"/>
          <w:szCs w:val="24"/>
          <w:lang w:eastAsia="es-ES"/>
        </w:rPr>
        <w:t xml:space="preserve"> de esta Resolución.</w:t>
      </w:r>
    </w:p>
    <w:p w14:paraId="2AB2469A" w14:textId="77777777" w:rsidR="0006302B" w:rsidRPr="0013707D"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144B58F1" w14:textId="1806406E" w:rsidR="0006302B" w:rsidRPr="00D641A5" w:rsidRDefault="0006302B" w:rsidP="00A4790E">
      <w:pPr>
        <w:pStyle w:val="Prrafodelista"/>
        <w:numPr>
          <w:ilvl w:val="0"/>
          <w:numId w:val="24"/>
        </w:numPr>
        <w:ind w:left="1701" w:hanging="567"/>
        <w:contextualSpacing/>
        <w:jc w:val="both"/>
        <w:rPr>
          <w:rFonts w:ascii="Bookman Old Style" w:hAnsi="Bookman Old Style" w:cs="Arial"/>
          <w:color w:val="000000" w:themeColor="text1"/>
          <w:sz w:val="24"/>
          <w:szCs w:val="24"/>
          <w:lang w:eastAsia="es-ES"/>
        </w:rPr>
      </w:pPr>
      <w:bookmarkStart w:id="111" w:name="_Ref335641158"/>
      <w:r w:rsidRPr="0013707D">
        <w:rPr>
          <w:rFonts w:ascii="Bookman Old Style" w:hAnsi="Bookman Old Style" w:cs="Arial"/>
          <w:color w:val="000000" w:themeColor="text1"/>
          <w:sz w:val="24"/>
          <w:szCs w:val="24"/>
          <w:lang w:eastAsia="es-ES"/>
        </w:rPr>
        <w:t xml:space="preserve">El precio promedio, ponderado por cantidades, al que se negoció cada modalidad de contrato de suministro, en cada </w:t>
      </w:r>
      <w:r w:rsidR="002050AA">
        <w:rPr>
          <w:rFonts w:ascii="Bookman Old Style" w:hAnsi="Bookman Old Style" w:cs="Arial"/>
          <w:color w:val="000000" w:themeColor="text1"/>
          <w:sz w:val="24"/>
          <w:szCs w:val="24"/>
          <w:lang w:eastAsia="es-ES"/>
        </w:rPr>
        <w:t>Punto de Entrega</w:t>
      </w:r>
      <w:r w:rsidRPr="0013707D">
        <w:rPr>
          <w:rFonts w:ascii="Bookman Old Style" w:hAnsi="Bookman Old Style" w:cs="Arial"/>
          <w:color w:val="000000" w:themeColor="text1"/>
          <w:sz w:val="24"/>
          <w:szCs w:val="24"/>
          <w:lang w:eastAsia="es-ES"/>
        </w:rPr>
        <w:t xml:space="preserve">. Esta información se actualizará cuando cambie la cantidad </w:t>
      </w:r>
      <w:r w:rsidRPr="002164C7">
        <w:rPr>
          <w:rFonts w:ascii="Bookman Old Style" w:hAnsi="Bookman Old Style" w:cs="Arial"/>
          <w:color w:val="000000" w:themeColor="text1"/>
          <w:sz w:val="24"/>
          <w:szCs w:val="24"/>
          <w:lang w:eastAsia="es-ES"/>
        </w:rPr>
        <w:t xml:space="preserve">contratada bajo alguna de las modalidades contractuales </w:t>
      </w:r>
      <w:r w:rsidRPr="00D641A5">
        <w:rPr>
          <w:rFonts w:ascii="Bookman Old Style" w:hAnsi="Bookman Old Style" w:cs="Arial"/>
          <w:color w:val="000000" w:themeColor="text1"/>
          <w:sz w:val="24"/>
          <w:szCs w:val="24"/>
          <w:lang w:eastAsia="es-ES"/>
        </w:rPr>
        <w:t>definidas en el</w:t>
      </w:r>
      <w:r w:rsidR="00210424">
        <w:rPr>
          <w:rFonts w:ascii="Bookman Old Style" w:hAnsi="Bookman Old Style" w:cs="Arial"/>
          <w:color w:val="000000" w:themeColor="text1"/>
          <w:sz w:val="24"/>
          <w:szCs w:val="24"/>
          <w:lang w:eastAsia="es-ES"/>
        </w:rPr>
        <w:t xml:space="preserve"> artículo 8</w:t>
      </w:r>
      <w:r w:rsidRPr="00D641A5">
        <w:rPr>
          <w:rFonts w:ascii="Bookman Old Style" w:hAnsi="Bookman Old Style" w:cs="Arial"/>
          <w:color w:val="000000" w:themeColor="text1"/>
          <w:sz w:val="24"/>
          <w:szCs w:val="24"/>
          <w:lang w:eastAsia="es-ES"/>
        </w:rPr>
        <w:t xml:space="preserve"> de esta Resolución; o se actualice el precio pactado en los contratos como consecuencia de la actualización de precios a que se refiere el</w:t>
      </w:r>
      <w:r w:rsidR="00210424">
        <w:rPr>
          <w:rFonts w:ascii="Bookman Old Style" w:hAnsi="Bookman Old Style" w:cs="Arial"/>
          <w:color w:val="000000" w:themeColor="text1"/>
          <w:sz w:val="24"/>
          <w:szCs w:val="24"/>
          <w:lang w:eastAsia="es-ES"/>
        </w:rPr>
        <w:t xml:space="preserve"> artículo 15</w:t>
      </w:r>
      <w:r w:rsidRPr="00D641A5">
        <w:rPr>
          <w:rFonts w:ascii="Bookman Old Style" w:hAnsi="Bookman Old Style" w:cs="Arial"/>
          <w:color w:val="000000" w:themeColor="text1"/>
          <w:sz w:val="24"/>
          <w:szCs w:val="24"/>
          <w:lang w:eastAsia="es-ES"/>
        </w:rPr>
        <w:t xml:space="preserve"> de la presente Resolución.</w:t>
      </w:r>
      <w:bookmarkEnd w:id="111"/>
    </w:p>
    <w:p w14:paraId="299FC49C" w14:textId="77777777" w:rsidR="0006302B" w:rsidRPr="00D641A5"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71464AD8" w14:textId="1426D6E7" w:rsidR="0006302B" w:rsidRPr="00D641A5" w:rsidRDefault="0006302B" w:rsidP="00A4790E">
      <w:pPr>
        <w:pStyle w:val="Prrafodelista"/>
        <w:numPr>
          <w:ilvl w:val="0"/>
          <w:numId w:val="24"/>
        </w:numPr>
        <w:ind w:left="1701" w:hanging="567"/>
        <w:contextualSpacing/>
        <w:jc w:val="both"/>
        <w:rPr>
          <w:rFonts w:ascii="Bookman Old Style" w:hAnsi="Bookman Old Style" w:cs="Arial"/>
          <w:color w:val="000000" w:themeColor="text1"/>
          <w:sz w:val="24"/>
          <w:szCs w:val="24"/>
          <w:lang w:eastAsia="es-ES"/>
        </w:rPr>
      </w:pPr>
      <w:bookmarkStart w:id="112" w:name="_Ref337737066"/>
      <w:bookmarkStart w:id="113" w:name="_Ref357004058"/>
      <w:r w:rsidRPr="00D641A5">
        <w:rPr>
          <w:rFonts w:ascii="Bookman Old Style" w:hAnsi="Bookman Old Style" w:cs="Arial"/>
          <w:color w:val="000000" w:themeColor="text1"/>
          <w:sz w:val="24"/>
          <w:szCs w:val="24"/>
          <w:lang w:eastAsia="es-ES"/>
        </w:rPr>
        <w:t xml:space="preserve">El precio promedio nacional por </w:t>
      </w:r>
      <w:r w:rsidR="002050AA">
        <w:rPr>
          <w:rFonts w:ascii="Bookman Old Style" w:hAnsi="Bookman Old Style" w:cs="Arial"/>
          <w:color w:val="000000" w:themeColor="text1"/>
          <w:sz w:val="24"/>
          <w:szCs w:val="24"/>
          <w:lang w:eastAsia="es-ES"/>
        </w:rPr>
        <w:t>Punto de Entrega</w:t>
      </w:r>
      <w:r>
        <w:rPr>
          <w:rFonts w:ascii="Bookman Old Style" w:hAnsi="Bookman Old Style" w:cs="Arial"/>
          <w:b/>
          <w:bCs/>
          <w:color w:val="000000" w:themeColor="text1"/>
          <w:sz w:val="24"/>
          <w:szCs w:val="24"/>
          <w:lang w:eastAsia="es-ES"/>
        </w:rPr>
        <w:t xml:space="preserve"> y por </w:t>
      </w:r>
      <w:r w:rsidRPr="00D641A5">
        <w:rPr>
          <w:rFonts w:ascii="Bookman Old Style" w:hAnsi="Bookman Old Style" w:cs="Arial"/>
          <w:color w:val="000000" w:themeColor="text1"/>
          <w:sz w:val="24"/>
          <w:szCs w:val="24"/>
          <w:lang w:eastAsia="es-ES"/>
        </w:rPr>
        <w:t>modalidad de contrato, calculado como el promedio, ponderado por cantidades, de los precios a que se refiere el numeral anterior.</w:t>
      </w:r>
      <w:bookmarkEnd w:id="112"/>
      <w:r w:rsidRPr="00D641A5">
        <w:rPr>
          <w:rFonts w:ascii="Bookman Old Style" w:hAnsi="Bookman Old Style" w:cs="Arial"/>
          <w:color w:val="000000" w:themeColor="text1"/>
          <w:sz w:val="24"/>
          <w:szCs w:val="24"/>
          <w:lang w:eastAsia="es-ES"/>
        </w:rPr>
        <w:t xml:space="preserve"> Este valor se actualizará con la frecuencia señalada en el numeral anterior.</w:t>
      </w:r>
      <w:bookmarkEnd w:id="113"/>
    </w:p>
    <w:p w14:paraId="30B226D2" w14:textId="77777777" w:rsidR="0006302B" w:rsidRPr="00D641A5" w:rsidRDefault="0006302B" w:rsidP="0006302B">
      <w:pPr>
        <w:pStyle w:val="Prrafodelista"/>
        <w:rPr>
          <w:rFonts w:ascii="Bookman Old Style" w:hAnsi="Bookman Old Style" w:cs="Arial"/>
          <w:color w:val="000000" w:themeColor="text1"/>
          <w:sz w:val="24"/>
          <w:szCs w:val="24"/>
          <w:lang w:eastAsia="es-ES"/>
        </w:rPr>
      </w:pPr>
    </w:p>
    <w:p w14:paraId="3D8824ED" w14:textId="3D4F8A06" w:rsidR="0006302B" w:rsidRPr="00D641A5" w:rsidRDefault="0006302B" w:rsidP="00A4790E">
      <w:pPr>
        <w:pStyle w:val="Prrafodelista"/>
        <w:numPr>
          <w:ilvl w:val="0"/>
          <w:numId w:val="24"/>
        </w:numPr>
        <w:ind w:left="1701" w:hanging="567"/>
        <w:contextualSpacing/>
        <w:jc w:val="both"/>
        <w:rPr>
          <w:rFonts w:ascii="Bookman Old Style" w:hAnsi="Bookman Old Style" w:cs="Arial"/>
          <w:color w:val="000000" w:themeColor="text1"/>
          <w:sz w:val="24"/>
          <w:szCs w:val="24"/>
          <w:lang w:eastAsia="es-ES"/>
        </w:rPr>
      </w:pPr>
      <w:r w:rsidRPr="00D641A5">
        <w:rPr>
          <w:rFonts w:ascii="Bookman Old Style" w:hAnsi="Bookman Old Style" w:cs="Arial"/>
          <w:color w:val="000000" w:themeColor="text1"/>
          <w:sz w:val="24"/>
          <w:szCs w:val="24"/>
          <w:lang w:eastAsia="es-ES"/>
        </w:rPr>
        <w:t xml:space="preserve">Los índices requeridos para aplicar las ecuaciones establecidas en el </w:t>
      </w:r>
      <w:r w:rsidRPr="00D66B65">
        <w:rPr>
          <w:rFonts w:ascii="Bookman Old Style" w:hAnsi="Bookman Old Style" w:cs="Arial"/>
          <w:color w:val="000000" w:themeColor="text1"/>
          <w:sz w:val="32"/>
          <w:szCs w:val="32"/>
          <w:lang w:eastAsia="es-ES"/>
        </w:rPr>
        <w:fldChar w:fldCharType="begin"/>
      </w:r>
      <w:r w:rsidRPr="00D66B65">
        <w:rPr>
          <w:rFonts w:ascii="Bookman Old Style" w:hAnsi="Bookman Old Style" w:cs="Arial"/>
          <w:color w:val="000000" w:themeColor="text1"/>
          <w:sz w:val="32"/>
          <w:szCs w:val="32"/>
          <w:lang w:eastAsia="es-ES"/>
        </w:rPr>
        <w:instrText xml:space="preserve"> REF _Ref451344482 \h  \* MERGEFORMAT </w:instrText>
      </w:r>
      <w:r w:rsidRPr="00D66B65">
        <w:rPr>
          <w:rFonts w:ascii="Bookman Old Style" w:hAnsi="Bookman Old Style" w:cs="Arial"/>
          <w:color w:val="000000" w:themeColor="text1"/>
          <w:sz w:val="32"/>
          <w:szCs w:val="32"/>
          <w:lang w:eastAsia="es-ES"/>
        </w:rPr>
      </w:r>
      <w:r w:rsidRPr="00D66B65">
        <w:rPr>
          <w:rFonts w:ascii="Bookman Old Style" w:hAnsi="Bookman Old Style" w:cs="Arial"/>
          <w:color w:val="000000" w:themeColor="text1"/>
          <w:sz w:val="32"/>
          <w:szCs w:val="32"/>
          <w:lang w:eastAsia="es-ES"/>
        </w:rPr>
        <w:fldChar w:fldCharType="separate"/>
      </w:r>
      <w:r w:rsidR="00636B6A" w:rsidRPr="00996A90">
        <w:rPr>
          <w:rFonts w:ascii="Bookman Old Style" w:hAnsi="Bookman Old Style"/>
          <w:color w:val="000000" w:themeColor="text1"/>
          <w:sz w:val="24"/>
          <w:szCs w:val="24"/>
        </w:rPr>
        <w:t xml:space="preserve">Anexo </w:t>
      </w:r>
      <w:r w:rsidR="00636B6A" w:rsidRPr="00996A90">
        <w:rPr>
          <w:rFonts w:ascii="Bookman Old Style" w:hAnsi="Bookman Old Style"/>
          <w:noProof/>
          <w:color w:val="000000" w:themeColor="text1"/>
          <w:sz w:val="24"/>
          <w:szCs w:val="24"/>
        </w:rPr>
        <w:t>3</w:t>
      </w:r>
      <w:r w:rsidRPr="00D66B65">
        <w:rPr>
          <w:rFonts w:ascii="Bookman Old Style" w:hAnsi="Bookman Old Style" w:cs="Arial"/>
          <w:color w:val="000000" w:themeColor="text1"/>
          <w:sz w:val="32"/>
          <w:szCs w:val="32"/>
          <w:lang w:eastAsia="es-ES"/>
        </w:rPr>
        <w:fldChar w:fldCharType="end"/>
      </w:r>
      <w:r w:rsidRPr="00D641A5">
        <w:rPr>
          <w:rFonts w:ascii="Bookman Old Style" w:hAnsi="Bookman Old Style" w:cs="Arial"/>
          <w:color w:val="000000" w:themeColor="text1"/>
          <w:sz w:val="24"/>
          <w:szCs w:val="24"/>
          <w:lang w:eastAsia="es-ES"/>
        </w:rPr>
        <w:t xml:space="preserve"> de esta Resolución. Esta información se publicará a más tardar el último día hábil del mes de noviembre de cada año. </w:t>
      </w:r>
    </w:p>
    <w:p w14:paraId="2AFD5B63" w14:textId="77777777" w:rsidR="0006302B" w:rsidRPr="0013707D" w:rsidRDefault="0006302B" w:rsidP="0006302B">
      <w:pPr>
        <w:pStyle w:val="ARTICULOS"/>
        <w:numPr>
          <w:ilvl w:val="0"/>
          <w:numId w:val="0"/>
        </w:numPr>
        <w:rPr>
          <w:color w:val="000000" w:themeColor="text1"/>
          <w:lang w:val="es-CO"/>
        </w:rPr>
      </w:pPr>
    </w:p>
    <w:p w14:paraId="54A79CC9" w14:textId="55BAE320" w:rsidR="0006302B" w:rsidRPr="0034679B" w:rsidRDefault="0006302B" w:rsidP="0006302B">
      <w:pPr>
        <w:autoSpaceDE w:val="0"/>
        <w:autoSpaceDN w:val="0"/>
        <w:adjustRightInd w:val="0"/>
        <w:ind w:left="1134"/>
        <w:jc w:val="both"/>
        <w:rPr>
          <w:rFonts w:ascii="Bookman Old Style" w:hAnsi="Bookman Old Style"/>
          <w:color w:val="000000" w:themeColor="text1"/>
          <w:lang w:val="es-CO"/>
        </w:rPr>
      </w:pPr>
      <w:r w:rsidRPr="0034679B">
        <w:rPr>
          <w:rFonts w:ascii="Bookman Old Style" w:hAnsi="Bookman Old Style"/>
          <w:color w:val="000000" w:themeColor="text1"/>
          <w:lang w:val="es-CO"/>
        </w:rPr>
        <w:t xml:space="preserve">El </w:t>
      </w:r>
      <w:r w:rsidR="00B641C3" w:rsidRPr="0034679B">
        <w:rPr>
          <w:rFonts w:ascii="Bookman Old Style" w:hAnsi="Bookman Old Style"/>
          <w:lang w:val="es-CO"/>
        </w:rPr>
        <w:t>Gestor</w:t>
      </w:r>
      <w:r w:rsidR="00B641C3" w:rsidRPr="0034679B" w:rsidDel="00E53E99">
        <w:rPr>
          <w:color w:val="FF0000"/>
          <w:sz w:val="28"/>
          <w:lang w:val="es-CO"/>
        </w:rPr>
        <w:t xml:space="preserve"> </w:t>
      </w:r>
      <w:r w:rsidRPr="0034679B">
        <w:rPr>
          <w:rFonts w:ascii="Bookman Old Style" w:hAnsi="Bookman Old Style"/>
          <w:color w:val="000000" w:themeColor="text1"/>
          <w:lang w:val="es-CO"/>
        </w:rPr>
        <w:t>del Mercado no identificará las negociaciones individuales en la información publicada.</w:t>
      </w:r>
    </w:p>
    <w:p w14:paraId="3D36B139" w14:textId="77777777" w:rsidR="0006302B" w:rsidRPr="0034679B" w:rsidRDefault="0006302B" w:rsidP="0006302B">
      <w:pPr>
        <w:autoSpaceDE w:val="0"/>
        <w:autoSpaceDN w:val="0"/>
        <w:adjustRightInd w:val="0"/>
        <w:ind w:left="1134"/>
        <w:jc w:val="both"/>
        <w:rPr>
          <w:rFonts w:ascii="Bookman Old Style" w:hAnsi="Bookman Old Style"/>
          <w:color w:val="000000" w:themeColor="text1"/>
          <w:lang w:val="es-CO"/>
        </w:rPr>
      </w:pPr>
    </w:p>
    <w:p w14:paraId="4E9B5860" w14:textId="3DDF90CB" w:rsidR="000D7663" w:rsidRPr="0034679B" w:rsidRDefault="000D7663" w:rsidP="00A4790E">
      <w:pPr>
        <w:pStyle w:val="Prrafodelista"/>
        <w:numPr>
          <w:ilvl w:val="1"/>
          <w:numId w:val="95"/>
        </w:numPr>
        <w:autoSpaceDE w:val="0"/>
        <w:autoSpaceDN w:val="0"/>
        <w:adjustRightInd w:val="0"/>
        <w:jc w:val="both"/>
        <w:rPr>
          <w:rFonts w:ascii="Bookman Old Style" w:hAnsi="Bookman Old Style"/>
          <w:bCs/>
          <w:color w:val="000000"/>
          <w:sz w:val="24"/>
          <w:szCs w:val="24"/>
        </w:rPr>
      </w:pPr>
      <w:bookmarkStart w:id="114" w:name="_Ref359823705"/>
      <w:bookmarkStart w:id="115" w:name="_Ref337211061"/>
      <w:r w:rsidRPr="0034679B">
        <w:rPr>
          <w:rFonts w:ascii="Bookman Old Style" w:hAnsi="Bookman Old Style"/>
          <w:b/>
          <w:color w:val="000000"/>
          <w:sz w:val="24"/>
          <w:szCs w:val="24"/>
        </w:rPr>
        <w:t>Información sobre la ejecución de los Contratos con interrupciones del Mercado Primario:</w:t>
      </w:r>
    </w:p>
    <w:p w14:paraId="389A311E" w14:textId="77777777" w:rsidR="000D7663" w:rsidRPr="0034679B" w:rsidRDefault="000D7663" w:rsidP="000D7663">
      <w:pPr>
        <w:autoSpaceDE w:val="0"/>
        <w:autoSpaceDN w:val="0"/>
        <w:adjustRightInd w:val="0"/>
        <w:ind w:left="1701"/>
        <w:jc w:val="both"/>
        <w:rPr>
          <w:rFonts w:ascii="Bookman Old Style" w:hAnsi="Bookman Old Style"/>
          <w:bCs/>
          <w:color w:val="000000"/>
          <w:lang w:val="es-CO"/>
        </w:rPr>
      </w:pPr>
    </w:p>
    <w:p w14:paraId="0E5B285D" w14:textId="77777777" w:rsidR="000D7663" w:rsidRPr="0034679B" w:rsidRDefault="000D7663" w:rsidP="000D7663">
      <w:pPr>
        <w:autoSpaceDE w:val="0"/>
        <w:autoSpaceDN w:val="0"/>
        <w:adjustRightInd w:val="0"/>
        <w:ind w:left="1134"/>
        <w:jc w:val="both"/>
        <w:rPr>
          <w:rFonts w:ascii="Bookman Old Style" w:hAnsi="Bookman Old Style"/>
          <w:bCs/>
          <w:color w:val="000000"/>
          <w:lang w:val="es-CO" w:eastAsia="x-none"/>
        </w:rPr>
      </w:pPr>
      <w:r w:rsidRPr="0034679B">
        <w:rPr>
          <w:rFonts w:ascii="Bookman Old Style" w:hAnsi="Bookman Old Style"/>
          <w:bCs/>
          <w:color w:val="000000"/>
          <w:lang w:val="es-CO"/>
        </w:rPr>
        <w:t xml:space="preserve">A más tardar a las 24:00 horas del día D+1, los compradores y vendedores </w:t>
      </w:r>
      <w:r w:rsidRPr="0034679B">
        <w:rPr>
          <w:rFonts w:ascii="Bookman Old Style" w:hAnsi="Bookman Old Style"/>
          <w:b/>
          <w:color w:val="000000"/>
          <w:lang w:val="es-CO"/>
        </w:rPr>
        <w:t xml:space="preserve">del Mercado Primario </w:t>
      </w:r>
      <w:r w:rsidRPr="0034679B">
        <w:rPr>
          <w:rFonts w:ascii="Bookman Old Style" w:hAnsi="Bookman Old Style"/>
          <w:bCs/>
          <w:color w:val="000000"/>
          <w:lang w:val="es-CO"/>
        </w:rPr>
        <w:t xml:space="preserve">deberán declarar al </w:t>
      </w:r>
      <w:r w:rsidRPr="0034679B">
        <w:rPr>
          <w:rFonts w:ascii="Bookman Old Style" w:hAnsi="Bookman Old Style"/>
          <w:bCs/>
          <w:lang w:val="es-CO"/>
        </w:rPr>
        <w:t xml:space="preserve">Gestor </w:t>
      </w:r>
      <w:r w:rsidRPr="0034679B">
        <w:rPr>
          <w:rFonts w:ascii="Bookman Old Style" w:hAnsi="Bookman Old Style"/>
          <w:bCs/>
          <w:color w:val="000000"/>
          <w:lang w:val="es-CO"/>
        </w:rPr>
        <w:t xml:space="preserve">del Mercado la siguiente información sobre la ejecución del contrato, por cada </w:t>
      </w:r>
      <w:r w:rsidRPr="0034679B">
        <w:rPr>
          <w:rFonts w:ascii="Bookman Old Style" w:hAnsi="Bookman Old Style"/>
          <w:b/>
          <w:color w:val="000000"/>
          <w:lang w:val="es-CO"/>
        </w:rPr>
        <w:t>punto de entrega</w:t>
      </w:r>
      <w:r w:rsidRPr="0034679B">
        <w:rPr>
          <w:rFonts w:ascii="Bookman Old Style" w:hAnsi="Bookman Old Style"/>
          <w:bCs/>
          <w:color w:val="000000"/>
          <w:lang w:val="es-CO" w:eastAsia="x-none"/>
        </w:rPr>
        <w:t>:</w:t>
      </w:r>
    </w:p>
    <w:p w14:paraId="5A2830CE" w14:textId="77777777" w:rsidR="000D7663" w:rsidRPr="0034679B" w:rsidRDefault="000D7663" w:rsidP="000D7663">
      <w:pPr>
        <w:autoSpaceDE w:val="0"/>
        <w:autoSpaceDN w:val="0"/>
        <w:adjustRightInd w:val="0"/>
        <w:ind w:left="0"/>
        <w:jc w:val="both"/>
        <w:rPr>
          <w:rFonts w:ascii="Bookman Old Style" w:hAnsi="Bookman Old Style"/>
          <w:color w:val="000000"/>
          <w:lang w:val="es-CO"/>
        </w:rPr>
      </w:pPr>
    </w:p>
    <w:p w14:paraId="52E53171" w14:textId="77777777" w:rsidR="000D7663" w:rsidRDefault="000D7663" w:rsidP="00A4790E">
      <w:pPr>
        <w:numPr>
          <w:ilvl w:val="0"/>
          <w:numId w:val="67"/>
        </w:numPr>
        <w:ind w:left="1701" w:hanging="567"/>
        <w:jc w:val="both"/>
        <w:rPr>
          <w:rFonts w:ascii="Bookman Old Style" w:hAnsi="Bookman Old Style" w:cs="Arial"/>
          <w:color w:val="000000"/>
          <w:lang w:val="es-CO"/>
        </w:rPr>
      </w:pPr>
      <w:r w:rsidRPr="0034679B">
        <w:rPr>
          <w:rFonts w:ascii="Bookman Old Style" w:hAnsi="Bookman Old Style" w:cs="Arial"/>
          <w:color w:val="000000"/>
          <w:lang w:val="es-CO"/>
        </w:rPr>
        <w:t>Número de contrato en ejecución.</w:t>
      </w:r>
    </w:p>
    <w:p w14:paraId="5E756DE8" w14:textId="77777777" w:rsidR="00913E26" w:rsidRPr="0034679B" w:rsidRDefault="00913E26" w:rsidP="00100888">
      <w:pPr>
        <w:ind w:left="1701"/>
        <w:jc w:val="both"/>
        <w:rPr>
          <w:rFonts w:ascii="Bookman Old Style" w:hAnsi="Bookman Old Style" w:cs="Arial"/>
          <w:color w:val="000000"/>
          <w:lang w:val="es-CO"/>
        </w:rPr>
      </w:pPr>
    </w:p>
    <w:p w14:paraId="3DA69764" w14:textId="1F5C9D41" w:rsidR="000D7663" w:rsidRPr="00100888" w:rsidRDefault="000D7663" w:rsidP="00A4790E">
      <w:pPr>
        <w:numPr>
          <w:ilvl w:val="0"/>
          <w:numId w:val="67"/>
        </w:numPr>
        <w:ind w:left="1701" w:hanging="567"/>
        <w:jc w:val="both"/>
        <w:rPr>
          <w:rFonts w:ascii="Bookman Old Style" w:hAnsi="Bookman Old Style" w:cs="Arial"/>
          <w:color w:val="000000"/>
          <w:lang w:val="es-CO"/>
        </w:rPr>
      </w:pPr>
      <w:r w:rsidRPr="0034679B">
        <w:rPr>
          <w:rFonts w:ascii="Bookman Old Style" w:hAnsi="Bookman Old Style" w:cs="Arial"/>
          <w:color w:val="000000"/>
          <w:lang w:val="es-CO"/>
        </w:rPr>
        <w:t>Cantidad total de gas en MBTU autorizada por el vendedor al comprador para el día de gas.</w:t>
      </w:r>
      <w:r w:rsidRPr="0034679B">
        <w:rPr>
          <w:rFonts w:ascii="Bookman Old Style" w:hAnsi="Bookman Old Style" w:cs="Arial"/>
          <w:b/>
          <w:bCs/>
          <w:color w:val="000000"/>
          <w:lang w:val="es-CO"/>
        </w:rPr>
        <w:t xml:space="preserve"> </w:t>
      </w:r>
    </w:p>
    <w:p w14:paraId="1CFC093C" w14:textId="77777777" w:rsidR="00913E26" w:rsidRDefault="00913E26" w:rsidP="00100888">
      <w:pPr>
        <w:pStyle w:val="Prrafodelista"/>
        <w:rPr>
          <w:rFonts w:ascii="Bookman Old Style" w:hAnsi="Bookman Old Style" w:cs="Arial"/>
          <w:color w:val="000000"/>
        </w:rPr>
      </w:pPr>
    </w:p>
    <w:p w14:paraId="32B8887B" w14:textId="77777777" w:rsidR="00913E26" w:rsidRDefault="000D7663" w:rsidP="00A4790E">
      <w:pPr>
        <w:numPr>
          <w:ilvl w:val="0"/>
          <w:numId w:val="67"/>
        </w:numPr>
        <w:ind w:left="1701" w:hanging="567"/>
        <w:jc w:val="both"/>
        <w:rPr>
          <w:rFonts w:ascii="Bookman Old Style" w:hAnsi="Bookman Old Style" w:cs="Arial"/>
          <w:color w:val="000000"/>
          <w:lang w:val="es-CO"/>
        </w:rPr>
      </w:pPr>
      <w:r w:rsidRPr="0034679B">
        <w:rPr>
          <w:rFonts w:ascii="Bookman Old Style" w:hAnsi="Bookman Old Style" w:cs="Arial"/>
          <w:b/>
          <w:bCs/>
          <w:color w:val="000000"/>
          <w:lang w:val="es-CO"/>
        </w:rPr>
        <w:t>Cantidad total de gas en MBTU entregada por el vendedor al comprador en el Punto de Entrega para el día de gas. La cantidad entregada es aquella sobre la cual se realiza la facturación por parte del vendedor al comprador</w:t>
      </w:r>
      <w:r w:rsidRPr="0034679B">
        <w:rPr>
          <w:rFonts w:ascii="Bookman Old Style" w:hAnsi="Bookman Old Style" w:cs="Arial"/>
          <w:color w:val="000000"/>
          <w:lang w:val="es-CO"/>
        </w:rPr>
        <w:t>.</w:t>
      </w:r>
    </w:p>
    <w:p w14:paraId="3B0A9AEA" w14:textId="39A60FCA" w:rsidR="000D7663" w:rsidRPr="0034679B" w:rsidRDefault="000D7663" w:rsidP="00100888">
      <w:pPr>
        <w:ind w:left="1701"/>
        <w:jc w:val="both"/>
        <w:rPr>
          <w:rFonts w:ascii="Bookman Old Style" w:hAnsi="Bookman Old Style" w:cs="Arial"/>
          <w:color w:val="000000"/>
          <w:lang w:val="es-CO"/>
        </w:rPr>
      </w:pPr>
      <w:r w:rsidRPr="0034679B">
        <w:rPr>
          <w:rFonts w:ascii="Bookman Old Style" w:hAnsi="Bookman Old Style" w:cs="Arial"/>
          <w:color w:val="000000"/>
          <w:lang w:val="es-CO"/>
        </w:rPr>
        <w:tab/>
      </w:r>
    </w:p>
    <w:p w14:paraId="7D817189" w14:textId="4AEA769C" w:rsidR="00913E26" w:rsidRPr="00913E26" w:rsidRDefault="000D7663" w:rsidP="00A4790E">
      <w:pPr>
        <w:numPr>
          <w:ilvl w:val="0"/>
          <w:numId w:val="67"/>
        </w:numPr>
        <w:ind w:left="1701" w:hanging="567"/>
        <w:jc w:val="both"/>
        <w:rPr>
          <w:rFonts w:ascii="Bookman Old Style" w:hAnsi="Bookman Old Style"/>
          <w:color w:val="000000"/>
          <w:lang w:val="es-CO"/>
        </w:rPr>
      </w:pPr>
      <w:r w:rsidRPr="0034679B">
        <w:rPr>
          <w:rFonts w:ascii="Bookman Old Style" w:hAnsi="Bookman Old Style" w:cs="Arial"/>
          <w:color w:val="000000"/>
          <w:lang w:val="es-CO"/>
        </w:rPr>
        <w:t>Valor facturado por la cantidad de gas autorizada para el día de gas, expresado en dólares de los Estados Unidos de América. En ningún momento el precio unitario acordado para el día de gas, podrá superar el precio único al que hace referencia el numeral 2 del</w:t>
      </w:r>
      <w:r w:rsidR="00210424">
        <w:rPr>
          <w:rFonts w:ascii="Bookman Old Style" w:hAnsi="Bookman Old Style" w:cs="Arial"/>
          <w:color w:val="000000"/>
          <w:lang w:val="es-CO"/>
        </w:rPr>
        <w:t xml:space="preserve"> artículo 37</w:t>
      </w:r>
      <w:r w:rsidRPr="0034679B">
        <w:rPr>
          <w:rFonts w:ascii="Bookman Old Style" w:hAnsi="Bookman Old Style" w:cs="Arial"/>
          <w:color w:val="000000"/>
          <w:lang w:val="es-CO"/>
        </w:rPr>
        <w:t xml:space="preserve"> de la presente Resolución</w:t>
      </w:r>
    </w:p>
    <w:p w14:paraId="69ED8A08" w14:textId="77777777" w:rsidR="00913E26" w:rsidRDefault="00913E26" w:rsidP="00100888">
      <w:pPr>
        <w:pStyle w:val="Prrafodelista"/>
        <w:rPr>
          <w:rFonts w:ascii="Bookman Old Style" w:hAnsi="Bookman Old Style" w:cs="Arial"/>
          <w:color w:val="000000"/>
        </w:rPr>
      </w:pPr>
    </w:p>
    <w:p w14:paraId="20E5D6B4" w14:textId="33A02CD6" w:rsidR="000D7663" w:rsidRPr="0034679B" w:rsidRDefault="000D7663" w:rsidP="00100888">
      <w:pPr>
        <w:ind w:left="1701"/>
        <w:jc w:val="both"/>
        <w:rPr>
          <w:rFonts w:ascii="Bookman Old Style" w:hAnsi="Bookman Old Style"/>
          <w:color w:val="000000"/>
          <w:lang w:val="es-CO"/>
        </w:rPr>
      </w:pPr>
    </w:p>
    <w:p w14:paraId="2C6A8D1C" w14:textId="77777777" w:rsidR="000D7663" w:rsidRDefault="000D7663" w:rsidP="00A4790E">
      <w:pPr>
        <w:numPr>
          <w:ilvl w:val="0"/>
          <w:numId w:val="67"/>
        </w:numPr>
        <w:ind w:left="1701" w:hanging="567"/>
        <w:jc w:val="both"/>
        <w:rPr>
          <w:rFonts w:ascii="Bookman Old Style" w:hAnsi="Bookman Old Style" w:cs="Arial"/>
          <w:color w:val="000000"/>
          <w:lang w:val="es-CO"/>
        </w:rPr>
      </w:pPr>
      <w:r w:rsidRPr="0034679B">
        <w:rPr>
          <w:rFonts w:ascii="Bookman Old Style" w:hAnsi="Bookman Old Style" w:cs="Arial"/>
          <w:color w:val="000000"/>
          <w:lang w:val="es-CO"/>
        </w:rPr>
        <w:t xml:space="preserve"> </w:t>
      </w:r>
      <w:r w:rsidRPr="0034679B">
        <w:rPr>
          <w:rFonts w:ascii="Bookman Old Style" w:hAnsi="Bookman Old Style" w:cs="Arial"/>
          <w:b/>
          <w:bCs/>
          <w:color w:val="000000"/>
          <w:lang w:val="es-CO"/>
        </w:rPr>
        <w:t>Punto de Entrega</w:t>
      </w:r>
      <w:r w:rsidRPr="0034679B">
        <w:rPr>
          <w:rFonts w:ascii="Bookman Old Style" w:hAnsi="Bookman Old Style" w:cs="Arial"/>
          <w:color w:val="000000"/>
          <w:lang w:val="es-CO"/>
        </w:rPr>
        <w:t xml:space="preserve"> </w:t>
      </w:r>
      <w:r w:rsidRPr="0034679B">
        <w:rPr>
          <w:rFonts w:ascii="Bookman Old Style" w:hAnsi="Bookman Old Style" w:cs="Arial"/>
          <w:b/>
          <w:bCs/>
          <w:color w:val="000000"/>
          <w:lang w:val="es-CO"/>
        </w:rPr>
        <w:t xml:space="preserve">o Punto Estándar de Entrega </w:t>
      </w:r>
      <w:r w:rsidRPr="0034679B">
        <w:rPr>
          <w:rFonts w:ascii="Bookman Old Style" w:hAnsi="Bookman Old Style" w:cs="Arial"/>
          <w:color w:val="000000"/>
          <w:lang w:val="es-CO"/>
        </w:rPr>
        <w:t xml:space="preserve">de las cantidades de gas autorizadas por el vendedor. </w:t>
      </w:r>
    </w:p>
    <w:p w14:paraId="4C8ECBCC" w14:textId="77777777" w:rsidR="00913E26" w:rsidRDefault="00913E26" w:rsidP="00100888">
      <w:pPr>
        <w:ind w:left="1701"/>
        <w:jc w:val="both"/>
        <w:rPr>
          <w:rFonts w:ascii="Bookman Old Style" w:hAnsi="Bookman Old Style" w:cs="Arial"/>
          <w:color w:val="000000"/>
          <w:lang w:val="es-CO"/>
        </w:rPr>
      </w:pPr>
    </w:p>
    <w:p w14:paraId="500174D6" w14:textId="77777777" w:rsidR="00913E26" w:rsidRPr="003E5827" w:rsidRDefault="00913E26" w:rsidP="00913E26">
      <w:pPr>
        <w:pStyle w:val="Prrafodelista"/>
        <w:numPr>
          <w:ilvl w:val="0"/>
          <w:numId w:val="67"/>
        </w:numPr>
        <w:ind w:left="1701" w:hanging="567"/>
        <w:rPr>
          <w:rFonts w:ascii="Bookman Old Style" w:hAnsi="Bookman Old Style" w:cs="Arial"/>
          <w:b/>
          <w:bCs/>
          <w:color w:val="000000"/>
          <w:sz w:val="24"/>
          <w:szCs w:val="24"/>
          <w:lang w:eastAsia="es-ES"/>
        </w:rPr>
      </w:pPr>
      <w:r w:rsidRPr="003E5827">
        <w:rPr>
          <w:rFonts w:ascii="Bookman Old Style" w:hAnsi="Bookman Old Style" w:cs="Arial"/>
          <w:b/>
          <w:bCs/>
          <w:color w:val="000000"/>
          <w:sz w:val="24"/>
          <w:szCs w:val="24"/>
          <w:lang w:eastAsia="es-ES"/>
        </w:rPr>
        <w:t>Cada vez que se produzca una actualización de precios del contrato de suministro, se deberá informar el nuevo precio actualizado a aplicar en dicho contrato.</w:t>
      </w:r>
    </w:p>
    <w:p w14:paraId="0EB43D39" w14:textId="77777777" w:rsidR="000D7663" w:rsidRPr="0034679B" w:rsidRDefault="000D7663" w:rsidP="000D7663">
      <w:pPr>
        <w:autoSpaceDE w:val="0"/>
        <w:autoSpaceDN w:val="0"/>
        <w:adjustRightInd w:val="0"/>
        <w:ind w:left="1701"/>
        <w:jc w:val="both"/>
        <w:rPr>
          <w:rFonts w:ascii="Bookman Old Style" w:hAnsi="Bookman Old Style"/>
          <w:color w:val="000000"/>
          <w:lang w:val="es-CO"/>
        </w:rPr>
      </w:pPr>
    </w:p>
    <w:p w14:paraId="339D6336" w14:textId="77777777" w:rsidR="000D7663" w:rsidRPr="0034679B" w:rsidRDefault="000D7663" w:rsidP="000D7663">
      <w:pPr>
        <w:autoSpaceDE w:val="0"/>
        <w:autoSpaceDN w:val="0"/>
        <w:adjustRightInd w:val="0"/>
        <w:ind w:left="1134"/>
        <w:jc w:val="both"/>
        <w:rPr>
          <w:rFonts w:ascii="Bookman Old Style" w:hAnsi="Bookman Old Style" w:cs="Arial"/>
          <w:b/>
          <w:bCs/>
          <w:color w:val="000000"/>
          <w:lang w:val="es-CO"/>
        </w:rPr>
      </w:pPr>
      <w:r w:rsidRPr="0034679B">
        <w:rPr>
          <w:rFonts w:ascii="Bookman Old Style" w:hAnsi="Bookman Old Style"/>
          <w:b/>
          <w:bCs/>
          <w:color w:val="000000"/>
          <w:lang w:val="es-CO"/>
        </w:rPr>
        <w:t xml:space="preserve">Adicionalmente, cada comprador del Mercado Primario deberá </w:t>
      </w:r>
      <w:r w:rsidRPr="00EA2CB6">
        <w:rPr>
          <w:rFonts w:ascii="Bookman Old Style" w:hAnsi="Bookman Old Style"/>
          <w:b/>
          <w:bCs/>
          <w:color w:val="000000"/>
          <w:lang w:val="es-CO"/>
        </w:rPr>
        <w:t xml:space="preserve">declarar al </w:t>
      </w:r>
      <w:r w:rsidRPr="00EA2CB6">
        <w:rPr>
          <w:rFonts w:ascii="Bookman Old Style" w:hAnsi="Bookman Old Style"/>
          <w:b/>
          <w:bCs/>
          <w:lang w:val="es-CO"/>
        </w:rPr>
        <w:t xml:space="preserve">Gestor </w:t>
      </w:r>
      <w:r w:rsidRPr="00EA2CB6">
        <w:rPr>
          <w:rFonts w:ascii="Bookman Old Style" w:hAnsi="Bookman Old Style"/>
          <w:b/>
          <w:bCs/>
          <w:color w:val="000000"/>
          <w:lang w:val="es-CO"/>
        </w:rPr>
        <w:t>del</w:t>
      </w:r>
      <w:r w:rsidRPr="0034679B">
        <w:rPr>
          <w:rFonts w:ascii="Bookman Old Style" w:hAnsi="Bookman Old Style"/>
          <w:b/>
          <w:bCs/>
          <w:color w:val="000000"/>
          <w:lang w:val="es-CO"/>
        </w:rPr>
        <w:t xml:space="preserve"> Mercado el </w:t>
      </w:r>
      <w:r w:rsidRPr="0034679B">
        <w:rPr>
          <w:rFonts w:ascii="Bookman Old Style" w:hAnsi="Bookman Old Style" w:cs="Arial"/>
          <w:b/>
          <w:bCs/>
          <w:color w:val="000000"/>
          <w:lang w:val="es-CO"/>
        </w:rPr>
        <w:t xml:space="preserve">tipo de demanda atendida con la ejecución del contrato. Esto es, si correspondió a Demanda Esencial o no, si correspondió a usuarios regulados o no regulado, desagregada en </w:t>
      </w:r>
      <w:r w:rsidRPr="0034679B">
        <w:rPr>
          <w:rFonts w:ascii="Bookman Old Style" w:hAnsi="Bookman Old Style" w:cs="Arial"/>
          <w:b/>
          <w:bCs/>
          <w:color w:val="000000" w:themeColor="text1"/>
          <w:lang w:val="es-CO"/>
        </w:rPr>
        <w:t>demanda de gas natural para la operación de las estaciones de compresión del SNT, la demanda de gas natural de usuarios residenciales y pequeños usuarios comerciales inmersos en la red de distribución, la demanda de GNCV, y la demanda de gas natural de las refinerías, excluyendo aquella con destino a autogeneración de energía eléctrica que pueda ser reemplazada con energía del sistema interconectado nacional</w:t>
      </w:r>
      <w:r w:rsidRPr="0034679B">
        <w:rPr>
          <w:rFonts w:ascii="Bookman Old Style" w:hAnsi="Bookman Old Style" w:cs="Arial"/>
          <w:b/>
          <w:bCs/>
          <w:color w:val="000000"/>
          <w:lang w:val="es-CO"/>
        </w:rPr>
        <w:t xml:space="preserve"> y pequeños usuarios comerciales inmersos en la red de distribución, comercial, industrial, petroquímica, generación térmica, exportaciones u otros. Todo lo anterior por mercado de comercialización.</w:t>
      </w:r>
    </w:p>
    <w:p w14:paraId="37F3EE9A" w14:textId="77777777" w:rsidR="000D7663" w:rsidRPr="0034679B" w:rsidRDefault="000D7663" w:rsidP="000D7663">
      <w:pPr>
        <w:autoSpaceDE w:val="0"/>
        <w:autoSpaceDN w:val="0"/>
        <w:adjustRightInd w:val="0"/>
        <w:ind w:left="1701"/>
        <w:jc w:val="both"/>
        <w:rPr>
          <w:rFonts w:ascii="Bookman Old Style" w:hAnsi="Bookman Old Style" w:cs="Arial"/>
          <w:color w:val="000000"/>
          <w:lang w:val="es-CO"/>
        </w:rPr>
      </w:pPr>
    </w:p>
    <w:p w14:paraId="24155793" w14:textId="3DCB397A" w:rsidR="000D7663" w:rsidRPr="0034679B" w:rsidRDefault="000D7663" w:rsidP="000D7663">
      <w:pPr>
        <w:autoSpaceDE w:val="0"/>
        <w:autoSpaceDN w:val="0"/>
        <w:adjustRightInd w:val="0"/>
        <w:ind w:left="1134"/>
        <w:jc w:val="both"/>
        <w:rPr>
          <w:rFonts w:ascii="Bookman Old Style" w:hAnsi="Bookman Old Style" w:cs="Arial"/>
          <w:color w:val="000000"/>
          <w:lang w:val="es-CO"/>
        </w:rPr>
      </w:pPr>
      <w:r w:rsidRPr="0034679B">
        <w:rPr>
          <w:rFonts w:ascii="Bookman Old Style" w:hAnsi="Bookman Old Style" w:cs="Arial"/>
          <w:b/>
          <w:bCs/>
          <w:color w:val="000000" w:themeColor="text1"/>
          <w:lang w:val="es-CO"/>
        </w:rPr>
        <w:t xml:space="preserve">Los compradores que entreguen </w:t>
      </w:r>
      <w:r w:rsidR="00EA2CB6">
        <w:rPr>
          <w:rFonts w:ascii="Bookman Old Style" w:hAnsi="Bookman Old Style" w:cs="Arial"/>
          <w:b/>
          <w:bCs/>
          <w:color w:val="000000" w:themeColor="text1"/>
          <w:lang w:val="es-CO"/>
        </w:rPr>
        <w:t xml:space="preserve">gas natural en el Mercado Minorista </w:t>
      </w:r>
      <w:r w:rsidRPr="0034679B">
        <w:rPr>
          <w:rFonts w:ascii="Bookman Old Style" w:hAnsi="Bookman Old Style" w:cs="Arial"/>
          <w:b/>
          <w:bCs/>
          <w:color w:val="000000" w:themeColor="text1"/>
          <w:lang w:val="es-CO"/>
        </w:rPr>
        <w:t>a usuarios no regulados conectados a un sistema de transporte</w:t>
      </w:r>
      <w:r w:rsidRPr="0034679B">
        <w:rPr>
          <w:rFonts w:ascii="Bookman Old Style" w:hAnsi="Bookman Old Style" w:cs="Arial"/>
          <w:color w:val="000000" w:themeColor="text1"/>
          <w:lang w:val="es-CO"/>
        </w:rPr>
        <w:t xml:space="preserve">, </w:t>
      </w:r>
      <w:r w:rsidRPr="0034679B">
        <w:rPr>
          <w:rFonts w:ascii="Bookman Old Style" w:hAnsi="Bookman Old Style" w:cs="Arial"/>
          <w:b/>
          <w:bCs/>
          <w:color w:val="000000" w:themeColor="text1"/>
          <w:lang w:val="es-CO"/>
        </w:rPr>
        <w:t xml:space="preserve">deberán declarar el nombre del usuario, la ubicación y/o punto de salida del usuario en el SNT y la cantidad contratada con interrupciones con cada usuario no regulado. Cuando el comprador entregue </w:t>
      </w:r>
      <w:r w:rsidR="00EA2CB6">
        <w:rPr>
          <w:rFonts w:ascii="Bookman Old Style" w:hAnsi="Bookman Old Style" w:cs="Arial"/>
          <w:b/>
          <w:bCs/>
          <w:color w:val="000000" w:themeColor="text1"/>
          <w:lang w:val="es-CO"/>
        </w:rPr>
        <w:t xml:space="preserve">gas en el Mercado Minorista </w:t>
      </w:r>
      <w:r w:rsidRPr="0034679B">
        <w:rPr>
          <w:rFonts w:ascii="Bookman Old Style" w:hAnsi="Bookman Old Style" w:cs="Arial"/>
          <w:b/>
          <w:bCs/>
          <w:color w:val="000000" w:themeColor="text1"/>
          <w:lang w:val="es-CO"/>
        </w:rPr>
        <w:t>a usuarios no regulados conectados al sistema de distribución, deberá declarar el nombre del usuario no regulado, la ubicación dentro del mercado de comercialización que atiende, así como la cantidad de gas contratada con interrupciones a entregar en el mercado relevante de comercialización en el que se consumirá esa cantidad, discriminando entre Esenciales y No esenciales, Regulados y no regulados.</w:t>
      </w:r>
    </w:p>
    <w:p w14:paraId="61CD5CC5" w14:textId="77777777" w:rsidR="000D7663" w:rsidRPr="0034679B" w:rsidRDefault="000D7663" w:rsidP="000D7663">
      <w:pPr>
        <w:autoSpaceDE w:val="0"/>
        <w:autoSpaceDN w:val="0"/>
        <w:adjustRightInd w:val="0"/>
        <w:ind w:left="1134"/>
        <w:jc w:val="both"/>
        <w:rPr>
          <w:rFonts w:ascii="Bookman Old Style" w:hAnsi="Bookman Old Style"/>
          <w:color w:val="000000"/>
          <w:lang w:val="es-CO"/>
        </w:rPr>
      </w:pPr>
    </w:p>
    <w:p w14:paraId="1E6CDE84" w14:textId="77777777" w:rsidR="000D7663" w:rsidRPr="0034679B" w:rsidRDefault="000D7663" w:rsidP="000D7663">
      <w:pPr>
        <w:autoSpaceDE w:val="0"/>
        <w:autoSpaceDN w:val="0"/>
        <w:adjustRightInd w:val="0"/>
        <w:ind w:left="1134"/>
        <w:jc w:val="both"/>
        <w:rPr>
          <w:rFonts w:ascii="Bookman Old Style" w:hAnsi="Bookman Old Style"/>
          <w:b/>
          <w:color w:val="000000"/>
          <w:lang w:val="es-CO" w:eastAsia="x-none"/>
        </w:rPr>
      </w:pPr>
      <w:r w:rsidRPr="0034679B">
        <w:rPr>
          <w:rFonts w:ascii="Bookman Old Style" w:hAnsi="Bookman Old Style"/>
          <w:b/>
          <w:color w:val="000000"/>
          <w:lang w:val="es-CO" w:eastAsia="x-none"/>
        </w:rPr>
        <w:t xml:space="preserve">La declaración de la información señalada en el presente literal se deberá realizar a través del medio y del formato que defina el </w:t>
      </w:r>
      <w:r w:rsidRPr="0034679B">
        <w:rPr>
          <w:rFonts w:ascii="Bookman Old Style" w:hAnsi="Bookman Old Style"/>
          <w:b/>
          <w:lang w:val="es-CO" w:eastAsia="x-none"/>
        </w:rPr>
        <w:t>Gestor</w:t>
      </w:r>
      <w:r w:rsidRPr="0034679B">
        <w:rPr>
          <w:rFonts w:ascii="Bookman Old Style" w:hAnsi="Bookman Old Style"/>
          <w:b/>
          <w:color w:val="000000"/>
          <w:lang w:val="es-CO" w:eastAsia="x-none"/>
        </w:rPr>
        <w:t xml:space="preserve"> del Mercado. </w:t>
      </w:r>
    </w:p>
    <w:p w14:paraId="51A12579" w14:textId="77777777" w:rsidR="000D7663" w:rsidRPr="0034679B" w:rsidRDefault="000D7663" w:rsidP="000D7663">
      <w:pPr>
        <w:autoSpaceDE w:val="0"/>
        <w:autoSpaceDN w:val="0"/>
        <w:adjustRightInd w:val="0"/>
        <w:ind w:left="1701"/>
        <w:jc w:val="both"/>
        <w:rPr>
          <w:rFonts w:ascii="Bookman Old Style" w:hAnsi="Bookman Old Style"/>
          <w:bCs/>
          <w:color w:val="000000"/>
          <w:lang w:val="es-CO" w:eastAsia="x-none"/>
        </w:rPr>
      </w:pPr>
    </w:p>
    <w:p w14:paraId="2E2783A7" w14:textId="77777777" w:rsidR="000D7663" w:rsidRPr="0034679B" w:rsidRDefault="000D7663" w:rsidP="000D7663">
      <w:pPr>
        <w:autoSpaceDE w:val="0"/>
        <w:autoSpaceDN w:val="0"/>
        <w:adjustRightInd w:val="0"/>
        <w:ind w:left="1134"/>
        <w:jc w:val="both"/>
        <w:rPr>
          <w:rFonts w:ascii="Bookman Old Style" w:hAnsi="Bookman Old Style"/>
          <w:color w:val="000000" w:themeColor="text1"/>
          <w:lang w:val="es-CO"/>
        </w:rPr>
      </w:pPr>
      <w:r w:rsidRPr="0034679B">
        <w:rPr>
          <w:rFonts w:ascii="Bookman Old Style" w:hAnsi="Bookman Old Style"/>
          <w:b/>
          <w:bCs/>
          <w:color w:val="000000"/>
          <w:lang w:val="es-CO" w:eastAsia="x-none"/>
        </w:rPr>
        <w:t xml:space="preserve">La no declaración de la información aquí señalada </w:t>
      </w:r>
      <w:r w:rsidRPr="0034679B">
        <w:rPr>
          <w:rFonts w:ascii="Bookman Old Style" w:hAnsi="Bookman Old Style"/>
          <w:b/>
          <w:bCs/>
          <w:color w:val="000000" w:themeColor="text1"/>
          <w:lang w:val="es-CO"/>
        </w:rPr>
        <w:t>y entregada de manera incompleta en los formatos establecidos por el</w:t>
      </w:r>
      <w:r w:rsidRPr="0034679B">
        <w:rPr>
          <w:rFonts w:ascii="Bookman Old Style" w:hAnsi="Bookman Old Style"/>
          <w:b/>
          <w:bCs/>
          <w:lang w:val="es-CO"/>
        </w:rPr>
        <w:t xml:space="preserve"> Gestor</w:t>
      </w:r>
      <w:r w:rsidRPr="0034679B">
        <w:rPr>
          <w:rFonts w:ascii="Bookman Old Style" w:hAnsi="Bookman Old Style"/>
          <w:b/>
          <w:bCs/>
          <w:lang w:val="es-CO" w:eastAsia="x-none"/>
        </w:rPr>
        <w:t xml:space="preserve"> </w:t>
      </w:r>
      <w:r w:rsidRPr="0034679B">
        <w:rPr>
          <w:rFonts w:ascii="Bookman Old Style" w:hAnsi="Bookman Old Style"/>
          <w:b/>
          <w:bCs/>
          <w:color w:val="000000"/>
          <w:lang w:val="es-CO" w:eastAsia="x-none"/>
        </w:rPr>
        <w:t>podrá ser considerada por la autoridad competente como una práctica contraria a la libre competencia. Igual consideración se podrá dar a la declaración reiterada de información inconsistente</w:t>
      </w:r>
      <w:r w:rsidRPr="0034679B">
        <w:rPr>
          <w:rFonts w:ascii="Bookman Old Style" w:hAnsi="Bookman Old Style"/>
          <w:color w:val="000000"/>
          <w:lang w:val="es-CO" w:eastAsia="x-none"/>
        </w:rPr>
        <w:t>.</w:t>
      </w:r>
    </w:p>
    <w:p w14:paraId="5C30E0B3" w14:textId="2CAE1E3B" w:rsidR="000D7663" w:rsidRDefault="000D7663" w:rsidP="000D7663">
      <w:pPr>
        <w:pStyle w:val="ARTICULOS"/>
        <w:numPr>
          <w:ilvl w:val="0"/>
          <w:numId w:val="0"/>
        </w:numPr>
        <w:rPr>
          <w:b/>
          <w:color w:val="000000" w:themeColor="text1"/>
          <w:lang w:val="es-CO"/>
        </w:rPr>
      </w:pPr>
    </w:p>
    <w:p w14:paraId="2ECA7D33" w14:textId="77777777" w:rsidR="00683682" w:rsidRPr="0034679B" w:rsidRDefault="00683682" w:rsidP="000D7663">
      <w:pPr>
        <w:pStyle w:val="ARTICULOS"/>
        <w:numPr>
          <w:ilvl w:val="0"/>
          <w:numId w:val="0"/>
        </w:numPr>
        <w:rPr>
          <w:b/>
          <w:color w:val="000000" w:themeColor="text1"/>
          <w:lang w:val="es-CO"/>
        </w:rPr>
      </w:pPr>
    </w:p>
    <w:p w14:paraId="7639A841" w14:textId="3B7D97AF" w:rsidR="0006302B" w:rsidRPr="0013707D" w:rsidRDefault="0006302B" w:rsidP="00A4790E">
      <w:pPr>
        <w:pStyle w:val="ARTICULOS"/>
        <w:numPr>
          <w:ilvl w:val="1"/>
          <w:numId w:val="36"/>
        </w:numPr>
        <w:ind w:left="567" w:hanging="567"/>
        <w:rPr>
          <w:b/>
          <w:color w:val="000000" w:themeColor="text1"/>
          <w:lang w:val="es-CO"/>
        </w:rPr>
      </w:pPr>
      <w:r w:rsidRPr="0013707D">
        <w:rPr>
          <w:b/>
          <w:color w:val="000000" w:themeColor="text1"/>
          <w:lang w:val="es-CO"/>
        </w:rPr>
        <w:t>Información transaccional del mercado secundario</w:t>
      </w:r>
      <w:bookmarkEnd w:id="114"/>
      <w:bookmarkEnd w:id="115"/>
    </w:p>
    <w:p w14:paraId="1CF8A992" w14:textId="77777777" w:rsidR="0006302B" w:rsidRPr="0013707D" w:rsidRDefault="0006302B" w:rsidP="0006302B">
      <w:pPr>
        <w:pStyle w:val="ARTICULOS"/>
        <w:numPr>
          <w:ilvl w:val="0"/>
          <w:numId w:val="0"/>
        </w:numPr>
        <w:rPr>
          <w:color w:val="000000" w:themeColor="text1"/>
          <w:lang w:val="es-CO"/>
        </w:rPr>
      </w:pPr>
    </w:p>
    <w:p w14:paraId="0A8E0582" w14:textId="77777777" w:rsidR="0006302B" w:rsidRPr="0013707D" w:rsidRDefault="0006302B" w:rsidP="00A4790E">
      <w:pPr>
        <w:pStyle w:val="ARTICULOS"/>
        <w:numPr>
          <w:ilvl w:val="1"/>
          <w:numId w:val="25"/>
        </w:numPr>
        <w:ind w:left="567" w:hanging="567"/>
        <w:rPr>
          <w:color w:val="000000" w:themeColor="text1"/>
          <w:lang w:val="es-CO"/>
        </w:rPr>
      </w:pPr>
      <w:bookmarkStart w:id="116" w:name="_Ref334787561"/>
      <w:r w:rsidRPr="0013707D">
        <w:rPr>
          <w:color w:val="000000" w:themeColor="text1"/>
          <w:lang w:val="es-CO"/>
        </w:rPr>
        <w:t>Recopilación de información sobre el suministro de gas natural en el mercado secundario</w:t>
      </w:r>
      <w:bookmarkEnd w:id="116"/>
      <w:r w:rsidRPr="0013707D">
        <w:rPr>
          <w:color w:val="000000" w:themeColor="text1"/>
          <w:lang w:val="es-CO"/>
        </w:rPr>
        <w:t xml:space="preserve">. </w:t>
      </w:r>
    </w:p>
    <w:p w14:paraId="0575F9F0" w14:textId="77777777" w:rsidR="0006302B" w:rsidRPr="0013707D" w:rsidRDefault="0006302B" w:rsidP="0006302B">
      <w:pPr>
        <w:pStyle w:val="ARTICULOS"/>
        <w:numPr>
          <w:ilvl w:val="0"/>
          <w:numId w:val="0"/>
        </w:numPr>
        <w:rPr>
          <w:color w:val="000000" w:themeColor="text1"/>
          <w:lang w:val="es-CO"/>
        </w:rPr>
      </w:pPr>
    </w:p>
    <w:p w14:paraId="1A021806" w14:textId="2FD299A6" w:rsidR="0006302B" w:rsidRPr="0013707D" w:rsidRDefault="0006302B" w:rsidP="0006302B">
      <w:pPr>
        <w:autoSpaceDE w:val="0"/>
        <w:autoSpaceDN w:val="0"/>
        <w:adjustRightInd w:val="0"/>
        <w:jc w:val="both"/>
        <w:rPr>
          <w:rFonts w:ascii="Bookman Old Style" w:hAnsi="Bookman Old Style"/>
          <w:color w:val="000000"/>
          <w:lang w:val="es-CO"/>
        </w:rPr>
      </w:pPr>
      <w:r w:rsidRPr="0013707D">
        <w:rPr>
          <w:rFonts w:ascii="Bookman Old Style" w:hAnsi="Bookman Old Style"/>
          <w:color w:val="000000"/>
          <w:lang w:val="es-CO"/>
        </w:rPr>
        <w:lastRenderedPageBreak/>
        <w:t>El</w:t>
      </w:r>
      <w:r w:rsidR="00627BE4" w:rsidRPr="00627BE4">
        <w:rPr>
          <w:rFonts w:ascii="Bookman Old Style" w:hAnsi="Bookman Old Style"/>
          <w:u w:color="FF0000"/>
          <w:lang w:val="es-CO"/>
        </w:rPr>
        <w:t xml:space="preserve"> </w:t>
      </w:r>
      <w:r w:rsidR="00627BE4" w:rsidRPr="00956510">
        <w:rPr>
          <w:rFonts w:ascii="Bookman Old Style" w:hAnsi="Bookman Old Style"/>
          <w:u w:color="FF0000"/>
          <w:lang w:val="es-CO"/>
        </w:rPr>
        <w:t>Gesto</w:t>
      </w:r>
      <w:r w:rsidR="00627BE4" w:rsidRPr="00E53E99">
        <w:rPr>
          <w:rFonts w:ascii="Bookman Old Style" w:hAnsi="Bookman Old Style"/>
          <w:u w:color="FF0000"/>
          <w:lang w:val="es-CO"/>
        </w:rPr>
        <w:t>r</w:t>
      </w:r>
      <w:r w:rsidR="00627BE4">
        <w:rPr>
          <w:rFonts w:ascii="Bookman Old Style" w:hAnsi="Bookman Old Style"/>
          <w:u w:color="FF0000"/>
          <w:lang w:val="es-CO"/>
        </w:rPr>
        <w:t xml:space="preserve"> </w:t>
      </w:r>
      <w:r>
        <w:rPr>
          <w:rFonts w:ascii="Bookman Old Style" w:hAnsi="Bookman Old Style"/>
          <w:color w:val="000000"/>
          <w:lang w:val="es-CO"/>
        </w:rPr>
        <w:t>del Mercado</w:t>
      </w:r>
      <w:r w:rsidRPr="0013707D">
        <w:rPr>
          <w:rFonts w:ascii="Bookman Old Style" w:hAnsi="Bookman Old Style"/>
          <w:color w:val="000000"/>
          <w:lang w:val="es-CO"/>
        </w:rPr>
        <w:t xml:space="preserve"> llevará un registro de los contratos </w:t>
      </w:r>
      <w:r w:rsidRPr="00191320">
        <w:rPr>
          <w:rFonts w:ascii="Bookman Old Style" w:hAnsi="Bookman Old Style"/>
          <w:b/>
          <w:bCs/>
          <w:color w:val="000000"/>
          <w:lang w:val="es-CO"/>
        </w:rPr>
        <w:t xml:space="preserve">de </w:t>
      </w:r>
      <w:r w:rsidR="00B61A85" w:rsidRPr="00191320">
        <w:rPr>
          <w:rFonts w:ascii="Bookman Old Style" w:hAnsi="Bookman Old Style"/>
          <w:b/>
          <w:bCs/>
          <w:color w:val="000000"/>
          <w:lang w:val="es-CO"/>
        </w:rPr>
        <w:t xml:space="preserve">derechos de </w:t>
      </w:r>
      <w:r w:rsidRPr="00191320">
        <w:rPr>
          <w:rFonts w:ascii="Bookman Old Style" w:hAnsi="Bookman Old Style"/>
          <w:b/>
          <w:bCs/>
          <w:color w:val="000000"/>
          <w:lang w:val="es-CO"/>
        </w:rPr>
        <w:t xml:space="preserve">suministro </w:t>
      </w:r>
      <w:r w:rsidRPr="0013707D">
        <w:rPr>
          <w:rFonts w:ascii="Bookman Old Style" w:hAnsi="Bookman Old Style"/>
          <w:color w:val="000000"/>
          <w:lang w:val="es-CO"/>
        </w:rPr>
        <w:t>de gas natural que se suscriban en el mercado secundario.</w:t>
      </w:r>
    </w:p>
    <w:p w14:paraId="5D605B9F" w14:textId="77777777" w:rsidR="0006302B" w:rsidRPr="0013707D" w:rsidRDefault="0006302B" w:rsidP="0006302B">
      <w:pPr>
        <w:autoSpaceDE w:val="0"/>
        <w:autoSpaceDN w:val="0"/>
        <w:adjustRightInd w:val="0"/>
        <w:ind w:left="1134"/>
        <w:jc w:val="both"/>
        <w:rPr>
          <w:rFonts w:ascii="Bookman Old Style" w:hAnsi="Bookman Old Style"/>
          <w:color w:val="000000"/>
          <w:lang w:val="es-CO"/>
        </w:rPr>
      </w:pPr>
    </w:p>
    <w:p w14:paraId="54A7BA80" w14:textId="0E042B6F" w:rsidR="0006302B" w:rsidRPr="0013707D" w:rsidRDefault="0006302B" w:rsidP="0006302B">
      <w:pPr>
        <w:autoSpaceDE w:val="0"/>
        <w:autoSpaceDN w:val="0"/>
        <w:adjustRightInd w:val="0"/>
        <w:jc w:val="both"/>
        <w:rPr>
          <w:rFonts w:ascii="Bookman Old Style" w:hAnsi="Bookman Old Style"/>
          <w:color w:val="000000" w:themeColor="text1"/>
          <w:lang w:val="es-CO"/>
        </w:rPr>
      </w:pPr>
      <w:r w:rsidRPr="0013707D">
        <w:rPr>
          <w:rFonts w:ascii="Bookman Old Style" w:hAnsi="Bookman Old Style"/>
          <w:color w:val="000000"/>
          <w:lang w:val="es-CO"/>
        </w:rPr>
        <w:t xml:space="preserve">Los </w:t>
      </w:r>
      <w:r w:rsidRPr="006E7571">
        <w:rPr>
          <w:rFonts w:ascii="Bookman Old Style" w:hAnsi="Bookman Old Style"/>
          <w:color w:val="000000"/>
          <w:lang w:val="es-CO"/>
        </w:rPr>
        <w:t>vendedores y los compradores de gas natural</w:t>
      </w:r>
      <w:r w:rsidRPr="00166D7D">
        <w:rPr>
          <w:rFonts w:ascii="Bookman Old Style" w:hAnsi="Bookman Old Style"/>
          <w:color w:val="000000"/>
          <w:lang w:val="es-CO"/>
        </w:rPr>
        <w:t xml:space="preserve"> a los que se hace referencia en </w:t>
      </w:r>
      <w:r w:rsidRPr="008470D3">
        <w:rPr>
          <w:rFonts w:ascii="Bookman Old Style" w:hAnsi="Bookman Old Style"/>
          <w:color w:val="000000"/>
          <w:lang w:val="es-CO"/>
        </w:rPr>
        <w:t>el</w:t>
      </w:r>
      <w:r w:rsidR="00210424">
        <w:rPr>
          <w:rFonts w:ascii="Bookman Old Style" w:hAnsi="Bookman Old Style"/>
          <w:color w:val="000000"/>
          <w:lang w:val="es-CO"/>
        </w:rPr>
        <w:t xml:space="preserve"> artículo 29</w:t>
      </w:r>
      <w:r w:rsidR="009A71C9" w:rsidRPr="00D66B65">
        <w:rPr>
          <w:rFonts w:ascii="Bookman Old Style" w:hAnsi="Bookman Old Style"/>
          <w:color w:val="000000"/>
          <w:lang w:val="es-CO"/>
        </w:rPr>
        <w:t xml:space="preserve"> </w:t>
      </w:r>
      <w:r w:rsidRPr="00D66B65">
        <w:rPr>
          <w:rFonts w:ascii="Bookman Old Style" w:hAnsi="Bookman Old Style"/>
          <w:color w:val="000000"/>
          <w:lang w:val="es-CO"/>
        </w:rPr>
        <w:t>y el</w:t>
      </w:r>
      <w:r w:rsidR="00210424">
        <w:rPr>
          <w:rFonts w:ascii="Bookman Old Style" w:hAnsi="Bookman Old Style"/>
          <w:color w:val="000000"/>
          <w:lang w:val="es-CO"/>
        </w:rPr>
        <w:t xml:space="preserve"> artículo 30</w:t>
      </w:r>
      <w:r w:rsidR="009A71C9" w:rsidRPr="008470D3">
        <w:rPr>
          <w:rFonts w:ascii="Bookman Old Style" w:hAnsi="Bookman Old Style"/>
          <w:color w:val="000000"/>
          <w:lang w:val="es-CO"/>
        </w:rPr>
        <w:t xml:space="preserve"> </w:t>
      </w:r>
      <w:r w:rsidRPr="008470D3">
        <w:rPr>
          <w:rFonts w:ascii="Bookman Old Style" w:hAnsi="Bookman Old Style"/>
          <w:color w:val="000000"/>
          <w:lang w:val="es-CO"/>
        </w:rPr>
        <w:t xml:space="preserve">de esta Resolución deberán registrar ante el </w:t>
      </w:r>
      <w:r w:rsidR="0011227D" w:rsidRPr="00956510">
        <w:rPr>
          <w:rFonts w:ascii="Bookman Old Style" w:hAnsi="Bookman Old Style"/>
          <w:u w:color="FF0000"/>
          <w:lang w:val="es-CO"/>
        </w:rPr>
        <w:t>Gesto</w:t>
      </w:r>
      <w:r w:rsidR="0011227D" w:rsidRPr="00E53E99">
        <w:rPr>
          <w:rFonts w:ascii="Bookman Old Style" w:hAnsi="Bookman Old Style"/>
          <w:u w:color="FF0000"/>
          <w:lang w:val="es-CO"/>
        </w:rPr>
        <w:t>r</w:t>
      </w:r>
      <w:r w:rsidR="0011227D" w:rsidRPr="00956510" w:rsidDel="00E53E99">
        <w:rPr>
          <w:color w:val="FF0000"/>
          <w:sz w:val="28"/>
          <w:u w:color="FF0000"/>
          <w:lang w:val="es-CO"/>
        </w:rPr>
        <w:t xml:space="preserve"> </w:t>
      </w:r>
      <w:r w:rsidRPr="008470D3">
        <w:rPr>
          <w:rFonts w:ascii="Bookman Old Style" w:hAnsi="Bookman Old Style"/>
          <w:color w:val="000000"/>
          <w:lang w:val="es-CO"/>
        </w:rPr>
        <w:t>del Mercado los contratos</w:t>
      </w:r>
      <w:r w:rsidRPr="0013707D">
        <w:rPr>
          <w:rFonts w:ascii="Bookman Old Style" w:hAnsi="Bookman Old Style"/>
          <w:color w:val="000000"/>
          <w:lang w:val="es-CO"/>
        </w:rPr>
        <w:t xml:space="preserve"> de suministro de gas natural que suscriban en el mercado secundario. Para estos efectos, cada vendedor y cada comprador deberá declarar al </w:t>
      </w:r>
      <w:r w:rsidR="0011227D" w:rsidRPr="00956510">
        <w:rPr>
          <w:rFonts w:ascii="Bookman Old Style" w:hAnsi="Bookman Old Style"/>
          <w:u w:color="FF0000"/>
          <w:lang w:val="es-CO"/>
        </w:rPr>
        <w:t>Gesto</w:t>
      </w:r>
      <w:r w:rsidR="0011227D" w:rsidRPr="00E53E99">
        <w:rPr>
          <w:rFonts w:ascii="Bookman Old Style" w:hAnsi="Bookman Old Style"/>
          <w:u w:color="FF0000"/>
          <w:lang w:val="es-CO"/>
        </w:rPr>
        <w:t>r</w:t>
      </w:r>
      <w:r w:rsidR="0011227D" w:rsidRPr="00956510" w:rsidDel="00E53E99">
        <w:rPr>
          <w:color w:val="FF0000"/>
          <w:sz w:val="28"/>
          <w:u w:color="FF0000"/>
          <w:lang w:val="es-CO"/>
        </w:rPr>
        <w:t xml:space="preserve"> </w:t>
      </w:r>
      <w:r>
        <w:rPr>
          <w:rFonts w:ascii="Bookman Old Style" w:hAnsi="Bookman Old Style"/>
          <w:color w:val="000000"/>
          <w:lang w:val="es-CO"/>
        </w:rPr>
        <w:t>del Mercado</w:t>
      </w:r>
      <w:r w:rsidRPr="0013707D">
        <w:rPr>
          <w:rFonts w:ascii="Bookman Old Style" w:hAnsi="Bookman Old Style"/>
          <w:color w:val="000000"/>
          <w:lang w:val="es-CO"/>
        </w:rPr>
        <w:t xml:space="preserve"> la siguiente información de cada uno de sus contratos:</w:t>
      </w:r>
    </w:p>
    <w:p w14:paraId="41AAB53D" w14:textId="77777777" w:rsidR="0006302B" w:rsidRPr="0013707D" w:rsidRDefault="0006302B" w:rsidP="0006302B">
      <w:pPr>
        <w:pStyle w:val="ARTICULOS"/>
        <w:numPr>
          <w:ilvl w:val="0"/>
          <w:numId w:val="0"/>
        </w:numPr>
        <w:rPr>
          <w:color w:val="000000" w:themeColor="text1"/>
          <w:lang w:val="es-CO"/>
        </w:rPr>
      </w:pPr>
    </w:p>
    <w:p w14:paraId="4CF7BED9" w14:textId="77777777" w:rsidR="0006302B" w:rsidRPr="0013707D" w:rsidRDefault="0006302B" w:rsidP="00A4790E">
      <w:pPr>
        <w:numPr>
          <w:ilvl w:val="0"/>
          <w:numId w:val="40"/>
        </w:numPr>
        <w:autoSpaceDE w:val="0"/>
        <w:autoSpaceDN w:val="0"/>
        <w:adjustRightInd w:val="0"/>
        <w:ind w:left="1134" w:hanging="567"/>
        <w:jc w:val="both"/>
        <w:rPr>
          <w:rFonts w:ascii="Bookman Old Style" w:hAnsi="Bookman Old Style" w:cs="Arial"/>
          <w:b/>
          <w:color w:val="000000" w:themeColor="text1"/>
          <w:lang w:val="es-CO"/>
        </w:rPr>
      </w:pPr>
      <w:bookmarkStart w:id="117" w:name="_Ref334787547"/>
      <w:r w:rsidRPr="0013707D">
        <w:rPr>
          <w:rFonts w:ascii="Bookman Old Style" w:hAnsi="Bookman Old Style" w:cs="Arial"/>
          <w:b/>
          <w:color w:val="000000" w:themeColor="text1"/>
          <w:lang w:val="es-CO"/>
        </w:rPr>
        <w:t>Información contractual</w:t>
      </w:r>
      <w:bookmarkEnd w:id="117"/>
    </w:p>
    <w:p w14:paraId="576174EE"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50CFB018" w14:textId="77777777" w:rsidR="0006302B" w:rsidRDefault="0006302B" w:rsidP="00A4790E">
      <w:pPr>
        <w:pStyle w:val="Prrafodelista"/>
        <w:numPr>
          <w:ilvl w:val="0"/>
          <w:numId w:val="97"/>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Número del contrato.</w:t>
      </w:r>
    </w:p>
    <w:p w14:paraId="64EA37AD" w14:textId="77777777" w:rsidR="00100888" w:rsidRPr="0013707D" w:rsidRDefault="00100888" w:rsidP="00100888">
      <w:pPr>
        <w:pStyle w:val="Prrafodelista"/>
        <w:ind w:left="1713"/>
        <w:contextualSpacing/>
        <w:jc w:val="both"/>
        <w:rPr>
          <w:rFonts w:ascii="Bookman Old Style" w:hAnsi="Bookman Old Style" w:cs="Arial"/>
          <w:color w:val="000000"/>
          <w:sz w:val="24"/>
          <w:szCs w:val="24"/>
        </w:rPr>
      </w:pPr>
    </w:p>
    <w:p w14:paraId="4AA35632" w14:textId="77777777"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Fecha de suscripción del contrato.</w:t>
      </w:r>
    </w:p>
    <w:p w14:paraId="29DC04D2" w14:textId="77777777" w:rsidR="00100888" w:rsidRPr="0013707D" w:rsidRDefault="00100888" w:rsidP="00100888">
      <w:pPr>
        <w:pStyle w:val="Prrafodelista"/>
        <w:ind w:left="1701"/>
        <w:contextualSpacing/>
        <w:jc w:val="both"/>
        <w:rPr>
          <w:rFonts w:ascii="Bookman Old Style" w:hAnsi="Bookman Old Style" w:cs="Arial"/>
          <w:color w:val="000000"/>
          <w:sz w:val="24"/>
          <w:szCs w:val="24"/>
        </w:rPr>
      </w:pPr>
    </w:p>
    <w:p w14:paraId="772E8EF5" w14:textId="77777777"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 xml:space="preserve">Nombre de cada </w:t>
      </w:r>
      <w:r w:rsidRPr="00166D7D">
        <w:rPr>
          <w:rFonts w:ascii="Bookman Old Style" w:hAnsi="Bookman Old Style" w:cs="Arial"/>
          <w:color w:val="000000"/>
          <w:sz w:val="24"/>
          <w:szCs w:val="24"/>
        </w:rPr>
        <w:t xml:space="preserve">una de las </w:t>
      </w:r>
      <w:r w:rsidRPr="00BE1FC1">
        <w:rPr>
          <w:rFonts w:ascii="Bookman Old Style" w:hAnsi="Bookman Old Style" w:cs="Arial"/>
          <w:color w:val="000000"/>
          <w:sz w:val="24"/>
          <w:szCs w:val="24"/>
        </w:rPr>
        <w:t>partes.</w:t>
      </w:r>
    </w:p>
    <w:p w14:paraId="296EEC50" w14:textId="77777777" w:rsidR="00100888" w:rsidRPr="00100888" w:rsidRDefault="00100888" w:rsidP="00100888">
      <w:pPr>
        <w:pStyle w:val="Prrafodelista"/>
        <w:rPr>
          <w:rFonts w:ascii="Bookman Old Style" w:hAnsi="Bookman Old Style" w:cs="Arial"/>
          <w:color w:val="000000"/>
          <w:sz w:val="24"/>
          <w:szCs w:val="24"/>
        </w:rPr>
      </w:pPr>
    </w:p>
    <w:p w14:paraId="502F4231" w14:textId="789BB7F8"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BE1FC1">
        <w:rPr>
          <w:rFonts w:ascii="Bookman Old Style" w:hAnsi="Bookman Old Style" w:cs="Arial"/>
          <w:b/>
          <w:bCs/>
          <w:color w:val="000000"/>
          <w:sz w:val="24"/>
          <w:szCs w:val="24"/>
        </w:rPr>
        <w:t>Modalidad</w:t>
      </w:r>
      <w:r w:rsidRPr="00BE1FC1">
        <w:rPr>
          <w:rFonts w:ascii="Bookman Old Style" w:hAnsi="Bookman Old Style" w:cs="Arial"/>
          <w:color w:val="000000"/>
          <w:sz w:val="24"/>
          <w:szCs w:val="24"/>
        </w:rPr>
        <w:t xml:space="preserve"> de contrato, según lo dispuesto en el</w:t>
      </w:r>
      <w:r w:rsidR="00210424">
        <w:rPr>
          <w:rFonts w:ascii="Bookman Old Style" w:hAnsi="Bookman Old Style" w:cs="Arial"/>
          <w:color w:val="000000"/>
          <w:sz w:val="24"/>
          <w:szCs w:val="24"/>
        </w:rPr>
        <w:t xml:space="preserve"> artículo 26</w:t>
      </w:r>
      <w:r w:rsidRPr="00BE1FC1">
        <w:rPr>
          <w:rFonts w:ascii="Bookman Old Style" w:hAnsi="Bookman Old Style" w:cs="Arial"/>
          <w:color w:val="000000"/>
          <w:sz w:val="24"/>
          <w:szCs w:val="24"/>
        </w:rPr>
        <w:t xml:space="preserve"> de esta Resolución</w:t>
      </w:r>
      <w:r w:rsidR="004F1269" w:rsidRPr="00BE1FC1">
        <w:rPr>
          <w:rFonts w:ascii="Bookman Old Style" w:hAnsi="Bookman Old Style" w:cs="Arial"/>
          <w:color w:val="000000"/>
          <w:sz w:val="24"/>
          <w:szCs w:val="24"/>
        </w:rPr>
        <w:t xml:space="preserve"> (firme, CFC, OCGX, CSC, CI)</w:t>
      </w:r>
      <w:r w:rsidRPr="00BE1FC1">
        <w:rPr>
          <w:rFonts w:ascii="Bookman Old Style" w:hAnsi="Bookman Old Style" w:cs="Arial"/>
          <w:color w:val="000000"/>
          <w:sz w:val="24"/>
          <w:szCs w:val="24"/>
        </w:rPr>
        <w:t>.</w:t>
      </w:r>
    </w:p>
    <w:p w14:paraId="5D9157CB" w14:textId="77777777" w:rsidR="00100888" w:rsidRPr="00BE1FC1" w:rsidRDefault="00100888" w:rsidP="00100888">
      <w:pPr>
        <w:pStyle w:val="Prrafodelista"/>
        <w:ind w:left="1701"/>
        <w:contextualSpacing/>
        <w:jc w:val="both"/>
        <w:rPr>
          <w:rFonts w:ascii="Bookman Old Style" w:hAnsi="Bookman Old Style" w:cs="Arial"/>
          <w:color w:val="000000"/>
          <w:sz w:val="24"/>
          <w:szCs w:val="24"/>
        </w:rPr>
      </w:pPr>
    </w:p>
    <w:p w14:paraId="400B2EF0" w14:textId="77777777"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BE1FC1">
        <w:rPr>
          <w:rFonts w:ascii="Bookman Old Style" w:hAnsi="Bookman Old Style" w:cs="Arial"/>
          <w:color w:val="000000"/>
          <w:sz w:val="24"/>
          <w:szCs w:val="24"/>
        </w:rPr>
        <w:t xml:space="preserve">Punto Estándar de entrega según lo establecido en esta resolución.  </w:t>
      </w:r>
    </w:p>
    <w:p w14:paraId="7C163677" w14:textId="77777777" w:rsidR="00100888" w:rsidRPr="00100888" w:rsidRDefault="00100888" w:rsidP="00100888">
      <w:pPr>
        <w:pStyle w:val="Prrafodelista"/>
        <w:rPr>
          <w:rFonts w:ascii="Bookman Old Style" w:hAnsi="Bookman Old Style" w:cs="Arial"/>
          <w:color w:val="000000"/>
          <w:sz w:val="24"/>
          <w:szCs w:val="24"/>
        </w:rPr>
      </w:pPr>
    </w:p>
    <w:p w14:paraId="08147E90" w14:textId="10F98A81"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BE1FC1">
        <w:rPr>
          <w:rFonts w:ascii="Bookman Old Style" w:hAnsi="Bookman Old Style" w:cs="Arial"/>
          <w:color w:val="000000"/>
          <w:sz w:val="24"/>
          <w:szCs w:val="24"/>
        </w:rPr>
        <w:t>Cantidad de energía contratada, expresada en MBTUD.</w:t>
      </w:r>
    </w:p>
    <w:p w14:paraId="688E4DEB" w14:textId="77777777" w:rsidR="00100888" w:rsidRPr="00BE1FC1" w:rsidRDefault="00100888" w:rsidP="00100888">
      <w:pPr>
        <w:pStyle w:val="Prrafodelista"/>
        <w:ind w:left="1701"/>
        <w:contextualSpacing/>
        <w:jc w:val="both"/>
        <w:rPr>
          <w:rFonts w:ascii="Bookman Old Style" w:hAnsi="Bookman Old Style" w:cs="Arial"/>
          <w:color w:val="000000"/>
          <w:sz w:val="24"/>
          <w:szCs w:val="24"/>
        </w:rPr>
      </w:pPr>
    </w:p>
    <w:p w14:paraId="504338B9" w14:textId="7F549E7F" w:rsidR="007B17E0" w:rsidRDefault="007B17E0"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b/>
          <w:bCs/>
          <w:color w:val="000000"/>
          <w:sz w:val="24"/>
          <w:szCs w:val="24"/>
        </w:rPr>
        <w:t>Precio a la fecha de suscripción del contrato, expresado en dólares de los Estados Unidos de América por MBTU</w:t>
      </w:r>
      <w:r w:rsidR="00100888">
        <w:rPr>
          <w:rFonts w:ascii="Bookman Old Style" w:hAnsi="Bookman Old Style" w:cs="Arial"/>
          <w:b/>
          <w:bCs/>
          <w:color w:val="000000"/>
          <w:sz w:val="24"/>
          <w:szCs w:val="24"/>
        </w:rPr>
        <w:t>.</w:t>
      </w:r>
    </w:p>
    <w:p w14:paraId="23EF95D1" w14:textId="77777777" w:rsidR="00100888" w:rsidRPr="00100888" w:rsidRDefault="00100888" w:rsidP="00100888">
      <w:pPr>
        <w:pStyle w:val="Prrafodelista"/>
        <w:rPr>
          <w:rFonts w:ascii="Bookman Old Style" w:hAnsi="Bookman Old Style" w:cs="Arial"/>
          <w:b/>
          <w:bCs/>
          <w:color w:val="000000"/>
          <w:sz w:val="24"/>
          <w:szCs w:val="24"/>
        </w:rPr>
      </w:pPr>
    </w:p>
    <w:p w14:paraId="25A5938D" w14:textId="27BE90D4" w:rsidR="003E3116"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BE1FC1">
        <w:rPr>
          <w:rFonts w:ascii="Bookman Old Style" w:hAnsi="Bookman Old Style" w:cs="Arial"/>
          <w:color w:val="000000"/>
          <w:sz w:val="24"/>
          <w:szCs w:val="24"/>
        </w:rPr>
        <w:t>Precio</w:t>
      </w:r>
      <w:r w:rsidR="00B61A85" w:rsidRPr="00BE1FC1">
        <w:rPr>
          <w:rFonts w:ascii="Bookman Old Style" w:hAnsi="Bookman Old Style" w:cs="Arial"/>
          <w:color w:val="000000"/>
          <w:sz w:val="24"/>
          <w:szCs w:val="24"/>
        </w:rPr>
        <w:t xml:space="preserve"> </w:t>
      </w:r>
      <w:r w:rsidR="00EE6CD9" w:rsidRPr="00EE6CD9">
        <w:rPr>
          <w:rFonts w:ascii="Bookman Old Style" w:hAnsi="Bookman Old Style" w:cs="Arial"/>
          <w:b/>
          <w:bCs/>
          <w:color w:val="000000"/>
          <w:sz w:val="24"/>
          <w:szCs w:val="24"/>
        </w:rPr>
        <w:t>o porcentaje</w:t>
      </w:r>
      <w:r w:rsidR="00EE6CD9">
        <w:rPr>
          <w:rFonts w:ascii="Bookman Old Style" w:hAnsi="Bookman Old Style" w:cs="Arial"/>
          <w:color w:val="000000"/>
          <w:sz w:val="24"/>
          <w:szCs w:val="24"/>
        </w:rPr>
        <w:t xml:space="preserve"> </w:t>
      </w:r>
      <w:r w:rsidR="00B61A85" w:rsidRPr="00BE1FC1">
        <w:rPr>
          <w:rFonts w:ascii="Bookman Old Style" w:hAnsi="Bookman Old Style" w:cs="Arial"/>
          <w:b/>
          <w:bCs/>
          <w:color w:val="000000"/>
          <w:sz w:val="24"/>
          <w:szCs w:val="24"/>
        </w:rPr>
        <w:t>de intermediación</w:t>
      </w:r>
      <w:r w:rsidRPr="00BE1FC1">
        <w:rPr>
          <w:rFonts w:ascii="Bookman Old Style" w:hAnsi="Bookman Old Style" w:cs="Arial"/>
          <w:color w:val="000000"/>
          <w:sz w:val="24"/>
          <w:szCs w:val="24"/>
        </w:rPr>
        <w:t xml:space="preserve"> a la fecha de suscripción del contrato,</w:t>
      </w:r>
      <w:r w:rsidR="003E3116" w:rsidRPr="00BE1FC1">
        <w:rPr>
          <w:rFonts w:ascii="Bookman Old Style" w:hAnsi="Bookman Old Style" w:cs="Arial"/>
          <w:color w:val="000000"/>
          <w:sz w:val="24"/>
          <w:szCs w:val="24"/>
        </w:rPr>
        <w:t xml:space="preserve"> expresado en dólares de los Estados Unidos de América por MBTU</w:t>
      </w:r>
      <w:r w:rsidR="00100888">
        <w:rPr>
          <w:rFonts w:ascii="Bookman Old Style" w:hAnsi="Bookman Old Style" w:cs="Arial"/>
          <w:color w:val="000000"/>
          <w:sz w:val="24"/>
          <w:szCs w:val="24"/>
        </w:rPr>
        <w:t>.</w:t>
      </w:r>
    </w:p>
    <w:p w14:paraId="77E9885C" w14:textId="77777777" w:rsidR="00100888" w:rsidRPr="00BE1FC1" w:rsidRDefault="00100888" w:rsidP="00100888">
      <w:pPr>
        <w:pStyle w:val="Prrafodelista"/>
        <w:ind w:left="1701"/>
        <w:contextualSpacing/>
        <w:jc w:val="both"/>
        <w:rPr>
          <w:rFonts w:ascii="Bookman Old Style" w:hAnsi="Bookman Old Style" w:cs="Arial"/>
          <w:color w:val="000000"/>
          <w:sz w:val="24"/>
          <w:szCs w:val="24"/>
        </w:rPr>
      </w:pPr>
    </w:p>
    <w:p w14:paraId="154817D5" w14:textId="3F0600B0" w:rsidR="0006302B" w:rsidRDefault="003E3116"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BE1FC1">
        <w:rPr>
          <w:rFonts w:ascii="Bookman Old Style" w:hAnsi="Bookman Old Style" w:cs="Arial"/>
          <w:b/>
          <w:bCs/>
          <w:color w:val="000000"/>
          <w:sz w:val="24"/>
          <w:szCs w:val="24"/>
        </w:rPr>
        <w:t>C</w:t>
      </w:r>
      <w:r w:rsidR="0006302B" w:rsidRPr="00BE1FC1">
        <w:rPr>
          <w:rFonts w:ascii="Bookman Old Style" w:hAnsi="Bookman Old Style" w:cs="Arial"/>
          <w:b/>
          <w:bCs/>
          <w:color w:val="000000"/>
          <w:sz w:val="24"/>
          <w:szCs w:val="24"/>
        </w:rPr>
        <w:t xml:space="preserve">osto </w:t>
      </w:r>
      <w:r w:rsidR="00F87E4F">
        <w:rPr>
          <w:rFonts w:ascii="Bookman Old Style" w:hAnsi="Bookman Old Style" w:cs="Arial"/>
          <w:b/>
          <w:bCs/>
          <w:color w:val="000000"/>
          <w:sz w:val="24"/>
          <w:szCs w:val="24"/>
        </w:rPr>
        <w:t xml:space="preserve">asumido por el vendedor por </w:t>
      </w:r>
      <w:r w:rsidR="0006302B" w:rsidRPr="00BE1FC1">
        <w:rPr>
          <w:rFonts w:ascii="Bookman Old Style" w:hAnsi="Bookman Old Style" w:cs="Arial"/>
          <w:b/>
          <w:bCs/>
          <w:color w:val="000000"/>
          <w:sz w:val="24"/>
          <w:szCs w:val="24"/>
        </w:rPr>
        <w:t>el tran</w:t>
      </w:r>
      <w:r w:rsidR="00B61A85" w:rsidRPr="00BE1FC1">
        <w:rPr>
          <w:rFonts w:ascii="Bookman Old Style" w:hAnsi="Bookman Old Style" w:cs="Arial"/>
          <w:b/>
          <w:bCs/>
          <w:color w:val="000000"/>
          <w:sz w:val="24"/>
          <w:szCs w:val="24"/>
        </w:rPr>
        <w:t>s</w:t>
      </w:r>
      <w:r w:rsidR="0006302B" w:rsidRPr="00BE1FC1">
        <w:rPr>
          <w:rFonts w:ascii="Bookman Old Style" w:hAnsi="Bookman Old Style" w:cs="Arial"/>
          <w:b/>
          <w:bCs/>
          <w:color w:val="000000"/>
          <w:sz w:val="24"/>
          <w:szCs w:val="24"/>
        </w:rPr>
        <w:t xml:space="preserve">porte </w:t>
      </w:r>
      <w:r w:rsidR="00F87E4F">
        <w:rPr>
          <w:rFonts w:ascii="Bookman Old Style" w:hAnsi="Bookman Old Style" w:cs="Arial"/>
          <w:b/>
          <w:bCs/>
          <w:color w:val="000000"/>
          <w:sz w:val="24"/>
          <w:szCs w:val="24"/>
        </w:rPr>
        <w:t xml:space="preserve">del gas </w:t>
      </w:r>
      <w:r w:rsidR="0006302B" w:rsidRPr="00BE1FC1">
        <w:rPr>
          <w:rFonts w:ascii="Bookman Old Style" w:hAnsi="Bookman Old Style" w:cs="Arial"/>
          <w:b/>
          <w:bCs/>
          <w:color w:val="000000"/>
          <w:sz w:val="24"/>
          <w:szCs w:val="24"/>
        </w:rPr>
        <w:t>hasta dicho Punto Estándar de Entrega,</w:t>
      </w:r>
      <w:r w:rsidR="0006302B" w:rsidRPr="00BE1FC1">
        <w:rPr>
          <w:rFonts w:ascii="Bookman Old Style" w:hAnsi="Bookman Old Style" w:cs="Arial"/>
          <w:color w:val="000000"/>
          <w:sz w:val="24"/>
          <w:szCs w:val="24"/>
        </w:rPr>
        <w:t xml:space="preserve"> expresado en dólares de los Estados Unidos de América por MBTU.</w:t>
      </w:r>
    </w:p>
    <w:p w14:paraId="6F356F44" w14:textId="77777777" w:rsidR="00100888" w:rsidRPr="00100888" w:rsidRDefault="00100888" w:rsidP="00100888">
      <w:pPr>
        <w:pStyle w:val="Prrafodelista"/>
        <w:rPr>
          <w:rFonts w:ascii="Bookman Old Style" w:hAnsi="Bookman Old Style" w:cs="Arial"/>
          <w:color w:val="000000"/>
          <w:sz w:val="24"/>
          <w:szCs w:val="24"/>
        </w:rPr>
      </w:pPr>
    </w:p>
    <w:p w14:paraId="09C6FEBB" w14:textId="77777777"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Fecha de inicio de la obligación de entrega (día/mes/año). En el caso de los contratos con duración menor a veinticuatro horas durante el día de gas también se deberá declarar la hora de inicio.</w:t>
      </w:r>
    </w:p>
    <w:p w14:paraId="6D8C23CE" w14:textId="77777777" w:rsidR="00100888" w:rsidRPr="0013707D" w:rsidRDefault="00100888" w:rsidP="00100888">
      <w:pPr>
        <w:pStyle w:val="Prrafodelista"/>
        <w:ind w:left="1701"/>
        <w:contextualSpacing/>
        <w:jc w:val="both"/>
        <w:rPr>
          <w:rFonts w:ascii="Bookman Old Style" w:hAnsi="Bookman Old Style" w:cs="Arial"/>
          <w:color w:val="000000"/>
          <w:sz w:val="24"/>
          <w:szCs w:val="24"/>
        </w:rPr>
      </w:pPr>
    </w:p>
    <w:p w14:paraId="3226EFD3" w14:textId="5B5AD5F4" w:rsidR="0006302B" w:rsidRDefault="0006302B" w:rsidP="00A4790E">
      <w:pPr>
        <w:pStyle w:val="Prrafodelista"/>
        <w:numPr>
          <w:ilvl w:val="0"/>
          <w:numId w:val="97"/>
        </w:numPr>
        <w:ind w:left="1701" w:hanging="567"/>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Fecha de terminación de la obligación de entrega (día/mes/año). En el caso de los contratos con duración menor a veinticuatro horas durante el día de gas también se deberá declarar la hora de terminación.</w:t>
      </w:r>
    </w:p>
    <w:p w14:paraId="46CEEAE0" w14:textId="77777777" w:rsidR="005B51B9" w:rsidRPr="00BE1FC1" w:rsidRDefault="005B51B9" w:rsidP="005B51B9">
      <w:pPr>
        <w:pStyle w:val="Prrafodelista"/>
        <w:ind w:left="1701"/>
        <w:contextualSpacing/>
        <w:jc w:val="both"/>
        <w:rPr>
          <w:rFonts w:ascii="Bookman Old Style" w:hAnsi="Bookman Old Style" w:cs="Arial"/>
          <w:color w:val="000000"/>
          <w:sz w:val="24"/>
          <w:szCs w:val="24"/>
        </w:rPr>
      </w:pPr>
    </w:p>
    <w:p w14:paraId="42D4004F" w14:textId="53940D7A" w:rsidR="005B51B9" w:rsidRPr="00BE1FC1" w:rsidRDefault="005B51B9" w:rsidP="00A4790E">
      <w:pPr>
        <w:pStyle w:val="Prrafodelista"/>
        <w:numPr>
          <w:ilvl w:val="0"/>
          <w:numId w:val="97"/>
        </w:numPr>
        <w:ind w:hanging="579"/>
        <w:contextualSpacing/>
        <w:jc w:val="both"/>
        <w:rPr>
          <w:rFonts w:ascii="Bookman Old Style" w:hAnsi="Bookman Old Style" w:cs="Arial"/>
          <w:b/>
          <w:bCs/>
          <w:color w:val="000000" w:themeColor="text1"/>
          <w:sz w:val="24"/>
          <w:szCs w:val="24"/>
          <w:lang w:eastAsia="es-ES"/>
        </w:rPr>
      </w:pPr>
      <w:r w:rsidRPr="00BE1FC1">
        <w:rPr>
          <w:rFonts w:ascii="Bookman Old Style" w:hAnsi="Bookman Old Style" w:cs="Arial"/>
          <w:b/>
          <w:bCs/>
          <w:color w:val="000000" w:themeColor="text1"/>
          <w:sz w:val="24"/>
          <w:szCs w:val="24"/>
          <w:lang w:eastAsia="es-ES"/>
        </w:rPr>
        <w:t xml:space="preserve">Tipo de demanda </w:t>
      </w:r>
      <w:r w:rsidR="00FA4343" w:rsidRPr="00BE1FC1">
        <w:rPr>
          <w:rFonts w:ascii="Bookman Old Style" w:hAnsi="Bookman Old Style" w:cs="Arial"/>
          <w:b/>
          <w:bCs/>
          <w:color w:val="000000" w:themeColor="text1"/>
          <w:sz w:val="24"/>
          <w:szCs w:val="24"/>
          <w:lang w:eastAsia="es-ES"/>
        </w:rPr>
        <w:t xml:space="preserve">(esencial o no esencial) </w:t>
      </w:r>
      <w:r w:rsidRPr="00BE1FC1">
        <w:rPr>
          <w:rFonts w:ascii="Bookman Old Style" w:hAnsi="Bookman Old Style" w:cs="Arial"/>
          <w:b/>
          <w:bCs/>
          <w:color w:val="000000" w:themeColor="text1"/>
          <w:sz w:val="24"/>
          <w:szCs w:val="24"/>
          <w:lang w:eastAsia="es-ES"/>
        </w:rPr>
        <w:t>y sector de consumo</w:t>
      </w:r>
      <w:r w:rsidR="00FA4343" w:rsidRPr="00BE1FC1">
        <w:rPr>
          <w:rFonts w:ascii="Bookman Old Style" w:hAnsi="Bookman Old Style" w:cs="Arial"/>
          <w:b/>
          <w:bCs/>
          <w:color w:val="000000" w:themeColor="text1"/>
          <w:sz w:val="24"/>
          <w:szCs w:val="24"/>
          <w:lang w:eastAsia="es-ES"/>
        </w:rPr>
        <w:t xml:space="preserve"> (industrial, termoeléctrico, refinerías, GNCV, sistemas de transporte de gas natural, </w:t>
      </w:r>
      <w:r w:rsidR="00403755" w:rsidRPr="00BE1FC1">
        <w:rPr>
          <w:rFonts w:ascii="Bookman Old Style" w:hAnsi="Bookman Old Style" w:cs="Arial"/>
          <w:b/>
          <w:bCs/>
          <w:color w:val="000000" w:themeColor="text1"/>
          <w:sz w:val="24"/>
          <w:szCs w:val="24"/>
          <w:lang w:eastAsia="es-ES"/>
        </w:rPr>
        <w:t xml:space="preserve">petroquímica, </w:t>
      </w:r>
      <w:r w:rsidR="00FA4343" w:rsidRPr="00BE1FC1">
        <w:rPr>
          <w:rFonts w:ascii="Bookman Old Style" w:hAnsi="Bookman Old Style" w:cs="Arial"/>
          <w:b/>
          <w:bCs/>
          <w:color w:val="000000" w:themeColor="text1"/>
          <w:sz w:val="24"/>
          <w:szCs w:val="24"/>
          <w:lang w:eastAsia="es-ES"/>
        </w:rPr>
        <w:t>comercial, residencial)</w:t>
      </w:r>
    </w:p>
    <w:p w14:paraId="3AA3EEAD" w14:textId="77777777" w:rsidR="00FA4343" w:rsidRPr="00BE1FC1" w:rsidRDefault="00FA4343" w:rsidP="00FA4343">
      <w:pPr>
        <w:pStyle w:val="Prrafodelista"/>
        <w:rPr>
          <w:rFonts w:ascii="Bookman Old Style" w:hAnsi="Bookman Old Style" w:cs="Arial"/>
          <w:b/>
          <w:bCs/>
          <w:color w:val="000000" w:themeColor="text1"/>
          <w:sz w:val="24"/>
          <w:szCs w:val="24"/>
          <w:lang w:eastAsia="es-ES"/>
        </w:rPr>
      </w:pPr>
    </w:p>
    <w:p w14:paraId="1ACB4BB8" w14:textId="1C924C93" w:rsidR="0006302B" w:rsidRPr="00BE1FC1" w:rsidRDefault="0006302B"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b/>
          <w:bCs/>
          <w:color w:val="000000"/>
          <w:sz w:val="24"/>
          <w:szCs w:val="24"/>
        </w:rPr>
        <w:t>Moneda de pago pactada en el contrato.</w:t>
      </w:r>
    </w:p>
    <w:p w14:paraId="339060C5" w14:textId="77777777" w:rsidR="004D6E36" w:rsidRPr="00BE1FC1" w:rsidRDefault="004D6E36" w:rsidP="004D6E36">
      <w:pPr>
        <w:pStyle w:val="Prrafodelista"/>
        <w:ind w:left="1701"/>
        <w:contextualSpacing/>
        <w:jc w:val="both"/>
        <w:rPr>
          <w:rFonts w:ascii="Bookman Old Style" w:hAnsi="Bookman Old Style" w:cs="Arial"/>
          <w:b/>
          <w:bCs/>
          <w:color w:val="000000"/>
          <w:sz w:val="24"/>
          <w:szCs w:val="24"/>
        </w:rPr>
      </w:pPr>
    </w:p>
    <w:p w14:paraId="252EA1ED" w14:textId="74452B12" w:rsidR="00186EF7" w:rsidRPr="00BE1FC1" w:rsidRDefault="0006302B"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b/>
          <w:bCs/>
          <w:color w:val="000000"/>
          <w:sz w:val="24"/>
          <w:szCs w:val="24"/>
        </w:rPr>
        <w:t>Tasa de Cambio pactada en el contrato para efectos de la conversión de dólares de los Estados Unidos de América a pesos colombianos para la liquidación y facturación, si es el caso.</w:t>
      </w:r>
    </w:p>
    <w:p w14:paraId="1FE89D9B" w14:textId="77777777" w:rsidR="00186EF7" w:rsidRPr="00BE1FC1" w:rsidRDefault="00186EF7" w:rsidP="00186EF7">
      <w:pPr>
        <w:pStyle w:val="Prrafodelista"/>
        <w:rPr>
          <w:rFonts w:ascii="Bookman Old Style" w:hAnsi="Bookman Old Style" w:cs="Arial"/>
          <w:b/>
          <w:bCs/>
          <w:color w:val="000000"/>
          <w:sz w:val="24"/>
          <w:szCs w:val="24"/>
        </w:rPr>
      </w:pPr>
    </w:p>
    <w:p w14:paraId="382DBBA8" w14:textId="3B812BBE" w:rsidR="004D6E36" w:rsidRPr="00BE1FC1" w:rsidRDefault="004D6E36"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b/>
          <w:bCs/>
          <w:color w:val="000000"/>
          <w:sz w:val="24"/>
          <w:szCs w:val="24"/>
        </w:rPr>
        <w:t xml:space="preserve">Información complementaria: </w:t>
      </w:r>
      <w:r w:rsidRPr="00BE1FC1">
        <w:rPr>
          <w:rFonts w:ascii="Bookman Old Style" w:hAnsi="Bookman Old Style"/>
          <w:color w:val="000000"/>
          <w:sz w:val="24"/>
          <w:szCs w:val="24"/>
        </w:rPr>
        <w:t xml:space="preserve">cada comprador deberá declarar al </w:t>
      </w:r>
      <w:r w:rsidR="00BC24A9" w:rsidRPr="00BE1FC1">
        <w:rPr>
          <w:rFonts w:ascii="Bookman Old Style" w:hAnsi="Bookman Old Style"/>
          <w:sz w:val="24"/>
          <w:szCs w:val="24"/>
        </w:rPr>
        <w:t>Gestor</w:t>
      </w:r>
      <w:r w:rsidR="00BC24A9" w:rsidRPr="00BE1FC1" w:rsidDel="00E53E99">
        <w:rPr>
          <w:color w:val="FF0000"/>
          <w:sz w:val="28"/>
        </w:rPr>
        <w:t xml:space="preserve"> </w:t>
      </w:r>
      <w:r w:rsidRPr="00BE1FC1">
        <w:rPr>
          <w:rFonts w:ascii="Bookman Old Style" w:hAnsi="Bookman Old Style"/>
          <w:color w:val="000000"/>
          <w:sz w:val="24"/>
          <w:szCs w:val="24"/>
        </w:rPr>
        <w:t xml:space="preserve">del Mercado el </w:t>
      </w:r>
      <w:r w:rsidRPr="00BE1FC1">
        <w:rPr>
          <w:rFonts w:ascii="Bookman Old Style" w:hAnsi="Bookman Old Style" w:cs="Arial"/>
          <w:color w:val="000000"/>
          <w:sz w:val="24"/>
          <w:szCs w:val="24"/>
        </w:rPr>
        <w:t xml:space="preserve">tipo de demanda a atender con el contrato. Esto es, </w:t>
      </w:r>
      <w:r w:rsidRPr="00BE1FC1">
        <w:rPr>
          <w:rFonts w:ascii="Bookman Old Style" w:hAnsi="Bookman Old Style" w:cs="Arial"/>
          <w:b/>
          <w:bCs/>
          <w:color w:val="000000"/>
          <w:sz w:val="24"/>
          <w:szCs w:val="24"/>
        </w:rPr>
        <w:t xml:space="preserve">si corresponde a Demanda Esencial o no, si corresponde a usuarios regulados o no regulados, desagregado en </w:t>
      </w:r>
      <w:r w:rsidRPr="00BE1FC1">
        <w:rPr>
          <w:rFonts w:ascii="Bookman Old Style" w:hAnsi="Bookman Old Style" w:cs="Arial"/>
          <w:b/>
          <w:bCs/>
          <w:color w:val="000000" w:themeColor="text1"/>
          <w:sz w:val="24"/>
          <w:szCs w:val="24"/>
        </w:rPr>
        <w:t>la demanda de gas natural para la operación de las estaciones de compresión del SNT, la demanda de gas natural de usuarios residenciales y pequeños usuarios comerciales inmersos en la red de distribución, la demanda de GNCV, y la demanda de gas natural de las refinerías, excluyendo aquella con destino a autogeneración de energía eléctrica que pueda ser reemplazada con energía del Sistema Interconectado Nacional,</w:t>
      </w:r>
      <w:r w:rsidRPr="00BE1FC1">
        <w:rPr>
          <w:rFonts w:ascii="Bookman Old Style" w:hAnsi="Bookman Old Style" w:cs="Arial"/>
          <w:b/>
          <w:bCs/>
          <w:color w:val="000000"/>
          <w:sz w:val="24"/>
          <w:szCs w:val="24"/>
        </w:rPr>
        <w:t xml:space="preserve"> y pequeños usuarios comerciales inmersos en la red de distribución</w:t>
      </w:r>
      <w:r w:rsidRPr="00BE1FC1">
        <w:rPr>
          <w:rFonts w:ascii="Bookman Old Style" w:hAnsi="Bookman Old Style" w:cs="Arial"/>
          <w:color w:val="000000"/>
          <w:sz w:val="24"/>
          <w:szCs w:val="24"/>
        </w:rPr>
        <w:t xml:space="preserve">, comercial, industrial,  petroquímica, generación térmica, exportaciones u otros. </w:t>
      </w:r>
      <w:r w:rsidRPr="00BE1FC1">
        <w:rPr>
          <w:rFonts w:ascii="Bookman Old Style" w:hAnsi="Bookman Old Style" w:cs="Arial"/>
          <w:b/>
          <w:bCs/>
          <w:color w:val="000000" w:themeColor="text1"/>
          <w:sz w:val="24"/>
          <w:szCs w:val="24"/>
        </w:rPr>
        <w:t xml:space="preserve">Los compradores del mercado secundario deberán declarar el mercado de comercialización </w:t>
      </w:r>
      <w:r w:rsidR="00783BCB">
        <w:rPr>
          <w:rFonts w:ascii="Bookman Old Style" w:hAnsi="Bookman Old Style" w:cs="Arial"/>
          <w:b/>
          <w:bCs/>
          <w:color w:val="000000" w:themeColor="text1"/>
          <w:sz w:val="24"/>
          <w:szCs w:val="24"/>
        </w:rPr>
        <w:t xml:space="preserve">o los usuarios no regulados </w:t>
      </w:r>
      <w:r w:rsidRPr="00BE1FC1">
        <w:rPr>
          <w:rFonts w:ascii="Bookman Old Style" w:hAnsi="Bookman Old Style" w:cs="Arial"/>
          <w:b/>
          <w:bCs/>
          <w:color w:val="000000" w:themeColor="text1"/>
          <w:sz w:val="24"/>
          <w:szCs w:val="24"/>
        </w:rPr>
        <w:t xml:space="preserve">que se atenderá con el contrato de derechos de suministro, así como la cantidad de gas contratada a entregar, discriminando entre </w:t>
      </w:r>
      <w:r w:rsidR="00F439FD">
        <w:rPr>
          <w:rFonts w:ascii="Bookman Old Style" w:hAnsi="Bookman Old Style" w:cs="Arial"/>
          <w:b/>
          <w:bCs/>
          <w:color w:val="000000" w:themeColor="text1"/>
          <w:sz w:val="24"/>
          <w:szCs w:val="24"/>
        </w:rPr>
        <w:t>Demanda Esencial</w:t>
      </w:r>
      <w:r w:rsidRPr="00BE1FC1">
        <w:rPr>
          <w:rFonts w:ascii="Bookman Old Style" w:hAnsi="Bookman Old Style" w:cs="Arial"/>
          <w:b/>
          <w:bCs/>
          <w:color w:val="000000" w:themeColor="text1"/>
          <w:sz w:val="24"/>
          <w:szCs w:val="24"/>
        </w:rPr>
        <w:t xml:space="preserve"> y </w:t>
      </w:r>
      <w:r w:rsidR="00F439FD">
        <w:rPr>
          <w:rFonts w:ascii="Bookman Old Style" w:hAnsi="Bookman Old Style" w:cs="Arial"/>
          <w:b/>
          <w:bCs/>
          <w:color w:val="000000" w:themeColor="text1"/>
          <w:sz w:val="24"/>
          <w:szCs w:val="24"/>
        </w:rPr>
        <w:t>no Esencial</w:t>
      </w:r>
      <w:r w:rsidRPr="00BE1FC1">
        <w:rPr>
          <w:rFonts w:ascii="Bookman Old Style" w:hAnsi="Bookman Old Style" w:cs="Arial"/>
          <w:b/>
          <w:bCs/>
          <w:color w:val="000000" w:themeColor="text1"/>
          <w:sz w:val="24"/>
          <w:szCs w:val="24"/>
        </w:rPr>
        <w:t>, Regulados y no regulados.</w:t>
      </w:r>
    </w:p>
    <w:p w14:paraId="2C04A6A9" w14:textId="77777777" w:rsidR="004D6E36" w:rsidRPr="00BE1FC1" w:rsidRDefault="004D6E36" w:rsidP="004D6E36">
      <w:pPr>
        <w:pStyle w:val="Prrafodelista"/>
        <w:ind w:left="1701"/>
        <w:contextualSpacing/>
        <w:jc w:val="both"/>
        <w:rPr>
          <w:rFonts w:ascii="Bookman Old Style" w:hAnsi="Bookman Old Style" w:cs="Arial"/>
          <w:b/>
          <w:bCs/>
          <w:color w:val="000000"/>
          <w:sz w:val="24"/>
          <w:szCs w:val="24"/>
        </w:rPr>
      </w:pPr>
    </w:p>
    <w:p w14:paraId="04BE3D51" w14:textId="6E271323" w:rsidR="00EB41C9" w:rsidRPr="00BE1FC1" w:rsidRDefault="00EB41C9"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b/>
          <w:bCs/>
          <w:color w:val="000000"/>
          <w:sz w:val="24"/>
          <w:szCs w:val="24"/>
        </w:rPr>
        <w:t>Información sobre si el vendedor tiene relación con el comprador</w:t>
      </w:r>
      <w:r w:rsidRPr="00BE1FC1">
        <w:rPr>
          <w:rFonts w:ascii="Bookman Old Style" w:hAnsi="Bookman Old Style"/>
          <w:b/>
          <w:bCs/>
          <w:sz w:val="24"/>
          <w:szCs w:val="24"/>
        </w:rPr>
        <w:t xml:space="preserve">, si es </w:t>
      </w:r>
      <w:r w:rsidRPr="00BE1FC1">
        <w:rPr>
          <w:rFonts w:ascii="Bookman Old Style" w:hAnsi="Bookman Old Style" w:cs="Arial"/>
          <w:b/>
          <w:bCs/>
          <w:color w:val="000000"/>
          <w:sz w:val="24"/>
          <w:szCs w:val="24"/>
        </w:rPr>
        <w:t>filial, subsidiaria, sociedad matriz, y/o cualquier otra sociedad que sea parte de un mismo grupo económico.</w:t>
      </w:r>
    </w:p>
    <w:p w14:paraId="1142F856" w14:textId="77777777" w:rsidR="00EB41C9" w:rsidRPr="00BE1FC1" w:rsidRDefault="00EB41C9" w:rsidP="002D5416">
      <w:pPr>
        <w:pStyle w:val="Prrafodelista"/>
        <w:rPr>
          <w:rFonts w:ascii="Bookman Old Style" w:hAnsi="Bookman Old Style" w:cs="Arial"/>
          <w:color w:val="000000"/>
          <w:sz w:val="24"/>
          <w:szCs w:val="24"/>
        </w:rPr>
      </w:pPr>
    </w:p>
    <w:p w14:paraId="0A04167B" w14:textId="0AB96E01" w:rsidR="0006302B" w:rsidRPr="00BE1FC1" w:rsidRDefault="0006302B" w:rsidP="00A4790E">
      <w:pPr>
        <w:pStyle w:val="Prrafodelista"/>
        <w:numPr>
          <w:ilvl w:val="0"/>
          <w:numId w:val="97"/>
        </w:numPr>
        <w:ind w:left="1701" w:hanging="567"/>
        <w:contextualSpacing/>
        <w:jc w:val="both"/>
        <w:rPr>
          <w:rFonts w:ascii="Bookman Old Style" w:hAnsi="Bookman Old Style" w:cs="Arial"/>
          <w:b/>
          <w:bCs/>
          <w:color w:val="000000"/>
          <w:sz w:val="24"/>
          <w:szCs w:val="24"/>
        </w:rPr>
      </w:pPr>
      <w:r w:rsidRPr="00BE1FC1">
        <w:rPr>
          <w:rFonts w:ascii="Bookman Old Style" w:hAnsi="Bookman Old Style" w:cs="Arial"/>
          <w:color w:val="000000"/>
          <w:sz w:val="24"/>
          <w:szCs w:val="24"/>
        </w:rPr>
        <w:t>La demás información que determine la CREG</w:t>
      </w:r>
      <w:r w:rsidRPr="00BE1FC1">
        <w:rPr>
          <w:rFonts w:ascii="Bookman Old Style" w:hAnsi="Bookman Old Style" w:cs="Arial"/>
          <w:b/>
          <w:bCs/>
          <w:color w:val="000000"/>
          <w:sz w:val="24"/>
          <w:szCs w:val="24"/>
        </w:rPr>
        <w:t>.</w:t>
      </w:r>
    </w:p>
    <w:p w14:paraId="59DF15AB" w14:textId="35383F31" w:rsidR="0006302B" w:rsidRDefault="0006302B" w:rsidP="0006302B">
      <w:pPr>
        <w:pStyle w:val="Prrafodelista"/>
        <w:ind w:left="1701"/>
        <w:contextualSpacing/>
        <w:jc w:val="both"/>
        <w:rPr>
          <w:rFonts w:ascii="Bookman Old Style" w:hAnsi="Bookman Old Style" w:cs="Arial"/>
          <w:color w:val="000000" w:themeColor="text1"/>
          <w:sz w:val="24"/>
          <w:szCs w:val="24"/>
          <w:lang w:eastAsia="es-ES"/>
        </w:rPr>
      </w:pPr>
    </w:p>
    <w:p w14:paraId="08B80804" w14:textId="3A945DD0" w:rsidR="0006302B" w:rsidRPr="0013707D" w:rsidRDefault="0006302B" w:rsidP="00BE1FC1">
      <w:pPr>
        <w:autoSpaceDE w:val="0"/>
        <w:autoSpaceDN w:val="0"/>
        <w:adjustRightInd w:val="0"/>
        <w:ind w:left="1134"/>
        <w:jc w:val="both"/>
        <w:rPr>
          <w:rFonts w:ascii="Bookman Old Style" w:hAnsi="Bookman Old Style"/>
          <w:color w:val="000000"/>
          <w:lang w:val="es-CO"/>
        </w:rPr>
      </w:pPr>
      <w:r w:rsidRPr="0013707D">
        <w:rPr>
          <w:rFonts w:ascii="Bookman Old Style" w:hAnsi="Bookman Old Style"/>
          <w:color w:val="000000"/>
          <w:lang w:val="es-CO"/>
        </w:rPr>
        <w:t xml:space="preserve">La declaración de la información para el registro de los contratos </w:t>
      </w:r>
      <w:r w:rsidRPr="0013707D">
        <w:rPr>
          <w:rFonts w:ascii="Bookman Old Style" w:hAnsi="Bookman Old Style" w:cs="Arial"/>
          <w:color w:val="000000"/>
          <w:lang w:val="es-CO"/>
        </w:rPr>
        <w:t>se</w:t>
      </w:r>
      <w:r w:rsidRPr="0013707D">
        <w:rPr>
          <w:rFonts w:ascii="Bookman Old Style" w:hAnsi="Bookman Old Style"/>
          <w:color w:val="000000"/>
          <w:lang w:val="es-CO"/>
        </w:rPr>
        <w:t xml:space="preserve"> realizará a través del medio y del formato que defina el </w:t>
      </w:r>
      <w:r w:rsidR="00BC24A9" w:rsidRPr="00956510">
        <w:rPr>
          <w:rFonts w:ascii="Bookman Old Style" w:hAnsi="Bookman Old Style"/>
          <w:u w:color="FF0000"/>
          <w:lang w:val="es-CO"/>
        </w:rPr>
        <w:t>Gesto</w:t>
      </w:r>
      <w:r w:rsidR="00BC24A9" w:rsidRPr="00E53E99">
        <w:rPr>
          <w:rFonts w:ascii="Bookman Old Style" w:hAnsi="Bookman Old Style"/>
          <w:u w:color="FF0000"/>
          <w:lang w:val="es-CO"/>
        </w:rPr>
        <w:t>r</w:t>
      </w:r>
      <w:r w:rsidR="00BC24A9" w:rsidRPr="00956510" w:rsidDel="00E53E99">
        <w:rPr>
          <w:color w:val="FF0000"/>
          <w:sz w:val="28"/>
          <w:u w:color="FF0000"/>
          <w:lang w:val="es-CO"/>
        </w:rPr>
        <w:t xml:space="preserve"> </w:t>
      </w:r>
      <w:r>
        <w:rPr>
          <w:rFonts w:ascii="Bookman Old Style" w:hAnsi="Bookman Old Style"/>
          <w:color w:val="000000"/>
          <w:lang w:val="es-CO"/>
        </w:rPr>
        <w:t>del Mercado</w:t>
      </w:r>
      <w:r w:rsidRPr="0013707D">
        <w:rPr>
          <w:rFonts w:ascii="Bookman Old Style" w:hAnsi="Bookman Old Style"/>
          <w:color w:val="000000"/>
          <w:lang w:val="es-CO"/>
        </w:rPr>
        <w:t>.</w:t>
      </w:r>
    </w:p>
    <w:p w14:paraId="17184784" w14:textId="77777777" w:rsidR="0006302B" w:rsidRPr="0013707D" w:rsidRDefault="0006302B" w:rsidP="00BE1FC1">
      <w:pPr>
        <w:autoSpaceDE w:val="0"/>
        <w:autoSpaceDN w:val="0"/>
        <w:adjustRightInd w:val="0"/>
        <w:ind w:left="1134"/>
        <w:jc w:val="both"/>
        <w:rPr>
          <w:rFonts w:ascii="Bookman Old Style" w:hAnsi="Bookman Old Style"/>
          <w:color w:val="000000"/>
          <w:lang w:val="es-CO"/>
        </w:rPr>
      </w:pPr>
    </w:p>
    <w:p w14:paraId="197C4010" w14:textId="7FA7C4BA" w:rsidR="0006302B" w:rsidRPr="00BE1FC1" w:rsidRDefault="0006302B" w:rsidP="00BE1FC1">
      <w:pPr>
        <w:autoSpaceDE w:val="0"/>
        <w:autoSpaceDN w:val="0"/>
        <w:adjustRightInd w:val="0"/>
        <w:ind w:left="1134"/>
        <w:jc w:val="both"/>
        <w:rPr>
          <w:rFonts w:ascii="Bookman Old Style" w:hAnsi="Bookman Old Style"/>
          <w:color w:val="000000"/>
          <w:lang w:val="es-CO"/>
        </w:rPr>
      </w:pPr>
      <w:r w:rsidRPr="00610099">
        <w:rPr>
          <w:rFonts w:ascii="Bookman Old Style" w:hAnsi="Bookman Old Style"/>
          <w:color w:val="000000"/>
          <w:lang w:val="es-CO"/>
        </w:rPr>
        <w:t xml:space="preserve">Los </w:t>
      </w:r>
      <w:r>
        <w:rPr>
          <w:rFonts w:ascii="Bookman Old Style" w:hAnsi="Bookman Old Style"/>
          <w:color w:val="000000"/>
          <w:lang w:val="es-CO"/>
        </w:rPr>
        <w:t>Participantes del Mercado</w:t>
      </w:r>
      <w:r w:rsidRPr="008470D3">
        <w:rPr>
          <w:rFonts w:ascii="Bookman Old Style" w:hAnsi="Bookman Old Style"/>
          <w:color w:val="000000"/>
          <w:lang w:val="es-CO"/>
        </w:rPr>
        <w:t xml:space="preserve"> a los que se hace referencia en el</w:t>
      </w:r>
      <w:r w:rsidR="00210424">
        <w:rPr>
          <w:rFonts w:ascii="Bookman Old Style" w:hAnsi="Bookman Old Style"/>
          <w:color w:val="000000"/>
          <w:lang w:val="es-CO"/>
        </w:rPr>
        <w:t xml:space="preserve"> artículo 29 y en el artículo 30</w:t>
      </w:r>
      <w:r w:rsidR="009A71C9" w:rsidRPr="008470D3">
        <w:rPr>
          <w:rFonts w:ascii="Bookman Old Style" w:hAnsi="Bookman Old Style"/>
          <w:color w:val="000000"/>
          <w:lang w:val="es-CO"/>
        </w:rPr>
        <w:t xml:space="preserve"> </w:t>
      </w:r>
      <w:r w:rsidRPr="008470D3">
        <w:rPr>
          <w:rFonts w:ascii="Bookman Old Style" w:hAnsi="Bookman Old Style"/>
          <w:color w:val="000000"/>
          <w:lang w:val="es-CO"/>
        </w:rPr>
        <w:t>de</w:t>
      </w:r>
      <w:r w:rsidRPr="00610099">
        <w:rPr>
          <w:rFonts w:ascii="Bookman Old Style" w:hAnsi="Bookman Old Style"/>
          <w:color w:val="000000"/>
          <w:lang w:val="es-CO"/>
        </w:rPr>
        <w:t xml:space="preserve"> esta Resolución deberán actualizar el registro ante el </w:t>
      </w:r>
      <w:r w:rsidR="00BC24A9" w:rsidRPr="00956510">
        <w:rPr>
          <w:rFonts w:ascii="Bookman Old Style" w:hAnsi="Bookman Old Style"/>
          <w:u w:color="FF0000"/>
          <w:lang w:val="es-CO"/>
        </w:rPr>
        <w:t>Gesto</w:t>
      </w:r>
      <w:r w:rsidR="00BC24A9" w:rsidRPr="00E53E99">
        <w:rPr>
          <w:rFonts w:ascii="Bookman Old Style" w:hAnsi="Bookman Old Style"/>
          <w:u w:color="FF0000"/>
          <w:lang w:val="es-CO"/>
        </w:rPr>
        <w:t>r</w:t>
      </w:r>
      <w:r w:rsidR="00BC24A9" w:rsidRPr="00956510" w:rsidDel="00E53E99">
        <w:rPr>
          <w:color w:val="FF0000"/>
          <w:sz w:val="28"/>
          <w:u w:color="FF0000"/>
          <w:lang w:val="es-CO"/>
        </w:rPr>
        <w:t xml:space="preserve"> </w:t>
      </w:r>
      <w:r w:rsidRPr="00610099">
        <w:rPr>
          <w:rFonts w:ascii="Bookman Old Style" w:hAnsi="Bookman Old Style"/>
          <w:color w:val="000000"/>
          <w:lang w:val="es-CO"/>
        </w:rPr>
        <w:t xml:space="preserve">del Mercado, en los eventos en que exista cesión, terminación anticipada o modificación del contrato de suministro de gas natural. Para estos </w:t>
      </w:r>
      <w:r w:rsidRPr="00BE1FC1">
        <w:rPr>
          <w:rFonts w:ascii="Bookman Old Style" w:hAnsi="Bookman Old Style"/>
          <w:color w:val="000000"/>
          <w:lang w:val="es-CO"/>
        </w:rPr>
        <w:t xml:space="preserve">efectos los vendedores y los compradores deberán declarar al </w:t>
      </w:r>
      <w:r w:rsidR="00BC24A9" w:rsidRPr="00BE1FC1">
        <w:rPr>
          <w:rFonts w:ascii="Bookman Old Style" w:hAnsi="Bookman Old Style"/>
          <w:lang w:val="es-CO"/>
        </w:rPr>
        <w:t>Gestor</w:t>
      </w:r>
      <w:r w:rsidR="00BC24A9" w:rsidRPr="00BE1FC1" w:rsidDel="00E53E99">
        <w:rPr>
          <w:color w:val="FF0000"/>
          <w:sz w:val="28"/>
          <w:lang w:val="es-CO"/>
        </w:rPr>
        <w:t xml:space="preserve"> </w:t>
      </w:r>
      <w:r w:rsidRPr="00BE1FC1">
        <w:rPr>
          <w:rFonts w:ascii="Bookman Old Style" w:hAnsi="Bookman Old Style"/>
          <w:color w:val="000000"/>
          <w:lang w:val="es-CO"/>
        </w:rPr>
        <w:t>del Mercado la información previamente señalada, debidamente actualizada.</w:t>
      </w:r>
    </w:p>
    <w:p w14:paraId="08EF1E29" w14:textId="5864BA06" w:rsidR="008A0519" w:rsidRPr="00BE1FC1" w:rsidRDefault="008A0519" w:rsidP="00BE1FC1">
      <w:pPr>
        <w:autoSpaceDE w:val="0"/>
        <w:autoSpaceDN w:val="0"/>
        <w:adjustRightInd w:val="0"/>
        <w:ind w:left="1134"/>
        <w:jc w:val="both"/>
        <w:rPr>
          <w:rFonts w:ascii="Bookman Old Style" w:hAnsi="Bookman Old Style"/>
          <w:color w:val="000000"/>
          <w:lang w:val="es-CO"/>
        </w:rPr>
      </w:pPr>
    </w:p>
    <w:p w14:paraId="05672ACF" w14:textId="74BC4E20" w:rsidR="008A0519" w:rsidRPr="00BE1FC1" w:rsidRDefault="008A0519" w:rsidP="00BE1FC1">
      <w:pPr>
        <w:autoSpaceDE w:val="0"/>
        <w:autoSpaceDN w:val="0"/>
        <w:adjustRightInd w:val="0"/>
        <w:ind w:left="1134"/>
        <w:jc w:val="both"/>
        <w:rPr>
          <w:rFonts w:ascii="Bookman Old Style" w:hAnsi="Bookman Old Style"/>
          <w:b/>
          <w:bCs/>
          <w:color w:val="000000" w:themeColor="text1"/>
          <w:lang w:val="es-CO"/>
        </w:rPr>
      </w:pPr>
      <w:r w:rsidRPr="00BE1FC1">
        <w:rPr>
          <w:rFonts w:ascii="Bookman Old Style" w:hAnsi="Bookman Old Style"/>
          <w:b/>
          <w:bCs/>
          <w:color w:val="000000" w:themeColor="text1"/>
          <w:lang w:val="es-CO"/>
        </w:rPr>
        <w:t xml:space="preserve">El </w:t>
      </w:r>
      <w:r w:rsidRPr="00BE1FC1">
        <w:rPr>
          <w:rFonts w:ascii="Bookman Old Style" w:hAnsi="Bookman Old Style"/>
          <w:b/>
          <w:bCs/>
          <w:lang w:val="es-CO"/>
        </w:rPr>
        <w:t xml:space="preserve">Gestor </w:t>
      </w:r>
      <w:r w:rsidRPr="00BE1FC1">
        <w:rPr>
          <w:rFonts w:ascii="Bookman Old Style" w:hAnsi="Bookman Old Style"/>
          <w:b/>
          <w:bCs/>
          <w:color w:val="000000" w:themeColor="text1"/>
          <w:lang w:val="es-CO"/>
        </w:rPr>
        <w:t>del Mercado deberá contar con copia de los contratos de suministro referidos</w:t>
      </w:r>
      <w:r w:rsidR="00472EF2">
        <w:rPr>
          <w:rFonts w:ascii="Bookman Old Style" w:hAnsi="Bookman Old Style"/>
          <w:b/>
          <w:bCs/>
          <w:color w:val="000000" w:themeColor="text1"/>
          <w:lang w:val="es-CO"/>
        </w:rPr>
        <w:t>. P</w:t>
      </w:r>
      <w:r w:rsidRPr="00BE1FC1">
        <w:rPr>
          <w:rFonts w:ascii="Bookman Old Style" w:hAnsi="Bookman Old Style"/>
          <w:b/>
          <w:bCs/>
          <w:color w:val="000000" w:themeColor="text1"/>
          <w:lang w:val="es-CO"/>
        </w:rPr>
        <w:t xml:space="preserve">ara este efecto, los vendedores a los que se hace referencia en </w:t>
      </w:r>
      <w:r w:rsidR="00472EF2">
        <w:rPr>
          <w:rFonts w:ascii="Bookman Old Style" w:hAnsi="Bookman Old Style"/>
          <w:b/>
          <w:bCs/>
          <w:color w:val="000000" w:themeColor="text1"/>
          <w:lang w:val="es-CO"/>
        </w:rPr>
        <w:t>el artículo</w:t>
      </w:r>
      <w:r w:rsidRPr="00BE1FC1">
        <w:rPr>
          <w:rFonts w:ascii="Bookman Old Style" w:hAnsi="Bookman Old Style"/>
          <w:b/>
          <w:bCs/>
          <w:color w:val="000000" w:themeColor="text1"/>
          <w:lang w:val="es-CO"/>
        </w:rPr>
        <w:t xml:space="preserve"> 16 de esta Resolución estarán en la obligación de entregar tales copias </w:t>
      </w:r>
      <w:r w:rsidRPr="00BE1FC1">
        <w:rPr>
          <w:rFonts w:ascii="Bookman Old Style" w:hAnsi="Bookman Old Style"/>
          <w:b/>
          <w:bCs/>
          <w:lang w:val="es-CO"/>
        </w:rPr>
        <w:t xml:space="preserve">al Gestor </w:t>
      </w:r>
      <w:r w:rsidRPr="00BE1FC1">
        <w:rPr>
          <w:rFonts w:ascii="Bookman Old Style" w:hAnsi="Bookman Old Style"/>
          <w:b/>
          <w:bCs/>
          <w:color w:val="000000" w:themeColor="text1"/>
          <w:lang w:val="es-CO"/>
        </w:rPr>
        <w:t>del Mercado.</w:t>
      </w:r>
    </w:p>
    <w:p w14:paraId="2B415BB0" w14:textId="77777777" w:rsidR="008A0519" w:rsidRPr="00BE1FC1" w:rsidRDefault="008A0519" w:rsidP="00BE1FC1">
      <w:pPr>
        <w:autoSpaceDE w:val="0"/>
        <w:autoSpaceDN w:val="0"/>
        <w:adjustRightInd w:val="0"/>
        <w:ind w:left="1134"/>
        <w:jc w:val="both"/>
        <w:rPr>
          <w:rFonts w:ascii="Bookman Old Style" w:hAnsi="Bookman Old Style"/>
          <w:color w:val="000000"/>
          <w:lang w:val="es-CO"/>
        </w:rPr>
      </w:pPr>
    </w:p>
    <w:p w14:paraId="10788E24" w14:textId="42E0BC13" w:rsidR="0006302B" w:rsidRDefault="0006302B" w:rsidP="00BE1FC1">
      <w:pPr>
        <w:autoSpaceDE w:val="0"/>
        <w:autoSpaceDN w:val="0"/>
        <w:adjustRightInd w:val="0"/>
        <w:ind w:left="1134"/>
        <w:jc w:val="both"/>
        <w:rPr>
          <w:rFonts w:ascii="Bookman Old Style" w:hAnsi="Bookman Old Style"/>
          <w:color w:val="000000"/>
          <w:lang w:val="es-CO"/>
        </w:rPr>
      </w:pPr>
      <w:r w:rsidRPr="00BE1FC1">
        <w:rPr>
          <w:rFonts w:ascii="Bookman Old Style" w:hAnsi="Bookman Old Style"/>
          <w:color w:val="000000"/>
          <w:lang w:val="es-CO"/>
        </w:rPr>
        <w:t xml:space="preserve">La no declaración de la información aquí señalada </w:t>
      </w:r>
      <w:r w:rsidRPr="00BE1FC1">
        <w:rPr>
          <w:rFonts w:ascii="Bookman Old Style" w:hAnsi="Bookman Old Style"/>
          <w:b/>
          <w:bCs/>
          <w:color w:val="000000" w:themeColor="text1"/>
          <w:lang w:val="es-CO"/>
        </w:rPr>
        <w:t xml:space="preserve">y entregada de manera incompleta en los formatos establecidos por el </w:t>
      </w:r>
      <w:r w:rsidR="0022131A" w:rsidRPr="00BE1FC1">
        <w:rPr>
          <w:rFonts w:ascii="Bookman Old Style" w:hAnsi="Bookman Old Style"/>
          <w:b/>
          <w:lang w:val="es-CO"/>
        </w:rPr>
        <w:t>Gestor</w:t>
      </w:r>
      <w:r w:rsidRPr="00BE1FC1">
        <w:rPr>
          <w:rFonts w:ascii="Bookman Old Style" w:hAnsi="Bookman Old Style"/>
          <w:b/>
          <w:lang w:val="es-CO"/>
        </w:rPr>
        <w:t xml:space="preserve"> </w:t>
      </w:r>
      <w:r w:rsidRPr="00BE1FC1">
        <w:rPr>
          <w:rFonts w:ascii="Bookman Old Style" w:hAnsi="Bookman Old Style"/>
          <w:b/>
          <w:bCs/>
          <w:color w:val="000000"/>
          <w:lang w:val="es-CO"/>
        </w:rPr>
        <w:t xml:space="preserve">del </w:t>
      </w:r>
      <w:r w:rsidRPr="00BE1FC1">
        <w:rPr>
          <w:rFonts w:ascii="Bookman Old Style" w:hAnsi="Bookman Old Style"/>
          <w:b/>
          <w:bCs/>
          <w:color w:val="000000"/>
          <w:lang w:val="es-CO"/>
        </w:rPr>
        <w:lastRenderedPageBreak/>
        <w:t>Mercado</w:t>
      </w:r>
      <w:r w:rsidRPr="00BE1FC1">
        <w:rPr>
          <w:rFonts w:ascii="Bookman Old Style" w:hAnsi="Bookman Old Style"/>
          <w:color w:val="000000"/>
          <w:lang w:val="es-CO"/>
        </w:rPr>
        <w:t xml:space="preserve"> </w:t>
      </w:r>
      <w:r w:rsidR="008B6902" w:rsidRPr="00BE1FC1">
        <w:rPr>
          <w:rFonts w:ascii="Bookman Old Style" w:hAnsi="Bookman Old Style"/>
          <w:b/>
          <w:bCs/>
          <w:color w:val="000000" w:themeColor="text1"/>
          <w:lang w:val="es-CO"/>
        </w:rPr>
        <w:t>no permitirá el registro del contrato</w:t>
      </w:r>
      <w:r w:rsidR="008B6902" w:rsidRPr="00BE1FC1">
        <w:rPr>
          <w:rFonts w:ascii="Bookman Old Style" w:hAnsi="Bookman Old Style"/>
          <w:color w:val="000000" w:themeColor="text1"/>
          <w:lang w:val="es-CO"/>
        </w:rPr>
        <w:t xml:space="preserve"> y </w:t>
      </w:r>
      <w:r w:rsidRPr="00BE1FC1">
        <w:rPr>
          <w:rFonts w:ascii="Bookman Old Style" w:hAnsi="Bookman Old Style"/>
          <w:color w:val="000000"/>
          <w:lang w:val="es-CO"/>
        </w:rPr>
        <w:t>podrá</w:t>
      </w:r>
      <w:r w:rsidRPr="0013707D">
        <w:rPr>
          <w:rFonts w:ascii="Bookman Old Style" w:hAnsi="Bookman Old Style"/>
          <w:color w:val="000000"/>
          <w:lang w:val="es-CO"/>
        </w:rPr>
        <w:t xml:space="preserve"> ser considerada por la autoridad competente como una práctica contraria a la libre competencia. Igual consideración se podrá dar a la </w:t>
      </w:r>
      <w:r w:rsidRPr="00610099">
        <w:rPr>
          <w:rFonts w:ascii="Bookman Old Style" w:hAnsi="Bookman Old Style"/>
          <w:color w:val="000000"/>
          <w:lang w:val="es-CO"/>
        </w:rPr>
        <w:t>declaración reiterada de información inconsistente.</w:t>
      </w:r>
    </w:p>
    <w:p w14:paraId="16CA5B44" w14:textId="6C1BEEFB" w:rsidR="008B6902" w:rsidRDefault="008B6902" w:rsidP="00191320">
      <w:pPr>
        <w:autoSpaceDE w:val="0"/>
        <w:autoSpaceDN w:val="0"/>
        <w:adjustRightInd w:val="0"/>
        <w:jc w:val="both"/>
        <w:rPr>
          <w:rFonts w:ascii="Bookman Old Style" w:hAnsi="Bookman Old Style"/>
          <w:color w:val="000000"/>
          <w:lang w:val="es-CO"/>
        </w:rPr>
      </w:pPr>
    </w:p>
    <w:p w14:paraId="03717BDD" w14:textId="7AEC4475" w:rsidR="0006302B" w:rsidRPr="00610099" w:rsidRDefault="0006302B" w:rsidP="00A4790E">
      <w:pPr>
        <w:numPr>
          <w:ilvl w:val="0"/>
          <w:numId w:val="40"/>
        </w:numPr>
        <w:autoSpaceDE w:val="0"/>
        <w:autoSpaceDN w:val="0"/>
        <w:adjustRightInd w:val="0"/>
        <w:ind w:left="1134" w:hanging="567"/>
        <w:jc w:val="both"/>
        <w:rPr>
          <w:rFonts w:ascii="Bookman Old Style" w:hAnsi="Bookman Old Style" w:cs="Arial"/>
          <w:b/>
          <w:color w:val="000000" w:themeColor="text1"/>
          <w:lang w:val="es-CO"/>
        </w:rPr>
      </w:pPr>
      <w:r w:rsidRPr="00610099">
        <w:rPr>
          <w:rFonts w:ascii="Bookman Old Style" w:hAnsi="Bookman Old Style" w:cs="Arial"/>
          <w:b/>
          <w:color w:val="000000" w:themeColor="text1"/>
          <w:lang w:val="es-CO"/>
        </w:rPr>
        <w:t xml:space="preserve">Información </w:t>
      </w:r>
      <w:r w:rsidRPr="00610099">
        <w:rPr>
          <w:rFonts w:ascii="Bookman Old Style" w:hAnsi="Bookman Old Style"/>
          <w:b/>
          <w:color w:val="000000"/>
          <w:lang w:val="es-CO"/>
        </w:rPr>
        <w:t>sobre contratos con interrupciones pactados a través de negociaciones directas</w:t>
      </w:r>
      <w:r w:rsidR="000D7663">
        <w:rPr>
          <w:rFonts w:ascii="Bookman Old Style" w:hAnsi="Bookman Old Style"/>
          <w:b/>
          <w:color w:val="000000"/>
          <w:lang w:val="es-CO"/>
        </w:rPr>
        <w:t xml:space="preserve"> en el Mercado Secundario</w:t>
      </w:r>
    </w:p>
    <w:p w14:paraId="33A97BF7" w14:textId="77777777" w:rsidR="0006302B" w:rsidRPr="00610099" w:rsidRDefault="0006302B" w:rsidP="0006302B">
      <w:pPr>
        <w:autoSpaceDE w:val="0"/>
        <w:autoSpaceDN w:val="0"/>
        <w:adjustRightInd w:val="0"/>
        <w:ind w:left="1134"/>
        <w:jc w:val="both"/>
        <w:rPr>
          <w:rFonts w:ascii="Bookman Old Style" w:hAnsi="Bookman Old Style"/>
          <w:color w:val="000000" w:themeColor="text1"/>
          <w:lang w:val="es-CO"/>
        </w:rPr>
      </w:pPr>
    </w:p>
    <w:p w14:paraId="080592CB" w14:textId="77777777" w:rsidR="0006302B" w:rsidRPr="00610099" w:rsidRDefault="0006302B" w:rsidP="0006302B">
      <w:pPr>
        <w:autoSpaceDE w:val="0"/>
        <w:autoSpaceDN w:val="0"/>
        <w:adjustRightInd w:val="0"/>
        <w:ind w:left="992" w:firstLine="142"/>
        <w:jc w:val="both"/>
        <w:rPr>
          <w:rFonts w:ascii="Bookman Old Style" w:hAnsi="Bookman Old Style"/>
          <w:b/>
          <w:color w:val="000000"/>
          <w:lang w:val="es-CO"/>
        </w:rPr>
      </w:pPr>
      <w:r w:rsidRPr="00610099">
        <w:rPr>
          <w:rFonts w:ascii="Bookman Old Style" w:hAnsi="Bookman Old Style"/>
          <w:b/>
          <w:color w:val="000000"/>
          <w:lang w:val="es-CO"/>
        </w:rPr>
        <w:t>Información contractual:</w:t>
      </w:r>
    </w:p>
    <w:p w14:paraId="58DD23FA" w14:textId="77777777" w:rsidR="0006302B" w:rsidRPr="00610099" w:rsidRDefault="0006302B" w:rsidP="0006302B">
      <w:pPr>
        <w:autoSpaceDE w:val="0"/>
        <w:autoSpaceDN w:val="0"/>
        <w:adjustRightInd w:val="0"/>
        <w:ind w:left="1701"/>
        <w:jc w:val="both"/>
        <w:rPr>
          <w:rFonts w:ascii="Bookman Old Style" w:hAnsi="Bookman Old Style"/>
          <w:bCs/>
          <w:color w:val="000000"/>
          <w:lang w:val="es-CO"/>
        </w:rPr>
      </w:pPr>
    </w:p>
    <w:p w14:paraId="36BA0A6F" w14:textId="49B0D201" w:rsidR="0006302B" w:rsidRPr="00610099" w:rsidRDefault="0006302B" w:rsidP="0006302B">
      <w:pPr>
        <w:autoSpaceDE w:val="0"/>
        <w:autoSpaceDN w:val="0"/>
        <w:adjustRightInd w:val="0"/>
        <w:ind w:left="1134"/>
        <w:jc w:val="both"/>
        <w:rPr>
          <w:rFonts w:ascii="Bookman Old Style" w:hAnsi="Bookman Old Style"/>
          <w:color w:val="000000" w:themeColor="text1"/>
          <w:lang w:val="es-CO"/>
        </w:rPr>
      </w:pPr>
      <w:r w:rsidRPr="00610099">
        <w:rPr>
          <w:rFonts w:ascii="Bookman Old Style" w:hAnsi="Bookman Old Style"/>
          <w:bCs/>
          <w:color w:val="000000"/>
          <w:lang w:val="es-CO"/>
        </w:rPr>
        <w:t xml:space="preserve">A más tardar </w:t>
      </w:r>
      <w:r w:rsidR="00913E26" w:rsidRPr="00913E26">
        <w:rPr>
          <w:rFonts w:ascii="Bookman Old Style" w:hAnsi="Bookman Old Style"/>
          <w:b/>
          <w:color w:val="000000"/>
          <w:lang w:val="es-CO"/>
        </w:rPr>
        <w:t>un (</w:t>
      </w:r>
      <w:r w:rsidR="005C607A" w:rsidRPr="00913E26">
        <w:rPr>
          <w:rFonts w:ascii="Bookman Old Style" w:hAnsi="Bookman Old Style"/>
          <w:b/>
          <w:color w:val="000000"/>
          <w:lang w:val="es-CO"/>
        </w:rPr>
        <w:t>1</w:t>
      </w:r>
      <w:r w:rsidR="00913E26" w:rsidRPr="00913E26">
        <w:rPr>
          <w:rFonts w:ascii="Bookman Old Style" w:hAnsi="Bookman Old Style"/>
          <w:b/>
          <w:color w:val="000000"/>
          <w:lang w:val="es-CO"/>
        </w:rPr>
        <w:t>)</w:t>
      </w:r>
      <w:r w:rsidR="005C607A" w:rsidRPr="00610099">
        <w:rPr>
          <w:rFonts w:ascii="Bookman Old Style" w:hAnsi="Bookman Old Style"/>
          <w:bCs/>
          <w:color w:val="000000"/>
          <w:lang w:val="es-CO"/>
        </w:rPr>
        <w:t xml:space="preserve"> </w:t>
      </w:r>
      <w:r w:rsidRPr="00610099">
        <w:rPr>
          <w:rFonts w:ascii="Bookman Old Style" w:hAnsi="Bookman Old Style"/>
          <w:bCs/>
          <w:color w:val="000000"/>
          <w:lang w:val="es-CO"/>
        </w:rPr>
        <w:t xml:space="preserve">día hábil antes del inicio de la ejecución, los compradores y vendedores deberán declarar al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610099">
        <w:rPr>
          <w:rFonts w:ascii="Bookman Old Style" w:hAnsi="Bookman Old Style"/>
          <w:bCs/>
          <w:color w:val="000000"/>
          <w:lang w:val="es-CO"/>
        </w:rPr>
        <w:t>del Mercado la siguiente información relacionada con el contrato</w:t>
      </w:r>
      <w:r w:rsidRPr="00610099">
        <w:rPr>
          <w:rFonts w:ascii="Bookman Old Style" w:hAnsi="Bookman Old Style"/>
          <w:bCs/>
          <w:color w:val="000000"/>
          <w:lang w:val="es-CO" w:eastAsia="x-none"/>
        </w:rPr>
        <w:t>:</w:t>
      </w:r>
    </w:p>
    <w:p w14:paraId="1A2F0B49" w14:textId="77777777" w:rsidR="0006302B" w:rsidRPr="00610099" w:rsidRDefault="0006302B" w:rsidP="0006302B">
      <w:pPr>
        <w:autoSpaceDE w:val="0"/>
        <w:autoSpaceDN w:val="0"/>
        <w:adjustRightInd w:val="0"/>
        <w:ind w:left="1134"/>
        <w:jc w:val="both"/>
        <w:rPr>
          <w:rFonts w:ascii="Bookman Old Style" w:hAnsi="Bookman Old Style"/>
          <w:color w:val="000000" w:themeColor="text1"/>
          <w:lang w:val="es-CO"/>
        </w:rPr>
      </w:pPr>
    </w:p>
    <w:p w14:paraId="19D0A386" w14:textId="77777777" w:rsidR="0006302B" w:rsidRPr="00610099" w:rsidRDefault="0006302B" w:rsidP="00A4790E">
      <w:pPr>
        <w:pStyle w:val="Prrafodelista"/>
        <w:numPr>
          <w:ilvl w:val="0"/>
          <w:numId w:val="65"/>
        </w:numPr>
        <w:ind w:hanging="579"/>
        <w:contextualSpacing/>
        <w:jc w:val="both"/>
        <w:rPr>
          <w:rFonts w:ascii="Bookman Old Style" w:hAnsi="Bookman Old Style" w:cs="Arial"/>
          <w:color w:val="000000"/>
          <w:sz w:val="24"/>
          <w:szCs w:val="24"/>
        </w:rPr>
      </w:pPr>
      <w:r w:rsidRPr="00610099">
        <w:rPr>
          <w:rFonts w:ascii="Bookman Old Style" w:hAnsi="Bookman Old Style" w:cs="Arial"/>
          <w:color w:val="000000"/>
          <w:sz w:val="24"/>
          <w:szCs w:val="24"/>
        </w:rPr>
        <w:t>Número del contrato.</w:t>
      </w:r>
    </w:p>
    <w:p w14:paraId="741E0167" w14:textId="77777777" w:rsidR="0006302B" w:rsidRPr="0013707D" w:rsidRDefault="0006302B" w:rsidP="00A4790E">
      <w:pPr>
        <w:pStyle w:val="Prrafodelista"/>
        <w:numPr>
          <w:ilvl w:val="0"/>
          <w:numId w:val="65"/>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Fecha de suscripción del contrato.</w:t>
      </w:r>
    </w:p>
    <w:p w14:paraId="3E28AF53" w14:textId="77777777" w:rsidR="0006302B" w:rsidRPr="0013707D" w:rsidRDefault="0006302B" w:rsidP="00A4790E">
      <w:pPr>
        <w:pStyle w:val="Prrafodelista"/>
        <w:numPr>
          <w:ilvl w:val="0"/>
          <w:numId w:val="65"/>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Nombre de cada una de las partes.</w:t>
      </w:r>
    </w:p>
    <w:p w14:paraId="39DAD400" w14:textId="5A8ABBB2" w:rsidR="0006302B" w:rsidRPr="0013707D" w:rsidRDefault="0006302B" w:rsidP="00A4790E">
      <w:pPr>
        <w:pStyle w:val="Prrafodelista"/>
        <w:numPr>
          <w:ilvl w:val="0"/>
          <w:numId w:val="66"/>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 xml:space="preserve">Precio único pactado en el contrato, expresado en dólares de los Estados Unidos de América por MBTU, como se establece en el </w:t>
      </w:r>
      <w:r w:rsidRPr="00003D89">
        <w:rPr>
          <w:rFonts w:ascii="Bookman Old Style" w:hAnsi="Bookman Old Style" w:cs="Arial"/>
          <w:color w:val="000000"/>
          <w:sz w:val="24"/>
          <w:szCs w:val="24"/>
        </w:rPr>
        <w:t>numeral 2 del</w:t>
      </w:r>
      <w:r w:rsidR="00210424">
        <w:rPr>
          <w:rFonts w:ascii="Bookman Old Style" w:hAnsi="Bookman Old Style" w:cs="Arial"/>
          <w:color w:val="000000"/>
          <w:sz w:val="24"/>
          <w:szCs w:val="24"/>
        </w:rPr>
        <w:t xml:space="preserve"> artículo 37</w:t>
      </w:r>
      <w:r w:rsidR="00472EF2" w:rsidRPr="00003D89">
        <w:rPr>
          <w:rFonts w:ascii="Bookman Old Style" w:hAnsi="Bookman Old Style" w:cs="Arial"/>
          <w:color w:val="000000"/>
          <w:sz w:val="24"/>
          <w:szCs w:val="24"/>
        </w:rPr>
        <w:t xml:space="preserve"> </w:t>
      </w:r>
      <w:r w:rsidRPr="00003D89">
        <w:rPr>
          <w:rFonts w:ascii="Bookman Old Style" w:hAnsi="Bookman Old Style" w:cs="Arial"/>
          <w:color w:val="000000"/>
          <w:sz w:val="24"/>
          <w:szCs w:val="24"/>
        </w:rPr>
        <w:t>de la</w:t>
      </w:r>
      <w:r w:rsidRPr="0013707D">
        <w:rPr>
          <w:rFonts w:ascii="Bookman Old Style" w:hAnsi="Bookman Old Style" w:cs="Arial"/>
          <w:color w:val="000000"/>
          <w:sz w:val="24"/>
          <w:szCs w:val="24"/>
        </w:rPr>
        <w:t xml:space="preserve"> presente Resolución.</w:t>
      </w:r>
    </w:p>
    <w:p w14:paraId="1B03DD78" w14:textId="6007F444" w:rsidR="0006302B" w:rsidRPr="0013707D" w:rsidRDefault="0006302B" w:rsidP="00A4790E">
      <w:pPr>
        <w:pStyle w:val="Prrafodelista"/>
        <w:numPr>
          <w:ilvl w:val="0"/>
          <w:numId w:val="66"/>
        </w:numPr>
        <w:ind w:hanging="579"/>
        <w:contextualSpacing/>
        <w:jc w:val="both"/>
        <w:rPr>
          <w:rFonts w:ascii="Bookman Old Style" w:hAnsi="Bookman Old Style"/>
        </w:rPr>
      </w:pPr>
      <w:r w:rsidRPr="0013707D">
        <w:rPr>
          <w:rFonts w:ascii="Bookman Old Style" w:hAnsi="Bookman Old Style"/>
          <w:sz w:val="24"/>
          <w:szCs w:val="24"/>
        </w:rPr>
        <w:t xml:space="preserve">Cantidad máxima pactada en el contrato expresada en MBTUD, como se establece </w:t>
      </w:r>
      <w:r w:rsidRPr="0025773D">
        <w:rPr>
          <w:rFonts w:ascii="Bookman Old Style" w:hAnsi="Bookman Old Style"/>
          <w:sz w:val="24"/>
          <w:szCs w:val="24"/>
        </w:rPr>
        <w:t>en el numeral 3 del</w:t>
      </w:r>
      <w:r w:rsidR="00210424">
        <w:rPr>
          <w:rFonts w:ascii="Bookman Old Style" w:hAnsi="Bookman Old Style"/>
          <w:sz w:val="24"/>
          <w:szCs w:val="24"/>
        </w:rPr>
        <w:t xml:space="preserve"> artículo 37</w:t>
      </w:r>
      <w:r w:rsidR="00472EF2" w:rsidRPr="0025773D">
        <w:rPr>
          <w:rFonts w:ascii="Bookman Old Style" w:hAnsi="Bookman Old Style"/>
          <w:sz w:val="24"/>
          <w:szCs w:val="24"/>
        </w:rPr>
        <w:t xml:space="preserve"> </w:t>
      </w:r>
      <w:r w:rsidRPr="0025773D">
        <w:rPr>
          <w:rFonts w:ascii="Bookman Old Style" w:hAnsi="Bookman Old Style"/>
          <w:sz w:val="24"/>
          <w:szCs w:val="24"/>
        </w:rPr>
        <w:t>de la presente Resolución.</w:t>
      </w:r>
      <w:r w:rsidRPr="0013707D">
        <w:rPr>
          <w:rFonts w:ascii="Bookman Old Style" w:hAnsi="Bookman Old Style"/>
          <w:sz w:val="24"/>
          <w:szCs w:val="24"/>
        </w:rPr>
        <w:t xml:space="preserve"> </w:t>
      </w:r>
    </w:p>
    <w:p w14:paraId="7E53F36C" w14:textId="77777777" w:rsidR="0006302B" w:rsidRPr="0013707D" w:rsidRDefault="0006302B" w:rsidP="00A4790E">
      <w:pPr>
        <w:pStyle w:val="Prrafodelista"/>
        <w:numPr>
          <w:ilvl w:val="0"/>
          <w:numId w:val="66"/>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 xml:space="preserve">Fecha de inicio del contrato (día/mes/año). </w:t>
      </w:r>
    </w:p>
    <w:p w14:paraId="75AE643A" w14:textId="77777777" w:rsidR="0006302B" w:rsidRPr="0013707D" w:rsidRDefault="0006302B" w:rsidP="00A4790E">
      <w:pPr>
        <w:pStyle w:val="Prrafodelista"/>
        <w:numPr>
          <w:ilvl w:val="0"/>
          <w:numId w:val="66"/>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Fecha de terminación del contrato (día/mes/año).</w:t>
      </w:r>
    </w:p>
    <w:p w14:paraId="3E47F7C9" w14:textId="77777777" w:rsidR="0006302B" w:rsidRPr="0013707D" w:rsidRDefault="0006302B" w:rsidP="00A4790E">
      <w:pPr>
        <w:pStyle w:val="Prrafodelista"/>
        <w:numPr>
          <w:ilvl w:val="0"/>
          <w:numId w:val="66"/>
        </w:numPr>
        <w:ind w:hanging="579"/>
        <w:contextualSpacing/>
        <w:jc w:val="both"/>
        <w:rPr>
          <w:rFonts w:ascii="Bookman Old Style" w:hAnsi="Bookman Old Style" w:cs="Arial"/>
          <w:color w:val="000000"/>
          <w:sz w:val="24"/>
          <w:szCs w:val="24"/>
        </w:rPr>
      </w:pPr>
      <w:r w:rsidRPr="0013707D">
        <w:rPr>
          <w:rFonts w:ascii="Bookman Old Style" w:hAnsi="Bookman Old Style" w:cs="Arial"/>
          <w:color w:val="000000"/>
          <w:sz w:val="24"/>
          <w:szCs w:val="24"/>
        </w:rPr>
        <w:t>La demás información que determine la CREG.</w:t>
      </w:r>
    </w:p>
    <w:p w14:paraId="69F9B774"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2BFFCA63" w14:textId="048554EA" w:rsidR="0006302B" w:rsidRPr="0013707D" w:rsidRDefault="0006302B" w:rsidP="0006302B">
      <w:pPr>
        <w:autoSpaceDE w:val="0"/>
        <w:autoSpaceDN w:val="0"/>
        <w:adjustRightInd w:val="0"/>
        <w:ind w:left="1134"/>
        <w:jc w:val="both"/>
        <w:rPr>
          <w:rFonts w:ascii="Bookman Old Style" w:hAnsi="Bookman Old Style"/>
          <w:color w:val="000000"/>
          <w:lang w:val="es-CO"/>
        </w:rPr>
      </w:pPr>
      <w:r w:rsidRPr="0013707D">
        <w:rPr>
          <w:rFonts w:ascii="Bookman Old Style" w:hAnsi="Bookman Old Style"/>
          <w:color w:val="000000"/>
          <w:lang w:val="es-CO"/>
        </w:rPr>
        <w:t xml:space="preserve">La declaración de la información para el registro de los contratos se realizará a través del medio y del formato que defina el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Pr>
          <w:rFonts w:ascii="Bookman Old Style" w:hAnsi="Bookman Old Style"/>
          <w:color w:val="000000"/>
          <w:lang w:val="es-CO"/>
        </w:rPr>
        <w:t>del Mercado</w:t>
      </w:r>
      <w:r w:rsidRPr="0013707D">
        <w:rPr>
          <w:rFonts w:ascii="Bookman Old Style" w:hAnsi="Bookman Old Style"/>
          <w:color w:val="000000"/>
          <w:lang w:val="es-CO"/>
        </w:rPr>
        <w:t>.</w:t>
      </w:r>
    </w:p>
    <w:p w14:paraId="0F040B5D" w14:textId="77777777" w:rsidR="0006302B" w:rsidRPr="0013707D" w:rsidRDefault="0006302B" w:rsidP="0006302B">
      <w:pPr>
        <w:autoSpaceDE w:val="0"/>
        <w:autoSpaceDN w:val="0"/>
        <w:adjustRightInd w:val="0"/>
        <w:ind w:left="1701"/>
        <w:jc w:val="both"/>
        <w:rPr>
          <w:rFonts w:ascii="Bookman Old Style" w:hAnsi="Bookman Old Style"/>
          <w:color w:val="000000"/>
          <w:lang w:val="es-CO"/>
        </w:rPr>
      </w:pPr>
    </w:p>
    <w:p w14:paraId="2934A8A2" w14:textId="6B92BF96" w:rsidR="0006302B" w:rsidRPr="00610099" w:rsidRDefault="0006302B" w:rsidP="0006302B">
      <w:pPr>
        <w:autoSpaceDE w:val="0"/>
        <w:autoSpaceDN w:val="0"/>
        <w:adjustRightInd w:val="0"/>
        <w:ind w:left="1134"/>
        <w:jc w:val="both"/>
        <w:rPr>
          <w:rFonts w:ascii="Bookman Old Style" w:hAnsi="Bookman Old Style"/>
          <w:color w:val="000000"/>
          <w:lang w:val="es-CO"/>
        </w:rPr>
      </w:pPr>
      <w:r w:rsidRPr="00610099">
        <w:rPr>
          <w:rFonts w:ascii="Bookman Old Style" w:hAnsi="Bookman Old Style"/>
          <w:color w:val="000000"/>
          <w:lang w:val="es-CO"/>
        </w:rPr>
        <w:t xml:space="preserve">Los vendedores y los compradores deberán actualizar el registro ante el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610099">
        <w:rPr>
          <w:rFonts w:ascii="Bookman Old Style" w:hAnsi="Bookman Old Style"/>
          <w:color w:val="000000"/>
          <w:lang w:val="es-CO"/>
        </w:rPr>
        <w:t xml:space="preserve">del Mercado, en los eventos en que exista cesión, terminación anticipada o modificación del contrato de suministro de gas natural. Para estos efectos los vendedores y los compradores deberán declarar al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610099">
        <w:rPr>
          <w:rFonts w:ascii="Bookman Old Style" w:hAnsi="Bookman Old Style"/>
          <w:color w:val="000000"/>
          <w:lang w:val="es-CO"/>
        </w:rPr>
        <w:t>del Mercado la información previamente señalada, debidamente actualizada.</w:t>
      </w:r>
    </w:p>
    <w:p w14:paraId="64360B04" w14:textId="77777777" w:rsidR="0006302B" w:rsidRPr="00610099" w:rsidRDefault="0006302B" w:rsidP="0006302B">
      <w:pPr>
        <w:autoSpaceDE w:val="0"/>
        <w:autoSpaceDN w:val="0"/>
        <w:adjustRightInd w:val="0"/>
        <w:ind w:left="1134"/>
        <w:jc w:val="both"/>
        <w:rPr>
          <w:rFonts w:ascii="Bookman Old Style" w:hAnsi="Bookman Old Style"/>
          <w:color w:val="000000"/>
          <w:lang w:val="es-CO"/>
        </w:rPr>
      </w:pPr>
    </w:p>
    <w:p w14:paraId="08519330" w14:textId="7D2728DB" w:rsidR="0006302B" w:rsidRPr="00610099" w:rsidRDefault="0006302B" w:rsidP="0006302B">
      <w:pPr>
        <w:autoSpaceDE w:val="0"/>
        <w:autoSpaceDN w:val="0"/>
        <w:adjustRightInd w:val="0"/>
        <w:ind w:left="1134"/>
        <w:jc w:val="both"/>
        <w:rPr>
          <w:rFonts w:ascii="Bookman Old Style" w:hAnsi="Bookman Old Style"/>
          <w:color w:val="000000" w:themeColor="text1"/>
          <w:lang w:val="es-CO"/>
        </w:rPr>
      </w:pPr>
      <w:r w:rsidRPr="00610099">
        <w:rPr>
          <w:rFonts w:ascii="Bookman Old Style" w:hAnsi="Bookman Old Style"/>
          <w:color w:val="000000"/>
          <w:lang w:val="es-CO"/>
        </w:rPr>
        <w:t xml:space="preserve">El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610099">
        <w:rPr>
          <w:rFonts w:ascii="Bookman Old Style" w:hAnsi="Bookman Old Style"/>
          <w:color w:val="000000"/>
          <w:lang w:val="es-CO"/>
        </w:rPr>
        <w:t xml:space="preserve">del </w:t>
      </w:r>
      <w:r w:rsidRPr="008470D3">
        <w:rPr>
          <w:rFonts w:ascii="Bookman Old Style" w:hAnsi="Bookman Old Style"/>
          <w:color w:val="000000"/>
          <w:lang w:val="es-CO"/>
        </w:rPr>
        <w:t>Mercado</w:t>
      </w:r>
      <w:r>
        <w:rPr>
          <w:rFonts w:ascii="Bookman Old Style" w:hAnsi="Bookman Old Style"/>
          <w:color w:val="000000"/>
          <w:lang w:val="es-CO"/>
        </w:rPr>
        <w:t xml:space="preserve"> tendrá</w:t>
      </w:r>
      <w:r w:rsidRPr="008470D3">
        <w:rPr>
          <w:rFonts w:ascii="Bookman Old Style" w:hAnsi="Bookman Old Style"/>
          <w:color w:val="000000"/>
          <w:lang w:val="es-CO"/>
        </w:rPr>
        <w:t xml:space="preserve"> copia de los contratos referidos, caso en el cual los </w:t>
      </w:r>
      <w:r>
        <w:rPr>
          <w:rFonts w:ascii="Bookman Old Style" w:hAnsi="Bookman Old Style"/>
          <w:color w:val="000000"/>
          <w:lang w:val="es-CO"/>
        </w:rPr>
        <w:t xml:space="preserve">Participantes del Mercado </w:t>
      </w:r>
      <w:r w:rsidRPr="008470D3">
        <w:rPr>
          <w:rFonts w:ascii="Bookman Old Style" w:hAnsi="Bookman Old Style"/>
          <w:color w:val="000000"/>
          <w:lang w:val="es-CO"/>
        </w:rPr>
        <w:t>a los que se hace referencia en el</w:t>
      </w:r>
      <w:r w:rsidR="00210424">
        <w:rPr>
          <w:rFonts w:ascii="Bookman Old Style" w:hAnsi="Bookman Old Style"/>
          <w:color w:val="000000"/>
          <w:lang w:val="es-CO"/>
        </w:rPr>
        <w:t xml:space="preserve"> artículo 29 y en el artículo 30</w:t>
      </w:r>
      <w:r w:rsidR="009A71C9" w:rsidRPr="008470D3">
        <w:rPr>
          <w:rFonts w:ascii="Bookman Old Style" w:hAnsi="Bookman Old Style"/>
          <w:color w:val="000000"/>
          <w:lang w:val="es-CO"/>
        </w:rPr>
        <w:t xml:space="preserve"> </w:t>
      </w:r>
      <w:r w:rsidRPr="008470D3">
        <w:rPr>
          <w:rFonts w:ascii="Bookman Old Style" w:hAnsi="Bookman Old Style"/>
          <w:color w:val="000000"/>
          <w:lang w:val="es-CO"/>
        </w:rPr>
        <w:t>de</w:t>
      </w:r>
      <w:r w:rsidRPr="00610099">
        <w:rPr>
          <w:rFonts w:ascii="Bookman Old Style" w:hAnsi="Bookman Old Style"/>
          <w:color w:val="000000"/>
          <w:lang w:val="es-CO"/>
        </w:rPr>
        <w:t xml:space="preserve"> esta Resolución estarán en la obligación de entregar tales copias al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610099">
        <w:rPr>
          <w:rFonts w:ascii="Bookman Old Style" w:hAnsi="Bookman Old Style"/>
          <w:color w:val="000000"/>
          <w:lang w:val="es-CO"/>
        </w:rPr>
        <w:t>del Mercado.</w:t>
      </w:r>
    </w:p>
    <w:p w14:paraId="3C886025" w14:textId="3023B6A5" w:rsidR="0006302B" w:rsidRDefault="0006302B" w:rsidP="0006302B">
      <w:pPr>
        <w:autoSpaceDE w:val="0"/>
        <w:autoSpaceDN w:val="0"/>
        <w:adjustRightInd w:val="0"/>
        <w:ind w:left="1134"/>
        <w:jc w:val="both"/>
        <w:rPr>
          <w:rFonts w:ascii="Bookman Old Style" w:hAnsi="Bookman Old Style"/>
          <w:color w:val="000000" w:themeColor="text1"/>
          <w:lang w:val="es-CO"/>
        </w:rPr>
      </w:pPr>
    </w:p>
    <w:p w14:paraId="7C64B5D8" w14:textId="62190D0F" w:rsidR="008205EB" w:rsidRPr="00BE1FC1" w:rsidRDefault="008205EB" w:rsidP="002D5416">
      <w:pPr>
        <w:autoSpaceDE w:val="0"/>
        <w:autoSpaceDN w:val="0"/>
        <w:adjustRightInd w:val="0"/>
        <w:ind w:left="1134"/>
        <w:jc w:val="both"/>
        <w:rPr>
          <w:rFonts w:ascii="Bookman Old Style" w:hAnsi="Bookman Old Style"/>
          <w:bCs/>
          <w:color w:val="000000"/>
        </w:rPr>
      </w:pPr>
      <w:r w:rsidRPr="002D5416">
        <w:rPr>
          <w:rFonts w:ascii="Bookman Old Style" w:hAnsi="Bookman Old Style"/>
          <w:b/>
          <w:color w:val="000000"/>
        </w:rPr>
        <w:t xml:space="preserve">Información sobre la </w:t>
      </w:r>
      <w:r w:rsidRPr="00BE1FC1">
        <w:rPr>
          <w:rFonts w:ascii="Bookman Old Style" w:hAnsi="Bookman Old Style"/>
          <w:b/>
          <w:color w:val="000000"/>
        </w:rPr>
        <w:t xml:space="preserve">ejecución de los Contratos </w:t>
      </w:r>
      <w:r w:rsidR="002533F8" w:rsidRPr="00BE1FC1">
        <w:rPr>
          <w:rFonts w:ascii="Bookman Old Style" w:hAnsi="Bookman Old Style"/>
          <w:b/>
          <w:color w:val="000000"/>
        </w:rPr>
        <w:t>con Interrupciones</w:t>
      </w:r>
      <w:r w:rsidRPr="00BE1FC1">
        <w:rPr>
          <w:rFonts w:ascii="Bookman Old Style" w:hAnsi="Bookman Old Style"/>
          <w:b/>
          <w:color w:val="000000"/>
        </w:rPr>
        <w:t xml:space="preserve"> del Mercado Secundario:</w:t>
      </w:r>
    </w:p>
    <w:p w14:paraId="3EA12CB6" w14:textId="77777777" w:rsidR="008205EB" w:rsidRPr="00BE1FC1" w:rsidRDefault="008205EB" w:rsidP="008205EB">
      <w:pPr>
        <w:autoSpaceDE w:val="0"/>
        <w:autoSpaceDN w:val="0"/>
        <w:adjustRightInd w:val="0"/>
        <w:ind w:left="1701"/>
        <w:jc w:val="both"/>
        <w:rPr>
          <w:rFonts w:ascii="Bookman Old Style" w:hAnsi="Bookman Old Style"/>
          <w:bCs/>
          <w:color w:val="000000"/>
          <w:lang w:val="es-CO"/>
        </w:rPr>
      </w:pPr>
    </w:p>
    <w:p w14:paraId="483D04BA" w14:textId="64B9509D" w:rsidR="008205EB" w:rsidRPr="00BE1FC1" w:rsidRDefault="008205EB" w:rsidP="008205EB">
      <w:pPr>
        <w:autoSpaceDE w:val="0"/>
        <w:autoSpaceDN w:val="0"/>
        <w:adjustRightInd w:val="0"/>
        <w:ind w:left="1134"/>
        <w:jc w:val="both"/>
        <w:rPr>
          <w:rFonts w:ascii="Bookman Old Style" w:hAnsi="Bookman Old Style"/>
          <w:bCs/>
          <w:color w:val="000000"/>
          <w:lang w:val="es-CO" w:eastAsia="x-none"/>
        </w:rPr>
      </w:pPr>
      <w:r w:rsidRPr="00BE1FC1">
        <w:rPr>
          <w:rFonts w:ascii="Bookman Old Style" w:hAnsi="Bookman Old Style"/>
          <w:bCs/>
          <w:color w:val="000000"/>
          <w:lang w:val="es-CO"/>
        </w:rPr>
        <w:t xml:space="preserve">A más tardar a las 24:00 horas del día D+1, los compradores y vendedores </w:t>
      </w:r>
      <w:r w:rsidRPr="00BE1FC1">
        <w:rPr>
          <w:rFonts w:ascii="Bookman Old Style" w:hAnsi="Bookman Old Style"/>
          <w:b/>
          <w:color w:val="000000"/>
          <w:lang w:val="es-CO"/>
        </w:rPr>
        <w:t xml:space="preserve">del Mercado Secundario </w:t>
      </w:r>
      <w:r w:rsidRPr="00BE1FC1">
        <w:rPr>
          <w:rFonts w:ascii="Bookman Old Style" w:hAnsi="Bookman Old Style"/>
          <w:bCs/>
          <w:color w:val="000000"/>
          <w:lang w:val="es-CO"/>
        </w:rPr>
        <w:t xml:space="preserve">deberán declarar al Gestor del Mercado la siguiente información sobre la ejecución del contrato, por cada </w:t>
      </w:r>
      <w:r w:rsidRPr="00BE1FC1">
        <w:rPr>
          <w:rFonts w:ascii="Bookman Old Style" w:hAnsi="Bookman Old Style"/>
          <w:b/>
          <w:color w:val="000000"/>
          <w:lang w:val="es-CO"/>
        </w:rPr>
        <w:t>punto de entrega</w:t>
      </w:r>
      <w:r w:rsidRPr="00BE1FC1">
        <w:rPr>
          <w:rFonts w:ascii="Bookman Old Style" w:hAnsi="Bookman Old Style"/>
          <w:bCs/>
          <w:color w:val="000000"/>
          <w:lang w:val="es-CO"/>
        </w:rPr>
        <w:t xml:space="preserve"> </w:t>
      </w:r>
      <w:r w:rsidRPr="00BE1FC1">
        <w:rPr>
          <w:rFonts w:ascii="Bookman Old Style" w:hAnsi="Bookman Old Style"/>
          <w:bCs/>
          <w:color w:val="000000"/>
          <w:lang w:val="es-CO" w:eastAsia="x-none"/>
        </w:rPr>
        <w:t>:</w:t>
      </w:r>
    </w:p>
    <w:p w14:paraId="67EB3FC4" w14:textId="77777777" w:rsidR="008205EB" w:rsidRPr="00BE1FC1" w:rsidRDefault="008205EB" w:rsidP="008205EB">
      <w:pPr>
        <w:autoSpaceDE w:val="0"/>
        <w:autoSpaceDN w:val="0"/>
        <w:adjustRightInd w:val="0"/>
        <w:ind w:left="0"/>
        <w:jc w:val="both"/>
        <w:rPr>
          <w:rFonts w:ascii="Bookman Old Style" w:hAnsi="Bookman Old Style"/>
          <w:color w:val="000000"/>
          <w:lang w:val="es-CO"/>
        </w:rPr>
      </w:pPr>
    </w:p>
    <w:p w14:paraId="46FA2722" w14:textId="77777777" w:rsidR="008205EB" w:rsidRPr="00BE1FC1" w:rsidRDefault="008205EB" w:rsidP="00A4790E">
      <w:pPr>
        <w:numPr>
          <w:ilvl w:val="0"/>
          <w:numId w:val="67"/>
        </w:numPr>
        <w:ind w:left="1701" w:hanging="567"/>
        <w:jc w:val="both"/>
        <w:rPr>
          <w:rFonts w:ascii="Bookman Old Style" w:hAnsi="Bookman Old Style" w:cs="Arial"/>
          <w:color w:val="000000"/>
          <w:lang w:val="es-CO"/>
        </w:rPr>
      </w:pPr>
      <w:r w:rsidRPr="00BE1FC1">
        <w:rPr>
          <w:rFonts w:ascii="Bookman Old Style" w:hAnsi="Bookman Old Style" w:cs="Arial"/>
          <w:color w:val="000000"/>
          <w:lang w:val="es-CO"/>
        </w:rPr>
        <w:t>Número de contrato en ejecución.</w:t>
      </w:r>
    </w:p>
    <w:p w14:paraId="05BC1088" w14:textId="7562B9F4" w:rsidR="008205EB" w:rsidRPr="00BE1FC1" w:rsidRDefault="008205EB" w:rsidP="00A4790E">
      <w:pPr>
        <w:numPr>
          <w:ilvl w:val="0"/>
          <w:numId w:val="67"/>
        </w:numPr>
        <w:ind w:left="1701" w:hanging="567"/>
        <w:jc w:val="both"/>
        <w:rPr>
          <w:rFonts w:ascii="Bookman Old Style" w:hAnsi="Bookman Old Style" w:cs="Arial"/>
          <w:color w:val="000000"/>
          <w:lang w:val="es-CO"/>
        </w:rPr>
      </w:pPr>
      <w:r w:rsidRPr="00BE1FC1">
        <w:rPr>
          <w:rFonts w:ascii="Bookman Old Style" w:hAnsi="Bookman Old Style" w:cs="Arial"/>
          <w:color w:val="000000"/>
          <w:lang w:val="es-CO"/>
        </w:rPr>
        <w:lastRenderedPageBreak/>
        <w:t xml:space="preserve">Cantidad total de gas en MBTU autorizada por el vendedor al comprador para el día de gas. </w:t>
      </w:r>
    </w:p>
    <w:p w14:paraId="1AD2E855" w14:textId="77777777" w:rsidR="008205EB" w:rsidRPr="00257B0F" w:rsidRDefault="008205EB" w:rsidP="00A4790E">
      <w:pPr>
        <w:numPr>
          <w:ilvl w:val="0"/>
          <w:numId w:val="67"/>
        </w:numPr>
        <w:ind w:left="1701" w:hanging="567"/>
        <w:jc w:val="both"/>
        <w:rPr>
          <w:rFonts w:ascii="Bookman Old Style" w:hAnsi="Bookman Old Style" w:cs="Arial"/>
          <w:color w:val="000000"/>
          <w:lang w:val="es-CO"/>
        </w:rPr>
      </w:pPr>
      <w:r w:rsidRPr="00BE1FC1">
        <w:rPr>
          <w:rFonts w:ascii="Bookman Old Style" w:hAnsi="Bookman Old Style" w:cs="Arial"/>
          <w:b/>
          <w:bCs/>
          <w:color w:val="000000"/>
          <w:lang w:val="es-CO"/>
        </w:rPr>
        <w:t>Cantidad total de gas en MBTU</w:t>
      </w:r>
      <w:r w:rsidRPr="00257B0F">
        <w:rPr>
          <w:rFonts w:ascii="Bookman Old Style" w:hAnsi="Bookman Old Style" w:cs="Arial"/>
          <w:b/>
          <w:bCs/>
          <w:color w:val="000000"/>
          <w:lang w:val="es-CO"/>
        </w:rPr>
        <w:t xml:space="preserve"> entregada por el vendedor al comprador en el </w:t>
      </w:r>
      <w:r>
        <w:rPr>
          <w:rFonts w:ascii="Bookman Old Style" w:hAnsi="Bookman Old Style" w:cs="Arial"/>
          <w:b/>
          <w:bCs/>
          <w:color w:val="000000"/>
          <w:lang w:val="es-CO"/>
        </w:rPr>
        <w:t>Punto de Entrega</w:t>
      </w:r>
      <w:r w:rsidRPr="00257B0F">
        <w:rPr>
          <w:rFonts w:ascii="Bookman Old Style" w:hAnsi="Bookman Old Style" w:cs="Arial"/>
          <w:b/>
          <w:bCs/>
          <w:color w:val="000000"/>
          <w:lang w:val="es-CO"/>
        </w:rPr>
        <w:t xml:space="preserve"> para el día de gas. La cantidad entregada es aquella sobre la cual se realiza la facturación por parte del vendedor al comprador</w:t>
      </w:r>
      <w:r>
        <w:rPr>
          <w:rFonts w:ascii="Bookman Old Style" w:hAnsi="Bookman Old Style" w:cs="Arial"/>
          <w:color w:val="000000"/>
          <w:lang w:val="es-CO"/>
        </w:rPr>
        <w:t>.</w:t>
      </w:r>
      <w:r w:rsidRPr="00257B0F">
        <w:rPr>
          <w:rFonts w:ascii="Bookman Old Style" w:hAnsi="Bookman Old Style" w:cs="Arial"/>
          <w:color w:val="000000"/>
          <w:lang w:val="es-CO"/>
        </w:rPr>
        <w:tab/>
      </w:r>
    </w:p>
    <w:p w14:paraId="2827BDD4" w14:textId="49134281" w:rsidR="008205EB" w:rsidRPr="00D46F55" w:rsidRDefault="008205EB" w:rsidP="00A4790E">
      <w:pPr>
        <w:numPr>
          <w:ilvl w:val="0"/>
          <w:numId w:val="67"/>
        </w:numPr>
        <w:ind w:left="1701" w:hanging="567"/>
        <w:jc w:val="both"/>
        <w:rPr>
          <w:rFonts w:ascii="Bookman Old Style" w:hAnsi="Bookman Old Style"/>
          <w:color w:val="000000"/>
          <w:lang w:val="es-CO"/>
        </w:rPr>
      </w:pPr>
      <w:r w:rsidRPr="0013707D">
        <w:rPr>
          <w:rFonts w:ascii="Bookman Old Style" w:hAnsi="Bookman Old Style" w:cs="Arial"/>
          <w:color w:val="000000"/>
          <w:lang w:val="es-CO"/>
        </w:rPr>
        <w:t xml:space="preserve">Valor facturado por la cantidad de gas autorizada para el día de gas, expresado en dólares de los Estados Unidos de América. En ningún momento el precio unitario acordado para el día de gas, podrá </w:t>
      </w:r>
      <w:r w:rsidRPr="00D46F55">
        <w:rPr>
          <w:rFonts w:ascii="Bookman Old Style" w:hAnsi="Bookman Old Style" w:cs="Arial"/>
          <w:color w:val="000000"/>
          <w:lang w:val="es-CO"/>
        </w:rPr>
        <w:t>superar el precio único al que hace referencia el numeral 2 del</w:t>
      </w:r>
      <w:r w:rsidR="00210424">
        <w:rPr>
          <w:rFonts w:ascii="Bookman Old Style" w:hAnsi="Bookman Old Style" w:cs="Arial"/>
          <w:color w:val="000000"/>
          <w:lang w:val="es-CO"/>
        </w:rPr>
        <w:t xml:space="preserve"> artículo 37</w:t>
      </w:r>
      <w:r w:rsidRPr="00D46F55">
        <w:rPr>
          <w:rFonts w:ascii="Bookman Old Style" w:hAnsi="Bookman Old Style" w:cs="Arial"/>
          <w:color w:val="000000"/>
          <w:lang w:val="es-CO"/>
        </w:rPr>
        <w:t xml:space="preserve"> de la presente Resolución.</w:t>
      </w:r>
    </w:p>
    <w:p w14:paraId="17AA234B" w14:textId="77777777" w:rsidR="008205EB" w:rsidRPr="0013707D" w:rsidRDefault="008205EB" w:rsidP="00A4790E">
      <w:pPr>
        <w:numPr>
          <w:ilvl w:val="0"/>
          <w:numId w:val="67"/>
        </w:numPr>
        <w:ind w:left="1701" w:hanging="567"/>
        <w:jc w:val="both"/>
        <w:rPr>
          <w:rFonts w:ascii="Bookman Old Style" w:hAnsi="Bookman Old Style" w:cs="Arial"/>
          <w:color w:val="000000"/>
          <w:lang w:val="es-CO"/>
        </w:rPr>
      </w:pPr>
      <w:r w:rsidRPr="00D46F55">
        <w:rPr>
          <w:rFonts w:ascii="Bookman Old Style" w:hAnsi="Bookman Old Style" w:cs="Arial"/>
          <w:color w:val="000000"/>
          <w:lang w:val="es-CO"/>
        </w:rPr>
        <w:t xml:space="preserve"> </w:t>
      </w:r>
      <w:r w:rsidRPr="00191320">
        <w:rPr>
          <w:rFonts w:ascii="Bookman Old Style" w:hAnsi="Bookman Old Style" w:cs="Arial"/>
          <w:b/>
          <w:bCs/>
          <w:color w:val="000000"/>
          <w:lang w:val="es-CO"/>
        </w:rPr>
        <w:t>Punto de Entrega</w:t>
      </w:r>
      <w:r>
        <w:rPr>
          <w:rFonts w:ascii="Bookman Old Style" w:hAnsi="Bookman Old Style" w:cs="Arial"/>
          <w:color w:val="000000"/>
          <w:lang w:val="es-CO"/>
        </w:rPr>
        <w:t xml:space="preserve"> </w:t>
      </w:r>
      <w:r>
        <w:rPr>
          <w:rFonts w:ascii="Bookman Old Style" w:hAnsi="Bookman Old Style" w:cs="Arial"/>
          <w:b/>
          <w:bCs/>
          <w:color w:val="000000"/>
          <w:lang w:val="es-CO"/>
        </w:rPr>
        <w:t xml:space="preserve">o Punto Estándar de Entrega </w:t>
      </w:r>
      <w:r w:rsidRPr="00D46F55">
        <w:rPr>
          <w:rFonts w:ascii="Bookman Old Style" w:hAnsi="Bookman Old Style" w:cs="Arial"/>
          <w:color w:val="000000"/>
          <w:lang w:val="es-CO"/>
        </w:rPr>
        <w:t>de</w:t>
      </w:r>
      <w:r w:rsidRPr="0013707D">
        <w:rPr>
          <w:rFonts w:ascii="Bookman Old Style" w:hAnsi="Bookman Old Style" w:cs="Arial"/>
          <w:color w:val="000000"/>
          <w:lang w:val="es-CO"/>
        </w:rPr>
        <w:t xml:space="preserve"> las cantidades de gas autorizadas por el vendedor. </w:t>
      </w:r>
    </w:p>
    <w:p w14:paraId="7518AD57" w14:textId="77777777" w:rsidR="008205EB" w:rsidRPr="0013707D" w:rsidRDefault="008205EB" w:rsidP="008205EB">
      <w:pPr>
        <w:autoSpaceDE w:val="0"/>
        <w:autoSpaceDN w:val="0"/>
        <w:adjustRightInd w:val="0"/>
        <w:ind w:left="1701"/>
        <w:jc w:val="both"/>
        <w:rPr>
          <w:rFonts w:ascii="Bookman Old Style" w:hAnsi="Bookman Old Style"/>
          <w:color w:val="000000"/>
          <w:lang w:val="es-CO"/>
        </w:rPr>
      </w:pPr>
    </w:p>
    <w:p w14:paraId="4EBECC2E" w14:textId="77777777" w:rsidR="008205EB" w:rsidRPr="00E928BE" w:rsidRDefault="008205EB" w:rsidP="008205EB">
      <w:pPr>
        <w:autoSpaceDE w:val="0"/>
        <w:autoSpaceDN w:val="0"/>
        <w:adjustRightInd w:val="0"/>
        <w:ind w:left="1134"/>
        <w:jc w:val="both"/>
        <w:rPr>
          <w:rFonts w:ascii="Bookman Old Style" w:hAnsi="Bookman Old Style" w:cs="Arial"/>
          <w:b/>
          <w:bCs/>
          <w:color w:val="000000"/>
          <w:lang w:val="es-CO"/>
        </w:rPr>
      </w:pPr>
      <w:r w:rsidRPr="00B37CAB">
        <w:rPr>
          <w:rFonts w:ascii="Bookman Old Style" w:hAnsi="Bookman Old Style"/>
          <w:color w:val="000000"/>
          <w:lang w:val="es-CO"/>
        </w:rPr>
        <w:t xml:space="preserve">Adicionalmente, cada comprador </w:t>
      </w:r>
      <w:r>
        <w:rPr>
          <w:rFonts w:ascii="Bookman Old Style" w:hAnsi="Bookman Old Style"/>
          <w:color w:val="000000"/>
          <w:lang w:val="es-CO"/>
        </w:rPr>
        <w:t xml:space="preserve">del Mercado Primario </w:t>
      </w:r>
      <w:r w:rsidRPr="00B37CAB">
        <w:rPr>
          <w:rFonts w:ascii="Bookman Old Style" w:hAnsi="Bookman Old Style"/>
          <w:color w:val="000000"/>
          <w:lang w:val="es-CO"/>
        </w:rPr>
        <w:t xml:space="preserve">deberá declarar al Gestor del Mercado el </w:t>
      </w:r>
      <w:r w:rsidRPr="00B37CAB">
        <w:rPr>
          <w:rFonts w:ascii="Bookman Old Style" w:hAnsi="Bookman Old Style" w:cs="Arial"/>
          <w:color w:val="000000"/>
          <w:lang w:val="es-CO"/>
        </w:rPr>
        <w:t>tipo de demanda</w:t>
      </w:r>
      <w:r>
        <w:rPr>
          <w:rFonts w:ascii="Bookman Old Style" w:hAnsi="Bookman Old Style" w:cs="Arial"/>
          <w:color w:val="000000"/>
          <w:lang w:val="es-CO"/>
        </w:rPr>
        <w:t xml:space="preserve"> atendida</w:t>
      </w:r>
      <w:r w:rsidRPr="00B37CAB">
        <w:rPr>
          <w:rFonts w:ascii="Bookman Old Style" w:hAnsi="Bookman Old Style" w:cs="Arial"/>
          <w:color w:val="000000"/>
          <w:lang w:val="es-CO"/>
        </w:rPr>
        <w:t xml:space="preserve"> con la ejecución del contrato. </w:t>
      </w:r>
      <w:r w:rsidRPr="00E928BE">
        <w:rPr>
          <w:rFonts w:ascii="Bookman Old Style" w:hAnsi="Bookman Old Style" w:cs="Arial"/>
          <w:b/>
          <w:bCs/>
          <w:color w:val="000000"/>
          <w:lang w:val="es-CO"/>
        </w:rPr>
        <w:t xml:space="preserve">Esto es, si correspondió a Demanda Esencial o no, si correspondió a usuarios regulados o no regulado, desagregada en </w:t>
      </w:r>
      <w:r w:rsidRPr="009C18DF">
        <w:rPr>
          <w:rFonts w:ascii="Bookman Old Style" w:hAnsi="Bookman Old Style" w:cs="Arial"/>
          <w:b/>
          <w:bCs/>
          <w:color w:val="000000" w:themeColor="text1"/>
          <w:lang w:val="es-CO"/>
        </w:rPr>
        <w:t>demanda de gas natural para la operación de las estaciones de compresión del SNT, la demanda de gas natural de usuarios residenciales y pequeños usuarios comerciales inmersos en la red de distribución, la demanda de GNCV, y la demanda de gas natural de las refinerías, excluyendo aquella con destino a autogeneración de energía eléctrica que pueda ser reemplazada con energía del sistema interconectado naciona</w:t>
      </w:r>
      <w:r>
        <w:rPr>
          <w:rFonts w:ascii="Bookman Old Style" w:hAnsi="Bookman Old Style" w:cs="Arial"/>
          <w:b/>
          <w:bCs/>
          <w:color w:val="000000" w:themeColor="text1"/>
          <w:lang w:val="es-CO"/>
        </w:rPr>
        <w:t>l</w:t>
      </w:r>
      <w:r w:rsidRPr="00B5752D">
        <w:rPr>
          <w:rFonts w:ascii="Bookman Old Style" w:hAnsi="Bookman Old Style" w:cs="Arial"/>
          <w:b/>
          <w:bCs/>
          <w:color w:val="000000"/>
          <w:lang w:val="es-CO"/>
        </w:rPr>
        <w:t xml:space="preserve"> y pequeños usuarios comerciales inmersos en la red de distribución</w:t>
      </w:r>
      <w:r w:rsidRPr="00E928BE">
        <w:rPr>
          <w:rFonts w:ascii="Bookman Old Style" w:hAnsi="Bookman Old Style" w:cs="Arial"/>
          <w:b/>
          <w:bCs/>
          <w:color w:val="000000"/>
          <w:lang w:val="es-CO"/>
        </w:rPr>
        <w:t>, comercial, industrial, petroquímica, generación térmica, exportaciones u otros. Todo lo anterior por mercado de comercialización.</w:t>
      </w:r>
    </w:p>
    <w:p w14:paraId="08ABD802" w14:textId="77777777" w:rsidR="008205EB" w:rsidRPr="00B37CAB" w:rsidRDefault="008205EB" w:rsidP="008205EB">
      <w:pPr>
        <w:autoSpaceDE w:val="0"/>
        <w:autoSpaceDN w:val="0"/>
        <w:adjustRightInd w:val="0"/>
        <w:ind w:left="1701"/>
        <w:jc w:val="both"/>
        <w:rPr>
          <w:rFonts w:ascii="Bookman Old Style" w:hAnsi="Bookman Old Style" w:cs="Arial"/>
          <w:color w:val="000000"/>
          <w:lang w:val="es-CO"/>
        </w:rPr>
      </w:pPr>
    </w:p>
    <w:p w14:paraId="438A694B" w14:textId="197A24AA" w:rsidR="008205EB" w:rsidRPr="00B37CAB" w:rsidRDefault="008205EB" w:rsidP="008205EB">
      <w:pPr>
        <w:autoSpaceDE w:val="0"/>
        <w:autoSpaceDN w:val="0"/>
        <w:adjustRightInd w:val="0"/>
        <w:ind w:left="1134"/>
        <w:jc w:val="both"/>
        <w:rPr>
          <w:rFonts w:ascii="Bookman Old Style" w:hAnsi="Bookman Old Style" w:cs="Arial"/>
          <w:color w:val="000000"/>
          <w:lang w:val="es-CO"/>
        </w:rPr>
      </w:pPr>
      <w:r w:rsidRPr="001F6752">
        <w:rPr>
          <w:rFonts w:ascii="Bookman Old Style" w:hAnsi="Bookman Old Style" w:cs="Arial"/>
          <w:b/>
          <w:bCs/>
          <w:color w:val="000000" w:themeColor="text1"/>
          <w:lang w:val="es-CO"/>
        </w:rPr>
        <w:t xml:space="preserve">Los compradores que entreguen </w:t>
      </w:r>
      <w:r w:rsidR="00F9402E">
        <w:rPr>
          <w:rFonts w:ascii="Bookman Old Style" w:hAnsi="Bookman Old Style" w:cs="Arial"/>
          <w:b/>
          <w:bCs/>
          <w:color w:val="000000" w:themeColor="text1"/>
          <w:lang w:val="es-CO"/>
        </w:rPr>
        <w:t xml:space="preserve">en el Mercado Minorista </w:t>
      </w:r>
      <w:r w:rsidRPr="001F6752">
        <w:rPr>
          <w:rFonts w:ascii="Bookman Old Style" w:hAnsi="Bookman Old Style" w:cs="Arial"/>
          <w:b/>
          <w:bCs/>
          <w:color w:val="000000" w:themeColor="text1"/>
          <w:lang w:val="es-CO"/>
        </w:rPr>
        <w:t>a usuario</w:t>
      </w:r>
      <w:r>
        <w:rPr>
          <w:rFonts w:ascii="Bookman Old Style" w:hAnsi="Bookman Old Style" w:cs="Arial"/>
          <w:b/>
          <w:bCs/>
          <w:color w:val="000000" w:themeColor="text1"/>
          <w:lang w:val="es-CO"/>
        </w:rPr>
        <w:t>s</w:t>
      </w:r>
      <w:r w:rsidRPr="001F6752">
        <w:rPr>
          <w:rFonts w:ascii="Bookman Old Style" w:hAnsi="Bookman Old Style" w:cs="Arial"/>
          <w:b/>
          <w:bCs/>
          <w:color w:val="000000" w:themeColor="text1"/>
          <w:lang w:val="es-CO"/>
        </w:rPr>
        <w:t xml:space="preserve"> no regulados conectados a un sistema de transporte</w:t>
      </w:r>
      <w:r>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 xml:space="preserve"> </w:t>
      </w:r>
      <w:r w:rsidRPr="001F6752">
        <w:rPr>
          <w:rFonts w:ascii="Bookman Old Style" w:hAnsi="Bookman Old Style" w:cs="Arial"/>
          <w:b/>
          <w:bCs/>
          <w:color w:val="000000" w:themeColor="text1"/>
          <w:lang w:val="es-CO"/>
        </w:rPr>
        <w:t>deberán declarar el nombre del usuario, la ubicación y/o punto de salida del usuario en el SNT y la cantidad contratada con</w:t>
      </w:r>
      <w:r>
        <w:rPr>
          <w:rFonts w:ascii="Bookman Old Style" w:hAnsi="Bookman Old Style" w:cs="Arial"/>
          <w:b/>
          <w:bCs/>
          <w:color w:val="000000" w:themeColor="text1"/>
          <w:lang w:val="es-CO"/>
        </w:rPr>
        <w:t xml:space="preserve"> interrupciones con</w:t>
      </w:r>
      <w:r w:rsidRPr="001F6752">
        <w:rPr>
          <w:rFonts w:ascii="Bookman Old Style" w:hAnsi="Bookman Old Style" w:cs="Arial"/>
          <w:b/>
          <w:bCs/>
          <w:color w:val="000000" w:themeColor="text1"/>
          <w:lang w:val="es-CO"/>
        </w:rPr>
        <w:t xml:space="preserve"> cada usuario no regulado. Cuando el comprador entregue </w:t>
      </w:r>
      <w:r w:rsidR="00F9402E">
        <w:rPr>
          <w:rFonts w:ascii="Bookman Old Style" w:hAnsi="Bookman Old Style" w:cs="Arial"/>
          <w:b/>
          <w:bCs/>
          <w:color w:val="000000" w:themeColor="text1"/>
          <w:lang w:val="es-CO"/>
        </w:rPr>
        <w:t xml:space="preserve">en el Mercado Minorista </w:t>
      </w:r>
      <w:r w:rsidRPr="001F6752">
        <w:rPr>
          <w:rFonts w:ascii="Bookman Old Style" w:hAnsi="Bookman Old Style" w:cs="Arial"/>
          <w:b/>
          <w:bCs/>
          <w:color w:val="000000" w:themeColor="text1"/>
          <w:lang w:val="es-CO"/>
        </w:rPr>
        <w:t>a usuarios no regulados conectados al sistema de distribución</w:t>
      </w:r>
      <w:r>
        <w:rPr>
          <w:rFonts w:ascii="Bookman Old Style" w:hAnsi="Bookman Old Style" w:cs="Arial"/>
          <w:b/>
          <w:bCs/>
          <w:color w:val="000000" w:themeColor="text1"/>
          <w:lang w:val="es-CO"/>
        </w:rPr>
        <w:t>,</w:t>
      </w:r>
      <w:r w:rsidRPr="001F6752">
        <w:rPr>
          <w:rFonts w:ascii="Bookman Old Style" w:hAnsi="Bookman Old Style" w:cs="Arial"/>
          <w:b/>
          <w:bCs/>
          <w:color w:val="000000" w:themeColor="text1"/>
          <w:lang w:val="es-CO"/>
        </w:rPr>
        <w:t xml:space="preserve"> deberá declarar el nombre del usuario no regulado, la ubicación dentro del mercado de comercialización que </w:t>
      </w:r>
      <w:r w:rsidRPr="003C32CE">
        <w:rPr>
          <w:rFonts w:ascii="Bookman Old Style" w:hAnsi="Bookman Old Style" w:cs="Arial"/>
          <w:b/>
          <w:bCs/>
          <w:color w:val="000000" w:themeColor="text1"/>
          <w:lang w:val="es-CO"/>
        </w:rPr>
        <w:t>atiende,</w:t>
      </w:r>
      <w:r w:rsidRPr="001F6752">
        <w:rPr>
          <w:rFonts w:ascii="Bookman Old Style" w:hAnsi="Bookman Old Style" w:cs="Arial"/>
          <w:b/>
          <w:bCs/>
          <w:color w:val="000000" w:themeColor="text1"/>
          <w:lang w:val="es-CO"/>
        </w:rPr>
        <w:t xml:space="preserve"> así como la cantidad de gas contratada </w:t>
      </w:r>
      <w:r>
        <w:rPr>
          <w:rFonts w:ascii="Bookman Old Style" w:hAnsi="Bookman Old Style" w:cs="Arial"/>
          <w:b/>
          <w:bCs/>
          <w:color w:val="000000" w:themeColor="text1"/>
          <w:lang w:val="es-CO"/>
        </w:rPr>
        <w:t xml:space="preserve">con interrupciones </w:t>
      </w:r>
      <w:r w:rsidRPr="001F6752">
        <w:rPr>
          <w:rFonts w:ascii="Bookman Old Style" w:hAnsi="Bookman Old Style" w:cs="Arial"/>
          <w:b/>
          <w:bCs/>
          <w:color w:val="000000" w:themeColor="text1"/>
          <w:lang w:val="es-CO"/>
        </w:rPr>
        <w:t xml:space="preserve">a entregar en el mercado relevante de </w:t>
      </w:r>
      <w:r w:rsidRPr="00E36B86">
        <w:rPr>
          <w:rFonts w:ascii="Bookman Old Style" w:hAnsi="Bookman Old Style" w:cs="Arial"/>
          <w:b/>
          <w:bCs/>
          <w:color w:val="000000" w:themeColor="text1"/>
          <w:lang w:val="es-CO"/>
        </w:rPr>
        <w:t xml:space="preserve">comercialización </w:t>
      </w:r>
      <w:r w:rsidRPr="001F6752">
        <w:rPr>
          <w:rFonts w:ascii="Bookman Old Style" w:hAnsi="Bookman Old Style" w:cs="Arial"/>
          <w:b/>
          <w:bCs/>
          <w:color w:val="000000" w:themeColor="text1"/>
          <w:lang w:val="es-CO"/>
        </w:rPr>
        <w:t>en el que se consumirá esa cantidad, discriminando entre Esenciales y No esenciales, Regulados y no regulados.</w:t>
      </w:r>
    </w:p>
    <w:p w14:paraId="2FF62E4D" w14:textId="77777777" w:rsidR="008205EB" w:rsidRPr="0013707D" w:rsidRDefault="008205EB" w:rsidP="008205EB">
      <w:pPr>
        <w:autoSpaceDE w:val="0"/>
        <w:autoSpaceDN w:val="0"/>
        <w:adjustRightInd w:val="0"/>
        <w:ind w:left="1134"/>
        <w:jc w:val="both"/>
        <w:rPr>
          <w:rFonts w:ascii="Bookman Old Style" w:hAnsi="Bookman Old Style"/>
          <w:color w:val="000000"/>
          <w:lang w:val="es-CO"/>
        </w:rPr>
      </w:pPr>
    </w:p>
    <w:p w14:paraId="75C2AD58" w14:textId="6C813762" w:rsidR="008B6902" w:rsidRDefault="008B6902" w:rsidP="008B6902">
      <w:pPr>
        <w:autoSpaceDE w:val="0"/>
        <w:autoSpaceDN w:val="0"/>
        <w:adjustRightInd w:val="0"/>
        <w:jc w:val="both"/>
        <w:rPr>
          <w:rFonts w:ascii="Bookman Old Style" w:hAnsi="Bookman Old Style"/>
          <w:color w:val="000000"/>
          <w:lang w:val="es-CO"/>
        </w:rPr>
      </w:pPr>
      <w:r w:rsidRPr="0013707D">
        <w:rPr>
          <w:rFonts w:ascii="Bookman Old Style" w:hAnsi="Bookman Old Style"/>
          <w:color w:val="000000"/>
          <w:lang w:val="es-CO"/>
        </w:rPr>
        <w:t xml:space="preserve">La no declaración de la información aquí señalada </w:t>
      </w:r>
      <w:r w:rsidRPr="00963438">
        <w:rPr>
          <w:rFonts w:ascii="Bookman Old Style" w:hAnsi="Bookman Old Style"/>
          <w:b/>
          <w:bCs/>
          <w:color w:val="000000" w:themeColor="text1"/>
          <w:lang w:val="es-CO"/>
        </w:rPr>
        <w:t xml:space="preserve">y entregada de manera incompleta en los formatos establecidos por el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sidRPr="00963438">
        <w:rPr>
          <w:rFonts w:ascii="Bookman Old Style" w:hAnsi="Bookman Old Style"/>
          <w:b/>
          <w:bCs/>
          <w:color w:val="000000"/>
          <w:lang w:val="es-CO"/>
        </w:rPr>
        <w:t>del Mercado</w:t>
      </w:r>
      <w:r>
        <w:rPr>
          <w:rFonts w:ascii="Bookman Old Style" w:hAnsi="Bookman Old Style"/>
          <w:color w:val="000000" w:themeColor="text1"/>
          <w:lang w:val="es-CO"/>
        </w:rPr>
        <w:t xml:space="preserve"> y </w:t>
      </w:r>
      <w:r w:rsidRPr="0013707D">
        <w:rPr>
          <w:rFonts w:ascii="Bookman Old Style" w:hAnsi="Bookman Old Style"/>
          <w:color w:val="000000"/>
          <w:lang w:val="es-CO"/>
        </w:rPr>
        <w:t xml:space="preserve">podrá ser considerada por la autoridad competente como una práctica contraria a la libre competencia. Igual consideración se podrá dar a la </w:t>
      </w:r>
      <w:r w:rsidRPr="00610099">
        <w:rPr>
          <w:rFonts w:ascii="Bookman Old Style" w:hAnsi="Bookman Old Style"/>
          <w:color w:val="000000"/>
          <w:lang w:val="es-CO"/>
        </w:rPr>
        <w:t>declaración reiterada de información inconsistente.</w:t>
      </w:r>
    </w:p>
    <w:p w14:paraId="4853DC44" w14:textId="77777777" w:rsidR="008205EB" w:rsidRPr="0013707D" w:rsidRDefault="008205EB" w:rsidP="008205EB">
      <w:pPr>
        <w:autoSpaceDE w:val="0"/>
        <w:autoSpaceDN w:val="0"/>
        <w:adjustRightInd w:val="0"/>
        <w:ind w:left="1701"/>
        <w:jc w:val="both"/>
        <w:rPr>
          <w:rFonts w:ascii="Bookman Old Style" w:hAnsi="Bookman Old Style"/>
          <w:bCs/>
          <w:color w:val="000000"/>
          <w:lang w:val="es-CO" w:eastAsia="x-none"/>
        </w:rPr>
      </w:pPr>
    </w:p>
    <w:p w14:paraId="541B28CE" w14:textId="77777777" w:rsidR="0006302B" w:rsidRPr="0013707D" w:rsidRDefault="0006302B" w:rsidP="0006302B">
      <w:pPr>
        <w:pStyle w:val="ARTICULOS"/>
        <w:numPr>
          <w:ilvl w:val="0"/>
          <w:numId w:val="0"/>
        </w:numPr>
        <w:ind w:left="1134"/>
        <w:rPr>
          <w:color w:val="000000" w:themeColor="text1"/>
          <w:lang w:val="es-CO"/>
        </w:rPr>
      </w:pPr>
    </w:p>
    <w:p w14:paraId="30F93BF5" w14:textId="77777777" w:rsidR="0006302B" w:rsidRPr="0013707D" w:rsidRDefault="0006302B" w:rsidP="00A4790E">
      <w:pPr>
        <w:pStyle w:val="ARTICULOS"/>
        <w:numPr>
          <w:ilvl w:val="1"/>
          <w:numId w:val="25"/>
        </w:numPr>
        <w:ind w:left="567" w:hanging="567"/>
        <w:rPr>
          <w:color w:val="000000" w:themeColor="text1"/>
          <w:lang w:val="es-CO"/>
        </w:rPr>
      </w:pPr>
      <w:bookmarkStart w:id="118" w:name="_Ref334785296"/>
      <w:r w:rsidRPr="0013707D">
        <w:rPr>
          <w:color w:val="000000" w:themeColor="text1"/>
          <w:lang w:val="es-CO"/>
        </w:rPr>
        <w:t>Verificación de información, registro de contratos y publicación de información transaccional del mercado secundario</w:t>
      </w:r>
      <w:bookmarkEnd w:id="118"/>
    </w:p>
    <w:p w14:paraId="647DE6AA" w14:textId="77777777" w:rsidR="0006302B" w:rsidRPr="0013707D" w:rsidRDefault="0006302B" w:rsidP="0006302B">
      <w:pPr>
        <w:jc w:val="both"/>
        <w:rPr>
          <w:rFonts w:ascii="Bookman Old Style" w:hAnsi="Bookman Old Style"/>
          <w:bCs/>
          <w:color w:val="000000" w:themeColor="text1"/>
          <w:lang w:val="es-CO" w:eastAsia="x-none"/>
        </w:rPr>
      </w:pPr>
    </w:p>
    <w:p w14:paraId="4D06FE98" w14:textId="05484689" w:rsidR="0006302B" w:rsidRPr="0013707D" w:rsidRDefault="0006302B" w:rsidP="0006302B">
      <w:pPr>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El registro de los contratos del mercado secundario se iniciará a partir de la fecha en que el </w:t>
      </w:r>
      <w:r w:rsidR="007D02D9" w:rsidRPr="00956510">
        <w:rPr>
          <w:rFonts w:ascii="Bookman Old Style" w:hAnsi="Bookman Old Style"/>
          <w:u w:color="FF0000"/>
          <w:lang w:val="es-CO"/>
        </w:rPr>
        <w:t>Gesto</w:t>
      </w:r>
      <w:r w:rsidR="007D02D9" w:rsidRPr="00E53E99">
        <w:rPr>
          <w:rFonts w:ascii="Bookman Old Style" w:hAnsi="Bookman Old Style"/>
          <w:u w:color="FF0000"/>
          <w:lang w:val="es-CO"/>
        </w:rPr>
        <w:t>r</w:t>
      </w:r>
      <w:r w:rsidR="007D02D9" w:rsidRPr="00956510" w:rsidDel="00E53E99">
        <w:rPr>
          <w:color w:val="FF0000"/>
          <w:sz w:val="28"/>
          <w:u w:color="FF0000"/>
          <w:lang w:val="es-CO"/>
        </w:rPr>
        <w:t xml:space="preserve"> </w:t>
      </w:r>
      <w:r>
        <w:rPr>
          <w:rFonts w:ascii="Bookman Old Style" w:hAnsi="Bookman Old Style"/>
          <w:bCs/>
          <w:color w:val="000000" w:themeColor="text1"/>
          <w:lang w:val="es-CO" w:eastAsia="x-none"/>
        </w:rPr>
        <w:t>del Mercado</w:t>
      </w:r>
      <w:r w:rsidRPr="0013707D">
        <w:rPr>
          <w:rFonts w:ascii="Bookman Old Style" w:hAnsi="Bookman Old Style"/>
          <w:bCs/>
          <w:color w:val="000000" w:themeColor="text1"/>
          <w:lang w:val="es-CO" w:eastAsia="x-none"/>
        </w:rPr>
        <w:t xml:space="preserve"> </w:t>
      </w:r>
      <w:r w:rsidRPr="0013707D">
        <w:rPr>
          <w:rFonts w:ascii="Bookman Old Style" w:hAnsi="Bookman Old Style"/>
          <w:color w:val="000000" w:themeColor="text1"/>
          <w:lang w:val="es-CO"/>
        </w:rPr>
        <w:t>inicie la prestación de sus servicios</w:t>
      </w:r>
      <w:r w:rsidRPr="0013707D">
        <w:rPr>
          <w:rFonts w:ascii="Bookman Old Style" w:hAnsi="Bookman Old Style"/>
          <w:bCs/>
          <w:color w:val="000000" w:themeColor="text1"/>
          <w:lang w:val="es-CO" w:eastAsia="x-none"/>
        </w:rPr>
        <w:t>.</w:t>
      </w:r>
    </w:p>
    <w:p w14:paraId="2061EA35" w14:textId="55C2C314" w:rsidR="0006302B" w:rsidRDefault="0006302B" w:rsidP="0006302B">
      <w:pPr>
        <w:jc w:val="both"/>
        <w:rPr>
          <w:rFonts w:ascii="Bookman Old Style" w:hAnsi="Bookman Old Style"/>
          <w:bCs/>
          <w:color w:val="000000" w:themeColor="text1"/>
          <w:lang w:val="es-CO" w:eastAsia="x-none"/>
        </w:rPr>
      </w:pPr>
    </w:p>
    <w:p w14:paraId="7FB54FA1" w14:textId="47437515" w:rsidR="004D6E36" w:rsidRPr="00683682" w:rsidRDefault="004D6E36" w:rsidP="004D6E36">
      <w:pPr>
        <w:jc w:val="both"/>
        <w:rPr>
          <w:rFonts w:ascii="Bookman Old Style" w:hAnsi="Bookman Old Style"/>
          <w:b/>
          <w:bCs/>
        </w:rPr>
      </w:pPr>
      <w:r w:rsidRPr="00191320">
        <w:rPr>
          <w:rFonts w:ascii="Bookman Old Style" w:hAnsi="Bookman Old Style"/>
          <w:b/>
          <w:bCs/>
          <w:color w:val="000000" w:themeColor="text1"/>
        </w:rPr>
        <w:t xml:space="preserve">En el caso </w:t>
      </w:r>
      <w:r w:rsidRPr="00683682">
        <w:rPr>
          <w:rFonts w:ascii="Bookman Old Style" w:hAnsi="Bookman Old Style"/>
          <w:b/>
          <w:bCs/>
          <w:color w:val="000000" w:themeColor="text1"/>
        </w:rPr>
        <w:t>de</w:t>
      </w:r>
      <w:r w:rsidR="00BA2405" w:rsidRPr="00683682">
        <w:rPr>
          <w:rFonts w:ascii="Bookman Old Style" w:hAnsi="Bookman Old Style"/>
          <w:b/>
          <w:bCs/>
          <w:color w:val="000000" w:themeColor="text1"/>
        </w:rPr>
        <w:t xml:space="preserve"> solicitarse el registro de un </w:t>
      </w:r>
      <w:r w:rsidRPr="00683682">
        <w:rPr>
          <w:rFonts w:ascii="Bookman Old Style" w:hAnsi="Bookman Old Style"/>
          <w:b/>
          <w:bCs/>
          <w:color w:val="000000" w:themeColor="text1"/>
        </w:rPr>
        <w:t xml:space="preserve">contrato de derechos de suministro en el que un vendedor del mercado secundario garantiza derechos de suministro de una cantidad máxima de gas natural, sin interrupciones, durante un período determinado, excepto en los días establecidos para mantenimiento y labores programadas, </w:t>
      </w:r>
      <w:r w:rsidRPr="00683682">
        <w:rPr>
          <w:rFonts w:ascii="Bookman Old Style" w:hAnsi="Bookman Old Style"/>
          <w:b/>
          <w:bCs/>
        </w:rPr>
        <w:t xml:space="preserve">el </w:t>
      </w:r>
      <w:r w:rsidRPr="00683682">
        <w:rPr>
          <w:rFonts w:ascii="Bookman Old Style" w:hAnsi="Bookman Old Style"/>
          <w:b/>
        </w:rPr>
        <w:t xml:space="preserve">Gestor </w:t>
      </w:r>
      <w:r w:rsidRPr="00683682">
        <w:rPr>
          <w:rFonts w:ascii="Bookman Old Style" w:hAnsi="Bookman Old Style"/>
          <w:b/>
          <w:bCs/>
        </w:rPr>
        <w:t xml:space="preserve">del Mercado deberá verificar que </w:t>
      </w:r>
      <w:r w:rsidR="00BA2405" w:rsidRPr="00683682">
        <w:rPr>
          <w:rFonts w:ascii="Bookman Old Style" w:hAnsi="Bookman Old Style"/>
          <w:b/>
          <w:bCs/>
        </w:rPr>
        <w:t xml:space="preserve">esa misma cantidad de </w:t>
      </w:r>
      <w:r w:rsidRPr="00683682">
        <w:rPr>
          <w:rFonts w:ascii="Bookman Old Style" w:hAnsi="Bookman Old Style"/>
          <w:b/>
          <w:bCs/>
        </w:rPr>
        <w:t xml:space="preserve">los derechos de suministro </w:t>
      </w:r>
      <w:r w:rsidR="00BA2405" w:rsidRPr="00683682">
        <w:rPr>
          <w:rFonts w:ascii="Bookman Old Style" w:hAnsi="Bookman Old Style"/>
          <w:b/>
          <w:bCs/>
        </w:rPr>
        <w:t>d</w:t>
      </w:r>
      <w:r w:rsidRPr="00683682">
        <w:rPr>
          <w:rFonts w:ascii="Bookman Old Style" w:hAnsi="Bookman Old Style"/>
          <w:b/>
          <w:bCs/>
        </w:rPr>
        <w:t xml:space="preserve">el contrato que se </w:t>
      </w:r>
      <w:r w:rsidR="00BA2405" w:rsidRPr="00683682">
        <w:rPr>
          <w:rFonts w:ascii="Bookman Old Style" w:hAnsi="Bookman Old Style"/>
          <w:b/>
          <w:bCs/>
        </w:rPr>
        <w:t xml:space="preserve">solicita </w:t>
      </w:r>
      <w:r w:rsidRPr="00683682">
        <w:rPr>
          <w:rFonts w:ascii="Bookman Old Style" w:hAnsi="Bookman Old Style"/>
          <w:b/>
          <w:bCs/>
        </w:rPr>
        <w:t>registra</w:t>
      </w:r>
      <w:r w:rsidR="00BA2405" w:rsidRPr="00683682">
        <w:rPr>
          <w:rFonts w:ascii="Bookman Old Style" w:hAnsi="Bookman Old Style"/>
          <w:b/>
          <w:bCs/>
        </w:rPr>
        <w:t>r</w:t>
      </w:r>
      <w:r w:rsidRPr="00683682">
        <w:rPr>
          <w:rFonts w:ascii="Bookman Old Style" w:hAnsi="Bookman Old Style"/>
          <w:b/>
          <w:bCs/>
        </w:rPr>
        <w:t xml:space="preserve">, </w:t>
      </w:r>
      <w:r w:rsidR="00BA2405" w:rsidRPr="00683682">
        <w:rPr>
          <w:rFonts w:ascii="Bookman Old Style" w:hAnsi="Bookman Old Style"/>
          <w:b/>
          <w:bCs/>
        </w:rPr>
        <w:t xml:space="preserve">corresponda a </w:t>
      </w:r>
      <w:r w:rsidRPr="00683682">
        <w:rPr>
          <w:rFonts w:ascii="Bookman Old Style" w:hAnsi="Bookman Old Style"/>
          <w:b/>
          <w:bCs/>
        </w:rPr>
        <w:t xml:space="preserve">un valor igual o inferior a la cantidad contratada de suministro </w:t>
      </w:r>
      <w:r w:rsidR="00F16B05" w:rsidRPr="00683682">
        <w:rPr>
          <w:rFonts w:ascii="Bookman Old Style" w:hAnsi="Bookman Old Style"/>
          <w:b/>
          <w:bCs/>
        </w:rPr>
        <w:t xml:space="preserve">con garantía de firmeza </w:t>
      </w:r>
      <w:r w:rsidR="00BA2405" w:rsidRPr="00683682">
        <w:rPr>
          <w:rFonts w:ascii="Bookman Old Style" w:hAnsi="Bookman Old Style"/>
          <w:b/>
          <w:bCs/>
        </w:rPr>
        <w:t xml:space="preserve">adquirida </w:t>
      </w:r>
      <w:r w:rsidRPr="00683682">
        <w:rPr>
          <w:rFonts w:ascii="Bookman Old Style" w:hAnsi="Bookman Old Style"/>
          <w:b/>
          <w:bCs/>
        </w:rPr>
        <w:t>en el mercado primario</w:t>
      </w:r>
      <w:r w:rsidR="00BA2405" w:rsidRPr="00683682">
        <w:rPr>
          <w:rFonts w:ascii="Bookman Old Style" w:hAnsi="Bookman Old Style"/>
          <w:b/>
          <w:bCs/>
        </w:rPr>
        <w:t xml:space="preserve"> y en el mercado secundario,</w:t>
      </w:r>
      <w:r w:rsidRPr="00683682">
        <w:rPr>
          <w:rFonts w:ascii="Bookman Old Style" w:hAnsi="Bookman Old Style"/>
          <w:b/>
          <w:bCs/>
        </w:rPr>
        <w:t xml:space="preserve"> </w:t>
      </w:r>
      <w:r w:rsidR="00BA2405" w:rsidRPr="00683682">
        <w:rPr>
          <w:rFonts w:ascii="Bookman Old Style" w:hAnsi="Bookman Old Style"/>
          <w:b/>
          <w:bCs/>
        </w:rPr>
        <w:t xml:space="preserve">que aún tiene disponible </w:t>
      </w:r>
      <w:r w:rsidRPr="00683682">
        <w:rPr>
          <w:rFonts w:ascii="Bookman Old Style" w:hAnsi="Bookman Old Style"/>
          <w:b/>
          <w:bCs/>
        </w:rPr>
        <w:t>dicho comercializador</w:t>
      </w:r>
      <w:r w:rsidR="00BA2405" w:rsidRPr="00683682">
        <w:rPr>
          <w:rFonts w:ascii="Bookman Old Style" w:hAnsi="Bookman Old Style"/>
          <w:b/>
          <w:bCs/>
        </w:rPr>
        <w:t xml:space="preserve"> para el punto de entrega pactado en el contrato que se solicita registrar</w:t>
      </w:r>
      <w:r w:rsidRPr="00683682">
        <w:rPr>
          <w:rFonts w:ascii="Bookman Old Style" w:hAnsi="Bookman Old Style"/>
          <w:b/>
          <w:bCs/>
        </w:rPr>
        <w:t xml:space="preserve">. </w:t>
      </w:r>
    </w:p>
    <w:p w14:paraId="69BCC6E0" w14:textId="77777777" w:rsidR="004D6E36" w:rsidRPr="00683682" w:rsidRDefault="004D6E36" w:rsidP="004D6E36">
      <w:pPr>
        <w:pStyle w:val="Prrafodelista"/>
        <w:ind w:left="1713"/>
        <w:jc w:val="both"/>
        <w:rPr>
          <w:rFonts w:ascii="Bookman Old Style" w:hAnsi="Bookman Old Style"/>
          <w:b/>
          <w:bCs/>
          <w:color w:val="000000" w:themeColor="text1"/>
          <w:sz w:val="24"/>
          <w:szCs w:val="24"/>
        </w:rPr>
      </w:pPr>
    </w:p>
    <w:p w14:paraId="0A267517" w14:textId="55B1F437" w:rsidR="004D6E36" w:rsidRPr="00683682" w:rsidRDefault="004D6E36" w:rsidP="004D6E36">
      <w:pPr>
        <w:autoSpaceDE w:val="0"/>
        <w:autoSpaceDN w:val="0"/>
        <w:adjustRightInd w:val="0"/>
        <w:jc w:val="both"/>
        <w:rPr>
          <w:rFonts w:ascii="Bookman Old Style" w:hAnsi="Bookman Old Style"/>
          <w:b/>
          <w:bCs/>
          <w:lang w:val="es-CO"/>
        </w:rPr>
      </w:pPr>
      <w:r w:rsidRPr="00683682">
        <w:rPr>
          <w:rFonts w:ascii="Bookman Old Style" w:hAnsi="Bookman Old Style"/>
          <w:b/>
          <w:bCs/>
          <w:color w:val="000000" w:themeColor="text1"/>
          <w:lang w:val="es-CO"/>
        </w:rPr>
        <w:t xml:space="preserve">Si </w:t>
      </w:r>
      <w:r w:rsidRPr="00683682">
        <w:rPr>
          <w:rFonts w:ascii="Bookman Old Style" w:hAnsi="Bookman Old Style"/>
          <w:b/>
          <w:bCs/>
          <w:lang w:val="es-CO"/>
        </w:rPr>
        <w:t xml:space="preserve">el Gestor del Mercado encuentra </w:t>
      </w:r>
      <w:r w:rsidRPr="00683682">
        <w:rPr>
          <w:rFonts w:ascii="Bookman Old Style" w:hAnsi="Bookman Old Style"/>
          <w:b/>
          <w:bCs/>
        </w:rPr>
        <w:t xml:space="preserve">que </w:t>
      </w:r>
      <w:r w:rsidR="00BA2405" w:rsidRPr="00683682">
        <w:rPr>
          <w:rFonts w:ascii="Bookman Old Style" w:hAnsi="Bookman Old Style"/>
          <w:b/>
          <w:bCs/>
        </w:rPr>
        <w:t xml:space="preserve">la cantidad de </w:t>
      </w:r>
      <w:r w:rsidRPr="00683682">
        <w:rPr>
          <w:rFonts w:ascii="Bookman Old Style" w:hAnsi="Bookman Old Style"/>
          <w:b/>
          <w:bCs/>
        </w:rPr>
        <w:t>los derechos de suministro</w:t>
      </w:r>
      <w:r w:rsidR="00BA2405" w:rsidRPr="00683682">
        <w:rPr>
          <w:rFonts w:ascii="Bookman Old Style" w:hAnsi="Bookman Old Style"/>
          <w:b/>
          <w:bCs/>
        </w:rPr>
        <w:t xml:space="preserve"> del contrato que se solicita registrar</w:t>
      </w:r>
      <w:r w:rsidRPr="00683682">
        <w:rPr>
          <w:rFonts w:ascii="Bookman Old Style" w:hAnsi="Bookman Old Style"/>
          <w:b/>
          <w:bCs/>
        </w:rPr>
        <w:t xml:space="preserve">, es superior a la cantidad de gas contratada </w:t>
      </w:r>
      <w:r w:rsidR="00BA2405" w:rsidRPr="00683682">
        <w:rPr>
          <w:rFonts w:ascii="Bookman Old Style" w:hAnsi="Bookman Old Style"/>
          <w:b/>
          <w:bCs/>
        </w:rPr>
        <w:t xml:space="preserve">que aún tiene disponible </w:t>
      </w:r>
      <w:r w:rsidRPr="00683682">
        <w:rPr>
          <w:rFonts w:ascii="Bookman Old Style" w:hAnsi="Bookman Old Style"/>
          <w:b/>
          <w:bCs/>
        </w:rPr>
        <w:t xml:space="preserve">ese vendedor </w:t>
      </w:r>
      <w:r w:rsidR="00BA2405" w:rsidRPr="00683682">
        <w:rPr>
          <w:rFonts w:ascii="Bookman Old Style" w:hAnsi="Bookman Old Style"/>
          <w:b/>
          <w:bCs/>
        </w:rPr>
        <w:t xml:space="preserve">de las compras efectuadas con garantía de firmeza </w:t>
      </w:r>
      <w:r w:rsidRPr="00683682">
        <w:rPr>
          <w:rFonts w:ascii="Bookman Old Style" w:hAnsi="Bookman Old Style"/>
          <w:b/>
          <w:bCs/>
        </w:rPr>
        <w:t xml:space="preserve">en el mercado primario </w:t>
      </w:r>
      <w:r w:rsidR="00BA2405" w:rsidRPr="00683682">
        <w:rPr>
          <w:rFonts w:ascii="Bookman Old Style" w:hAnsi="Bookman Old Style"/>
          <w:b/>
          <w:bCs/>
        </w:rPr>
        <w:t xml:space="preserve">y en el mercado secundario, </w:t>
      </w:r>
      <w:r w:rsidRPr="00683682">
        <w:rPr>
          <w:rFonts w:ascii="Bookman Old Style" w:hAnsi="Bookman Old Style"/>
          <w:b/>
          <w:bCs/>
        </w:rPr>
        <w:t xml:space="preserve">por fuente de suministro y punto de entrega, </w:t>
      </w:r>
      <w:r w:rsidRPr="00683682">
        <w:rPr>
          <w:rFonts w:ascii="Bookman Old Style" w:hAnsi="Bookman Old Style"/>
          <w:b/>
          <w:bCs/>
          <w:lang w:val="es-CO"/>
        </w:rPr>
        <w:t>deberá informárselo al Vendedor del Mercado Secundario, dentro de las 24 horas siguientes a su recibo, para que rectifique a más tardar 24 horas después del recibo de la solicitud de verificación. Cuando no sea posible la rectificación dentro de este término, el Gestor del Mercado deberá abstenerse de registrar el contrato y, por tanto, no podrá ser ejecutado. En este caso, el Gestor del Mercado deberá informar esta situación a las partes involucradas y a los órganos responsables de la inspección, vigilancia y control.</w:t>
      </w:r>
    </w:p>
    <w:p w14:paraId="095B6EFF" w14:textId="77777777" w:rsidR="001A583F" w:rsidRPr="00683682" w:rsidRDefault="001A583F" w:rsidP="004D6E36">
      <w:pPr>
        <w:autoSpaceDE w:val="0"/>
        <w:autoSpaceDN w:val="0"/>
        <w:adjustRightInd w:val="0"/>
        <w:jc w:val="both"/>
        <w:rPr>
          <w:rFonts w:ascii="Bookman Old Style" w:hAnsi="Bookman Old Style"/>
          <w:b/>
          <w:bCs/>
          <w:lang w:val="es-CO"/>
        </w:rPr>
      </w:pPr>
    </w:p>
    <w:p w14:paraId="63A14940" w14:textId="5FBEBB21" w:rsidR="004D6E36" w:rsidRPr="007C761A" w:rsidRDefault="004D6E36" w:rsidP="004D6E36">
      <w:pPr>
        <w:autoSpaceDE w:val="0"/>
        <w:autoSpaceDN w:val="0"/>
        <w:adjustRightInd w:val="0"/>
        <w:jc w:val="both"/>
        <w:rPr>
          <w:rFonts w:ascii="Bookman Old Style" w:hAnsi="Bookman Old Style"/>
          <w:b/>
          <w:bCs/>
          <w:color w:val="000000" w:themeColor="text1"/>
          <w:lang w:val="es-CO"/>
        </w:rPr>
      </w:pPr>
      <w:r w:rsidRPr="00683682">
        <w:rPr>
          <w:rFonts w:ascii="Bookman Old Style" w:hAnsi="Bookman Old Style"/>
          <w:b/>
          <w:bCs/>
        </w:rPr>
        <w:t xml:space="preserve">Adicionalmente, y para efectos de lo anterior, los vendedores del mercado secundario y el Gestor del Mercado deberán tener en cuenta, para los contratos que se desean registrar con base en los casos establecidos en el Parágrafo del </w:t>
      </w:r>
      <w:r w:rsidR="0006060E">
        <w:rPr>
          <w:rFonts w:ascii="Bookman Old Style" w:hAnsi="Bookman Old Style"/>
          <w:b/>
          <w:bCs/>
        </w:rPr>
        <w:t>a</w:t>
      </w:r>
      <w:r w:rsidRPr="00683682">
        <w:rPr>
          <w:rFonts w:ascii="Bookman Old Style" w:hAnsi="Bookman Old Style"/>
          <w:b/>
          <w:bCs/>
        </w:rPr>
        <w:t>rtículo 20 de la presente resolución, tomar el valor asignado a cada fuente de</w:t>
      </w:r>
      <w:r w:rsidRPr="008765CC">
        <w:rPr>
          <w:rFonts w:ascii="Bookman Old Style" w:hAnsi="Bookman Old Style"/>
          <w:b/>
          <w:bCs/>
        </w:rPr>
        <w:t xml:space="preserve"> suministro incluida en el contrato, con la que se garantiza el servicio de suministro de gas natural, sin interrupciones, durante un período determinado, excepto en los días establecidos para mantenimiento y labores programadas. Lo anterior independientemente de la denominación que se haya utilizado para definir el contrato de</w:t>
      </w:r>
      <w:r>
        <w:rPr>
          <w:rFonts w:ascii="Bookman Old Style" w:hAnsi="Bookman Old Style"/>
          <w:b/>
          <w:bCs/>
        </w:rPr>
        <w:t xml:space="preserve"> derechos de</w:t>
      </w:r>
      <w:r w:rsidRPr="008765CC">
        <w:rPr>
          <w:rFonts w:ascii="Bookman Old Style" w:hAnsi="Bookman Old Style"/>
          <w:b/>
          <w:bCs/>
        </w:rPr>
        <w:t xml:space="preserve"> suministro que se desea registrar.</w:t>
      </w:r>
    </w:p>
    <w:p w14:paraId="2BC2CBFB" w14:textId="6B181D5E" w:rsidR="004D6E36" w:rsidRDefault="004D6E36" w:rsidP="0006302B">
      <w:pPr>
        <w:jc w:val="both"/>
        <w:rPr>
          <w:rFonts w:ascii="Bookman Old Style" w:hAnsi="Bookman Old Style"/>
          <w:bCs/>
          <w:color w:val="000000" w:themeColor="text1"/>
          <w:lang w:val="es-CO" w:eastAsia="x-none"/>
        </w:rPr>
      </w:pPr>
    </w:p>
    <w:p w14:paraId="6762B6B0" w14:textId="554ED2F0" w:rsidR="0006302B" w:rsidRPr="0013707D" w:rsidRDefault="0006302B" w:rsidP="0006302B">
      <w:pPr>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Para el registro de dichos contratos y la publicación de información sobre los mismos,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bCs/>
          <w:color w:val="000000" w:themeColor="text1"/>
          <w:lang w:val="es-CO" w:eastAsia="x-none"/>
        </w:rPr>
        <w:t>del Mercado</w:t>
      </w:r>
      <w:r w:rsidRPr="0013707D">
        <w:rPr>
          <w:rFonts w:ascii="Bookman Old Style" w:hAnsi="Bookman Old Style"/>
          <w:bCs/>
          <w:color w:val="000000" w:themeColor="text1"/>
          <w:lang w:val="es-CO" w:eastAsia="x-none"/>
        </w:rPr>
        <w:t xml:space="preserve"> se sujetará a las siguientes disposiciones:</w:t>
      </w:r>
    </w:p>
    <w:p w14:paraId="51076A0F" w14:textId="77777777" w:rsidR="0006302B" w:rsidRPr="00B37CAB" w:rsidRDefault="0006302B" w:rsidP="0006302B">
      <w:pPr>
        <w:pStyle w:val="ARTICULOS"/>
        <w:numPr>
          <w:ilvl w:val="0"/>
          <w:numId w:val="0"/>
        </w:numPr>
        <w:ind w:left="567"/>
        <w:rPr>
          <w:color w:val="000000" w:themeColor="text1"/>
          <w:lang w:val="es-CO"/>
        </w:rPr>
      </w:pPr>
    </w:p>
    <w:p w14:paraId="247C9F69" w14:textId="090786F2" w:rsidR="0006302B" w:rsidRPr="00B37CAB" w:rsidRDefault="0006302B" w:rsidP="00A4790E">
      <w:pPr>
        <w:numPr>
          <w:ilvl w:val="0"/>
          <w:numId w:val="41"/>
        </w:numPr>
        <w:autoSpaceDE w:val="0"/>
        <w:autoSpaceDN w:val="0"/>
        <w:adjustRightInd w:val="0"/>
        <w:ind w:left="1134" w:hanging="567"/>
        <w:jc w:val="both"/>
        <w:rPr>
          <w:rFonts w:ascii="Bookman Old Style" w:hAnsi="Bookman Old Style" w:cs="Arial"/>
          <w:color w:val="000000" w:themeColor="text1"/>
          <w:lang w:val="es-CO"/>
        </w:rPr>
      </w:pPr>
      <w:bookmarkStart w:id="119" w:name="_Ref334785274"/>
      <w:r w:rsidRPr="00B37CAB">
        <w:rPr>
          <w:rFonts w:ascii="Bookman Old Style" w:hAnsi="Bookman Old Style" w:cs="Arial"/>
          <w:color w:val="000000" w:themeColor="text1"/>
          <w:lang w:val="es-CO"/>
        </w:rPr>
        <w:t xml:space="preserve">A más tardar a las 14:00 horas del día de gas, cada vendedor y cada comprador declarará ante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B37CAB">
        <w:rPr>
          <w:rFonts w:ascii="Bookman Old Style" w:hAnsi="Bookman Old Style" w:cs="Arial"/>
          <w:color w:val="000000" w:themeColor="text1"/>
          <w:lang w:val="es-CO"/>
        </w:rPr>
        <w:t xml:space="preserve">del Mercado la información de los contratos que haya celebrado en el mercado secundario entre las 00:00 y las 12:00 horas del día de gas. Esta declaración se hará a través del medio y del formato que defina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B37CAB">
        <w:rPr>
          <w:rFonts w:ascii="Bookman Old Style" w:hAnsi="Bookman Old Style" w:cs="Arial"/>
          <w:color w:val="000000" w:themeColor="text1"/>
          <w:lang w:val="es-CO"/>
        </w:rPr>
        <w:t>del Mercado.</w:t>
      </w:r>
      <w:bookmarkEnd w:id="119"/>
    </w:p>
    <w:p w14:paraId="5BFC5071" w14:textId="77777777" w:rsidR="0006302B" w:rsidRPr="00B37CAB" w:rsidRDefault="0006302B" w:rsidP="0006302B">
      <w:pPr>
        <w:autoSpaceDE w:val="0"/>
        <w:autoSpaceDN w:val="0"/>
        <w:adjustRightInd w:val="0"/>
        <w:ind w:left="1134"/>
        <w:jc w:val="both"/>
        <w:rPr>
          <w:rFonts w:ascii="Bookman Old Style" w:hAnsi="Bookman Old Style" w:cs="Arial"/>
          <w:color w:val="000000" w:themeColor="text1"/>
          <w:lang w:val="es-CO"/>
        </w:rPr>
      </w:pPr>
    </w:p>
    <w:p w14:paraId="79A6DBF5" w14:textId="166AC026" w:rsidR="0006302B" w:rsidRPr="0013707D" w:rsidRDefault="0006302B" w:rsidP="00A4790E">
      <w:pPr>
        <w:numPr>
          <w:ilvl w:val="0"/>
          <w:numId w:val="41"/>
        </w:numPr>
        <w:autoSpaceDE w:val="0"/>
        <w:autoSpaceDN w:val="0"/>
        <w:adjustRightInd w:val="0"/>
        <w:ind w:left="1134" w:hanging="567"/>
        <w:jc w:val="both"/>
        <w:rPr>
          <w:rFonts w:ascii="Bookman Old Style" w:hAnsi="Bookman Old Style" w:cs="Arial"/>
          <w:color w:val="000000" w:themeColor="text1"/>
          <w:lang w:val="es-CO"/>
        </w:rPr>
      </w:pPr>
      <w:r w:rsidRPr="00B37CAB">
        <w:rPr>
          <w:rFonts w:ascii="Bookman Old Style" w:hAnsi="Bookman Old Style" w:cs="Arial"/>
          <w:color w:val="000000" w:themeColor="text1"/>
          <w:lang w:val="es-CO"/>
        </w:rPr>
        <w:lastRenderedPageBreak/>
        <w:t xml:space="preserve">A las 15:00 horas del día de gas,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B37CAB">
        <w:rPr>
          <w:rFonts w:ascii="Bookman Old Style" w:hAnsi="Bookman Old Style" w:cs="Arial"/>
          <w:color w:val="000000" w:themeColor="text1"/>
          <w:lang w:val="es-CO"/>
        </w:rPr>
        <w:t>del</w:t>
      </w:r>
      <w:r>
        <w:rPr>
          <w:rFonts w:ascii="Bookman Old Style" w:hAnsi="Bookman Old Style" w:cs="Arial"/>
          <w:color w:val="000000" w:themeColor="text1"/>
          <w:lang w:val="es-CO"/>
        </w:rPr>
        <w:t xml:space="preserve"> Mercado</w:t>
      </w:r>
      <w:r w:rsidRPr="0013707D">
        <w:rPr>
          <w:rFonts w:ascii="Bookman Old Style" w:hAnsi="Bookman Old Style" w:cs="Arial"/>
          <w:color w:val="000000" w:themeColor="text1"/>
          <w:lang w:val="es-CO"/>
        </w:rPr>
        <w:t xml:space="preserve"> publicará la siguiente información en el BEC:</w:t>
      </w:r>
    </w:p>
    <w:p w14:paraId="11514F33" w14:textId="77777777" w:rsidR="0006302B" w:rsidRPr="0013707D" w:rsidRDefault="0006302B" w:rsidP="0006302B">
      <w:pPr>
        <w:autoSpaceDE w:val="0"/>
        <w:autoSpaceDN w:val="0"/>
        <w:adjustRightInd w:val="0"/>
        <w:ind w:left="1134" w:hanging="567"/>
        <w:jc w:val="both"/>
        <w:rPr>
          <w:rFonts w:ascii="Bookman Old Style" w:hAnsi="Bookman Old Style"/>
          <w:bCs/>
          <w:color w:val="000000" w:themeColor="text1"/>
          <w:lang w:val="es-CO" w:eastAsia="x-none"/>
        </w:rPr>
      </w:pPr>
    </w:p>
    <w:p w14:paraId="7758217B" w14:textId="62932320" w:rsidR="0006302B" w:rsidRPr="00D8590E" w:rsidRDefault="0006302B" w:rsidP="00A4790E">
      <w:pPr>
        <w:pStyle w:val="Prrafodelista"/>
        <w:numPr>
          <w:ilvl w:val="0"/>
          <w:numId w:val="26"/>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La cantidad de energía </w:t>
      </w:r>
      <w:r w:rsidR="00723B45" w:rsidRPr="00191320">
        <w:rPr>
          <w:rFonts w:ascii="Bookman Old Style" w:hAnsi="Bookman Old Style" w:cs="Arial"/>
          <w:b/>
          <w:bCs/>
          <w:color w:val="000000" w:themeColor="text1"/>
          <w:sz w:val="24"/>
          <w:szCs w:val="24"/>
          <w:lang w:eastAsia="es-ES"/>
        </w:rPr>
        <w:t>que corresponde a derechos de suministro</w:t>
      </w:r>
      <w:r w:rsidR="00723B45">
        <w:rPr>
          <w:rFonts w:ascii="Bookman Old Style" w:hAnsi="Bookman Old Style" w:cs="Arial"/>
          <w:color w:val="000000" w:themeColor="text1"/>
          <w:sz w:val="24"/>
          <w:szCs w:val="24"/>
          <w:lang w:eastAsia="es-ES"/>
        </w:rPr>
        <w:t xml:space="preserve">, </w:t>
      </w:r>
      <w:r w:rsidR="00723B45" w:rsidRPr="0013707D">
        <w:rPr>
          <w:rFonts w:ascii="Bookman Old Style" w:hAnsi="Bookman Old Style" w:cs="Arial"/>
          <w:color w:val="000000" w:themeColor="text1"/>
          <w:sz w:val="24"/>
          <w:szCs w:val="24"/>
          <w:lang w:eastAsia="es-ES"/>
        </w:rPr>
        <w:t xml:space="preserve">negociada </w:t>
      </w:r>
      <w:r w:rsidRPr="0013707D">
        <w:rPr>
          <w:rFonts w:ascii="Bookman Old Style" w:hAnsi="Bookman Old Style" w:cs="Arial"/>
          <w:color w:val="000000" w:themeColor="text1"/>
          <w:sz w:val="24"/>
          <w:szCs w:val="24"/>
          <w:lang w:eastAsia="es-ES"/>
        </w:rPr>
        <w:t xml:space="preserve">en el mercado secundario entre las 00:00 y las 12:00 horas del día de gas, bajo cada modalidad de contrato </w:t>
      </w:r>
      <w:r w:rsidRPr="00D8590E">
        <w:rPr>
          <w:rFonts w:ascii="Bookman Old Style" w:hAnsi="Bookman Old Style" w:cs="Arial"/>
          <w:color w:val="000000" w:themeColor="text1"/>
          <w:sz w:val="24"/>
          <w:szCs w:val="24"/>
          <w:lang w:eastAsia="es-ES"/>
        </w:rPr>
        <w:t>y para cada Punto Estándar de Entrega.</w:t>
      </w:r>
    </w:p>
    <w:p w14:paraId="0B09503E" w14:textId="77777777" w:rsidR="0006302B" w:rsidRPr="00D8590E"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7F580501" w14:textId="0C463F7E" w:rsidR="0006302B" w:rsidRPr="00D8590E" w:rsidRDefault="0006302B" w:rsidP="00A4790E">
      <w:pPr>
        <w:pStyle w:val="Prrafodelista"/>
        <w:numPr>
          <w:ilvl w:val="0"/>
          <w:numId w:val="26"/>
        </w:numPr>
        <w:ind w:left="1701" w:hanging="567"/>
        <w:contextualSpacing/>
        <w:jc w:val="both"/>
        <w:rPr>
          <w:rFonts w:ascii="Bookman Old Style" w:hAnsi="Bookman Old Style" w:cs="Arial"/>
          <w:color w:val="000000" w:themeColor="text1"/>
          <w:sz w:val="24"/>
          <w:szCs w:val="24"/>
          <w:lang w:eastAsia="es-ES"/>
        </w:rPr>
      </w:pPr>
      <w:r w:rsidRPr="00D8590E">
        <w:rPr>
          <w:rFonts w:ascii="Bookman Old Style" w:hAnsi="Bookman Old Style" w:cs="Arial"/>
          <w:color w:val="000000" w:themeColor="text1"/>
          <w:sz w:val="24"/>
          <w:szCs w:val="24"/>
          <w:lang w:eastAsia="es-ES"/>
        </w:rPr>
        <w:t xml:space="preserve">El precio promedio </w:t>
      </w:r>
      <w:r w:rsidRPr="00D8590E">
        <w:rPr>
          <w:rFonts w:ascii="Bookman Old Style" w:hAnsi="Bookman Old Style" w:cs="Arial"/>
          <w:b/>
          <w:bCs/>
          <w:color w:val="000000" w:themeColor="text1"/>
          <w:sz w:val="24"/>
          <w:szCs w:val="24"/>
          <w:lang w:eastAsia="es-ES"/>
        </w:rPr>
        <w:t>de intermediación</w:t>
      </w:r>
      <w:r w:rsidRPr="00D8590E">
        <w:rPr>
          <w:rFonts w:ascii="Bookman Old Style" w:hAnsi="Bookman Old Style" w:cs="Arial"/>
          <w:color w:val="000000" w:themeColor="text1"/>
          <w:sz w:val="24"/>
          <w:szCs w:val="24"/>
          <w:lang w:eastAsia="es-ES"/>
        </w:rPr>
        <w:t xml:space="preserve">, ponderado por cantidades, acordado en los contratos de </w:t>
      </w:r>
      <w:r w:rsidR="00723B45" w:rsidRPr="00D8590E">
        <w:rPr>
          <w:rFonts w:ascii="Bookman Old Style" w:hAnsi="Bookman Old Style" w:cs="Arial"/>
          <w:b/>
          <w:bCs/>
          <w:color w:val="000000" w:themeColor="text1"/>
          <w:sz w:val="24"/>
          <w:szCs w:val="24"/>
          <w:lang w:eastAsia="es-ES"/>
        </w:rPr>
        <w:t>derechos de</w:t>
      </w:r>
      <w:r w:rsidR="00723B45" w:rsidRPr="00D8590E">
        <w:rPr>
          <w:rFonts w:ascii="Bookman Old Style" w:hAnsi="Bookman Old Style" w:cs="Arial"/>
          <w:color w:val="000000" w:themeColor="text1"/>
          <w:sz w:val="24"/>
          <w:szCs w:val="24"/>
          <w:lang w:eastAsia="es-ES"/>
        </w:rPr>
        <w:t xml:space="preserve"> </w:t>
      </w:r>
      <w:r w:rsidRPr="00D8590E">
        <w:rPr>
          <w:rFonts w:ascii="Bookman Old Style" w:hAnsi="Bookman Old Style" w:cs="Arial"/>
          <w:color w:val="000000" w:themeColor="text1"/>
          <w:sz w:val="24"/>
          <w:szCs w:val="24"/>
          <w:lang w:eastAsia="es-ES"/>
        </w:rPr>
        <w:t>suministro de gas natural en el mercado secundario entre las 00:00 y las 12:00 horas del día de gas, bajo cada modalidad de contrato en cada</w:t>
      </w:r>
      <w:r w:rsidR="000A5142" w:rsidRPr="00D8590E">
        <w:rPr>
          <w:rFonts w:ascii="Bookman Old Style" w:hAnsi="Bookman Old Style" w:cs="Arial"/>
          <w:color w:val="000000" w:themeColor="text1"/>
          <w:sz w:val="24"/>
          <w:szCs w:val="24"/>
          <w:lang w:eastAsia="es-ES"/>
        </w:rPr>
        <w:t xml:space="preserve"> Punto de Entrega</w:t>
      </w:r>
      <w:r w:rsidRPr="00D8590E">
        <w:rPr>
          <w:rFonts w:ascii="Bookman Old Style" w:hAnsi="Bookman Old Style" w:cs="Arial"/>
          <w:color w:val="000000" w:themeColor="text1"/>
          <w:sz w:val="24"/>
          <w:szCs w:val="24"/>
          <w:lang w:eastAsia="es-ES"/>
        </w:rPr>
        <w:t>.</w:t>
      </w:r>
    </w:p>
    <w:p w14:paraId="6EC4F730" w14:textId="77777777" w:rsidR="0006302B" w:rsidRPr="0013707D"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154BE826" w14:textId="55916A1C"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no identificará las negociaciones individuales</w:t>
      </w:r>
      <w:r w:rsidR="00723B45">
        <w:rPr>
          <w:rFonts w:ascii="Bookman Old Style" w:hAnsi="Bookman Old Style"/>
          <w:color w:val="000000" w:themeColor="text1"/>
          <w:lang w:val="es-CO"/>
        </w:rPr>
        <w:t xml:space="preserve"> </w:t>
      </w:r>
      <w:r w:rsidR="00723B45" w:rsidRPr="00191320">
        <w:rPr>
          <w:rFonts w:ascii="Bookman Old Style" w:hAnsi="Bookman Old Style"/>
          <w:b/>
          <w:bCs/>
          <w:color w:val="000000" w:themeColor="text1"/>
          <w:lang w:val="es-CO"/>
        </w:rPr>
        <w:t>de derechos de sum</w:t>
      </w:r>
      <w:r w:rsidR="00CB6C7A">
        <w:rPr>
          <w:rFonts w:ascii="Bookman Old Style" w:hAnsi="Bookman Old Style"/>
          <w:b/>
          <w:bCs/>
          <w:color w:val="000000" w:themeColor="text1"/>
          <w:lang w:val="es-CO"/>
        </w:rPr>
        <w:t>i</w:t>
      </w:r>
      <w:r w:rsidR="00723B45" w:rsidRPr="00191320">
        <w:rPr>
          <w:rFonts w:ascii="Bookman Old Style" w:hAnsi="Bookman Old Style"/>
          <w:b/>
          <w:bCs/>
          <w:color w:val="000000" w:themeColor="text1"/>
          <w:lang w:val="es-CO"/>
        </w:rPr>
        <w:t>nistro</w:t>
      </w:r>
      <w:r w:rsidRPr="00723B45">
        <w:rPr>
          <w:rFonts w:ascii="Bookman Old Style" w:hAnsi="Bookman Old Style"/>
          <w:color w:val="000000" w:themeColor="text1"/>
          <w:lang w:val="es-CO"/>
        </w:rPr>
        <w:t xml:space="preserve"> </w:t>
      </w:r>
      <w:r w:rsidRPr="0013707D">
        <w:rPr>
          <w:rFonts w:ascii="Bookman Old Style" w:hAnsi="Bookman Old Style"/>
          <w:color w:val="000000" w:themeColor="text1"/>
          <w:lang w:val="es-CO"/>
        </w:rPr>
        <w:t>en la información publicada.</w:t>
      </w:r>
    </w:p>
    <w:p w14:paraId="1C15A916"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06047C13" w14:textId="1CAACA44"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Para la publicación de esta información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no estará obligado a verificarla previamente.</w:t>
      </w:r>
    </w:p>
    <w:p w14:paraId="75189886"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4BA052A7" w14:textId="7F1FA3B2" w:rsidR="0006302B" w:rsidRPr="0013707D" w:rsidRDefault="0006302B" w:rsidP="00A4790E">
      <w:pPr>
        <w:numPr>
          <w:ilvl w:val="0"/>
          <w:numId w:val="41"/>
        </w:numPr>
        <w:autoSpaceDE w:val="0"/>
        <w:autoSpaceDN w:val="0"/>
        <w:adjustRightInd w:val="0"/>
        <w:ind w:left="1134" w:hanging="567"/>
        <w:jc w:val="both"/>
        <w:rPr>
          <w:rFonts w:ascii="Bookman Old Style" w:hAnsi="Bookman Old Style" w:cs="Arial"/>
          <w:color w:val="000000" w:themeColor="text1"/>
          <w:lang w:val="es-CO"/>
        </w:rPr>
      </w:pPr>
      <w:bookmarkStart w:id="120" w:name="_Ref334785278"/>
      <w:r w:rsidRPr="0013707D">
        <w:rPr>
          <w:rFonts w:ascii="Bookman Old Style" w:hAnsi="Bookman Old Style" w:cs="Arial"/>
          <w:color w:val="000000" w:themeColor="text1"/>
          <w:lang w:val="es-CO"/>
        </w:rPr>
        <w:t xml:space="preserve">A más tardar a las 8:00 horas del día calendario siguiente al día de gas, cada </w:t>
      </w:r>
      <w:r w:rsidRPr="00B37CAB">
        <w:rPr>
          <w:rFonts w:ascii="Bookman Old Style" w:hAnsi="Bookman Old Style" w:cs="Arial"/>
          <w:color w:val="000000" w:themeColor="text1"/>
          <w:lang w:val="es-CO"/>
        </w:rPr>
        <w:t>vendedor y cada comprador</w:t>
      </w:r>
      <w:r w:rsidRPr="0013707D">
        <w:rPr>
          <w:rFonts w:ascii="Bookman Old Style" w:hAnsi="Bookman Old Style" w:cs="Arial"/>
          <w:color w:val="000000" w:themeColor="text1"/>
          <w:lang w:val="es-CO"/>
        </w:rPr>
        <w:t xml:space="preserve"> declarará ante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 xml:space="preserve"> la información de los contratos que haya celebrado en el mercado secundario entre las 12:00 y las 24:00 horas del día de gas. Esta declaración se hará a través del medio y del formato que defina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w:t>
      </w:r>
      <w:bookmarkEnd w:id="120"/>
    </w:p>
    <w:p w14:paraId="608FA1D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13F9DE8" w14:textId="124B90F7" w:rsidR="0006302B" w:rsidRPr="0013707D" w:rsidRDefault="0006302B" w:rsidP="00A4790E">
      <w:pPr>
        <w:numPr>
          <w:ilvl w:val="0"/>
          <w:numId w:val="41"/>
        </w:numPr>
        <w:autoSpaceDE w:val="0"/>
        <w:autoSpaceDN w:val="0"/>
        <w:adjustRightInd w:val="0"/>
        <w:ind w:left="1134" w:hanging="567"/>
        <w:jc w:val="both"/>
        <w:rPr>
          <w:rFonts w:ascii="Bookman Old Style" w:hAnsi="Bookman Old Style" w:cs="Arial"/>
          <w:color w:val="000000" w:themeColor="text1"/>
          <w:lang w:val="es-CO"/>
        </w:rPr>
      </w:pPr>
      <w:bookmarkStart w:id="121" w:name="_Ref357006731"/>
      <w:r w:rsidRPr="0013707D">
        <w:rPr>
          <w:rFonts w:ascii="Bookman Old Style" w:hAnsi="Bookman Old Style" w:cs="Arial"/>
          <w:color w:val="000000" w:themeColor="text1"/>
          <w:lang w:val="es-CO"/>
        </w:rPr>
        <w:t xml:space="preserve">A las 9:00 horas del día calendario siguiente al día de gas,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s="Arial"/>
          <w:color w:val="000000" w:themeColor="text1"/>
          <w:lang w:val="es-CO"/>
        </w:rPr>
        <w:t xml:space="preserve"> del Mercado</w:t>
      </w:r>
      <w:r w:rsidRPr="0013707D">
        <w:rPr>
          <w:rFonts w:ascii="Bookman Old Style" w:hAnsi="Bookman Old Style" w:cs="Arial"/>
          <w:color w:val="000000" w:themeColor="text1"/>
          <w:lang w:val="es-CO"/>
        </w:rPr>
        <w:t xml:space="preserve"> publicará la siguiente información en el BEC:</w:t>
      </w:r>
      <w:bookmarkEnd w:id="121"/>
    </w:p>
    <w:p w14:paraId="00996BA2" w14:textId="77777777" w:rsidR="0006302B" w:rsidRPr="0013707D" w:rsidRDefault="0006302B" w:rsidP="0006302B">
      <w:pPr>
        <w:ind w:left="360"/>
        <w:jc w:val="both"/>
        <w:rPr>
          <w:rFonts w:ascii="Bookman Old Style" w:hAnsi="Bookman Old Style"/>
          <w:bCs/>
          <w:color w:val="000000" w:themeColor="text1"/>
          <w:lang w:val="es-CO" w:eastAsia="x-none"/>
        </w:rPr>
      </w:pPr>
    </w:p>
    <w:p w14:paraId="18C2C89F" w14:textId="0EF09EDC" w:rsidR="0006302B" w:rsidRPr="00683682" w:rsidRDefault="0006302B"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La cantidad de energía</w:t>
      </w:r>
      <w:r w:rsidR="00723B45">
        <w:rPr>
          <w:rFonts w:ascii="Bookman Old Style" w:hAnsi="Bookman Old Style" w:cs="Arial"/>
          <w:color w:val="000000" w:themeColor="text1"/>
          <w:sz w:val="24"/>
          <w:szCs w:val="24"/>
          <w:lang w:eastAsia="es-ES"/>
        </w:rPr>
        <w:t xml:space="preserve"> </w:t>
      </w:r>
      <w:r w:rsidR="00723B45" w:rsidRPr="00191320">
        <w:rPr>
          <w:rFonts w:ascii="Bookman Old Style" w:hAnsi="Bookman Old Style" w:cs="Arial"/>
          <w:b/>
          <w:bCs/>
          <w:color w:val="000000" w:themeColor="text1"/>
          <w:sz w:val="24"/>
          <w:szCs w:val="24"/>
          <w:lang w:eastAsia="es-ES"/>
        </w:rPr>
        <w:t>correspondiente a derechos de sum</w:t>
      </w:r>
      <w:r w:rsidR="00723B45">
        <w:rPr>
          <w:rFonts w:ascii="Bookman Old Style" w:hAnsi="Bookman Old Style" w:cs="Arial"/>
          <w:b/>
          <w:bCs/>
          <w:color w:val="000000" w:themeColor="text1"/>
          <w:sz w:val="24"/>
          <w:szCs w:val="24"/>
          <w:lang w:eastAsia="es-ES"/>
        </w:rPr>
        <w:t>i</w:t>
      </w:r>
      <w:r w:rsidR="00723B45" w:rsidRPr="00191320">
        <w:rPr>
          <w:rFonts w:ascii="Bookman Old Style" w:hAnsi="Bookman Old Style" w:cs="Arial"/>
          <w:b/>
          <w:bCs/>
          <w:color w:val="000000" w:themeColor="text1"/>
          <w:sz w:val="24"/>
          <w:szCs w:val="24"/>
          <w:lang w:eastAsia="es-ES"/>
        </w:rPr>
        <w:t>nistro</w:t>
      </w:r>
      <w:r w:rsidR="00723B45">
        <w:rPr>
          <w:rFonts w:ascii="Bookman Old Style" w:hAnsi="Bookman Old Style" w:cs="Arial"/>
          <w:color w:val="000000" w:themeColor="text1"/>
          <w:sz w:val="24"/>
          <w:szCs w:val="24"/>
          <w:lang w:eastAsia="es-ES"/>
        </w:rPr>
        <w:t>,</w:t>
      </w:r>
      <w:r w:rsidRPr="0013707D">
        <w:rPr>
          <w:rFonts w:ascii="Bookman Old Style" w:hAnsi="Bookman Old Style" w:cs="Arial"/>
          <w:color w:val="000000" w:themeColor="text1"/>
          <w:sz w:val="24"/>
          <w:szCs w:val="24"/>
          <w:lang w:eastAsia="es-ES"/>
        </w:rPr>
        <w:t xml:space="preserve"> negociada en el mercado secundario durante el día de </w:t>
      </w:r>
      <w:r w:rsidRPr="00683682">
        <w:rPr>
          <w:rFonts w:ascii="Bookman Old Style" w:hAnsi="Bookman Old Style" w:cs="Arial"/>
          <w:color w:val="000000" w:themeColor="text1"/>
          <w:sz w:val="24"/>
          <w:szCs w:val="24"/>
          <w:lang w:eastAsia="es-ES"/>
        </w:rPr>
        <w:t xml:space="preserve">gas, bajo cada modalidad de contrato y para cada Punto </w:t>
      </w:r>
      <w:r w:rsidRPr="00683682">
        <w:rPr>
          <w:rFonts w:ascii="Bookman Old Style" w:hAnsi="Bookman Old Style" w:cs="Arial"/>
          <w:b/>
          <w:bCs/>
          <w:color w:val="000000" w:themeColor="text1"/>
          <w:sz w:val="24"/>
          <w:szCs w:val="24"/>
          <w:lang w:eastAsia="es-ES"/>
        </w:rPr>
        <w:t xml:space="preserve">Estándar </w:t>
      </w:r>
      <w:r w:rsidRPr="00683682">
        <w:rPr>
          <w:rFonts w:ascii="Bookman Old Style" w:hAnsi="Bookman Old Style" w:cs="Arial"/>
          <w:color w:val="000000" w:themeColor="text1"/>
          <w:sz w:val="24"/>
          <w:szCs w:val="24"/>
          <w:lang w:eastAsia="es-ES"/>
        </w:rPr>
        <w:t>de Entrega.</w:t>
      </w:r>
    </w:p>
    <w:p w14:paraId="03974588" w14:textId="77777777" w:rsidR="0006302B" w:rsidRPr="00683682"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5D531B5A" w14:textId="5230D903" w:rsidR="0006302B" w:rsidRPr="00683682" w:rsidRDefault="0006302B" w:rsidP="00A4790E">
      <w:pPr>
        <w:pStyle w:val="Prrafodelista"/>
        <w:numPr>
          <w:ilvl w:val="0"/>
          <w:numId w:val="27"/>
        </w:numPr>
        <w:ind w:left="1701" w:hanging="567"/>
        <w:contextualSpacing/>
        <w:jc w:val="both"/>
        <w:rPr>
          <w:rFonts w:ascii="Bookman Old Style" w:hAnsi="Bookman Old Style" w:cs="Arial"/>
          <w:b/>
          <w:bCs/>
          <w:color w:val="000000" w:themeColor="text1"/>
          <w:sz w:val="24"/>
          <w:szCs w:val="24"/>
          <w:lang w:eastAsia="es-ES"/>
        </w:rPr>
      </w:pPr>
      <w:r w:rsidRPr="00683682">
        <w:rPr>
          <w:rFonts w:ascii="Bookman Old Style" w:hAnsi="Bookman Old Style" w:cs="Arial"/>
          <w:b/>
          <w:bCs/>
          <w:color w:val="000000" w:themeColor="text1"/>
          <w:sz w:val="24"/>
          <w:szCs w:val="24"/>
          <w:lang w:eastAsia="es-ES"/>
        </w:rPr>
        <w:t>El precio promedio, ponderado por cantidades, acordado en los contratos de</w:t>
      </w:r>
      <w:r w:rsidR="00875906" w:rsidRPr="00683682">
        <w:rPr>
          <w:rFonts w:ascii="Bookman Old Style" w:hAnsi="Bookman Old Style" w:cs="Arial"/>
          <w:b/>
          <w:bCs/>
          <w:color w:val="000000" w:themeColor="text1"/>
          <w:sz w:val="24"/>
          <w:szCs w:val="24"/>
          <w:lang w:eastAsia="es-ES"/>
        </w:rPr>
        <w:t xml:space="preserve"> derechos de</w:t>
      </w:r>
      <w:r w:rsidRPr="00683682">
        <w:rPr>
          <w:rFonts w:ascii="Bookman Old Style" w:hAnsi="Bookman Old Style" w:cs="Arial"/>
          <w:b/>
          <w:bCs/>
          <w:color w:val="000000" w:themeColor="text1"/>
          <w:sz w:val="24"/>
          <w:szCs w:val="24"/>
          <w:lang w:eastAsia="es-ES"/>
        </w:rPr>
        <w:t xml:space="preserve"> suministro de gas natural en el mercado secundario durante el día de gas, bajo cada modalidad de contrato para cada Punto Estándar de Entrega.</w:t>
      </w:r>
    </w:p>
    <w:p w14:paraId="33AAE2FF" w14:textId="77777777" w:rsidR="00847D6C" w:rsidRPr="00683682" w:rsidRDefault="00847D6C" w:rsidP="00847D6C">
      <w:pPr>
        <w:pStyle w:val="Prrafodelista"/>
        <w:rPr>
          <w:rFonts w:ascii="Bookman Old Style" w:hAnsi="Bookman Old Style" w:cs="Arial"/>
          <w:color w:val="000000" w:themeColor="text1"/>
          <w:sz w:val="24"/>
          <w:szCs w:val="24"/>
          <w:lang w:eastAsia="es-ES"/>
        </w:rPr>
      </w:pPr>
    </w:p>
    <w:p w14:paraId="48E234E1" w14:textId="7D3B19D0" w:rsidR="00847D6C" w:rsidRDefault="00847D6C"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r w:rsidRPr="00683682">
        <w:rPr>
          <w:rFonts w:ascii="Bookman Old Style" w:hAnsi="Bookman Old Style" w:cs="Arial"/>
          <w:color w:val="000000" w:themeColor="text1"/>
          <w:sz w:val="24"/>
          <w:szCs w:val="24"/>
          <w:lang w:eastAsia="es-ES"/>
        </w:rPr>
        <w:t xml:space="preserve">El precio </w:t>
      </w:r>
      <w:r w:rsidR="00EE6CD9" w:rsidRPr="00EE6CD9">
        <w:rPr>
          <w:rFonts w:ascii="Bookman Old Style" w:hAnsi="Bookman Old Style" w:cs="Arial"/>
          <w:b/>
          <w:bCs/>
          <w:color w:val="000000" w:themeColor="text1"/>
          <w:sz w:val="24"/>
          <w:szCs w:val="24"/>
          <w:lang w:eastAsia="es-ES"/>
        </w:rPr>
        <w:t>o porcentaje</w:t>
      </w:r>
      <w:r w:rsidR="00EE6CD9">
        <w:rPr>
          <w:rFonts w:ascii="Bookman Old Style" w:hAnsi="Bookman Old Style" w:cs="Arial"/>
          <w:color w:val="000000" w:themeColor="text1"/>
          <w:sz w:val="24"/>
          <w:szCs w:val="24"/>
          <w:lang w:eastAsia="es-ES"/>
        </w:rPr>
        <w:t xml:space="preserve"> </w:t>
      </w:r>
      <w:r w:rsidRPr="00683682">
        <w:rPr>
          <w:rFonts w:ascii="Bookman Old Style" w:hAnsi="Bookman Old Style" w:cs="Arial"/>
          <w:b/>
          <w:bCs/>
          <w:color w:val="000000" w:themeColor="text1"/>
          <w:sz w:val="24"/>
          <w:szCs w:val="24"/>
          <w:lang w:eastAsia="es-ES"/>
        </w:rPr>
        <w:t>de intermediación</w:t>
      </w:r>
      <w:r w:rsidRPr="00683682">
        <w:rPr>
          <w:rFonts w:ascii="Bookman Old Style" w:hAnsi="Bookman Old Style" w:cs="Arial"/>
          <w:color w:val="000000" w:themeColor="text1"/>
          <w:sz w:val="24"/>
          <w:szCs w:val="24"/>
          <w:lang w:eastAsia="es-ES"/>
        </w:rPr>
        <w:t xml:space="preserve"> promedio, ponderado por cantidades, acordado en los contratos de </w:t>
      </w:r>
      <w:r w:rsidRPr="00683682">
        <w:rPr>
          <w:rFonts w:ascii="Bookman Old Style" w:hAnsi="Bookman Old Style" w:cs="Arial"/>
          <w:b/>
          <w:bCs/>
          <w:color w:val="000000" w:themeColor="text1"/>
          <w:sz w:val="24"/>
          <w:szCs w:val="24"/>
          <w:lang w:eastAsia="es-ES"/>
        </w:rPr>
        <w:t>derechos de</w:t>
      </w:r>
      <w:r w:rsidRPr="00683682">
        <w:rPr>
          <w:rFonts w:ascii="Bookman Old Style" w:hAnsi="Bookman Old Style" w:cs="Arial"/>
          <w:color w:val="000000" w:themeColor="text1"/>
          <w:sz w:val="24"/>
          <w:szCs w:val="24"/>
          <w:lang w:eastAsia="es-ES"/>
        </w:rPr>
        <w:t xml:space="preserve"> suministro de gas natural en el mercado secundario durante</w:t>
      </w:r>
      <w:r w:rsidRPr="0013707D">
        <w:rPr>
          <w:rFonts w:ascii="Bookman Old Style" w:hAnsi="Bookman Old Style" w:cs="Arial"/>
          <w:color w:val="000000" w:themeColor="text1"/>
          <w:sz w:val="24"/>
          <w:szCs w:val="24"/>
          <w:lang w:eastAsia="es-ES"/>
        </w:rPr>
        <w:t xml:space="preserve"> el día de gas, bajo cada modalidad de contrato para cada </w:t>
      </w:r>
      <w:r>
        <w:rPr>
          <w:rFonts w:ascii="Bookman Old Style" w:hAnsi="Bookman Old Style" w:cs="Arial"/>
          <w:color w:val="000000" w:themeColor="text1"/>
          <w:sz w:val="24"/>
          <w:szCs w:val="24"/>
          <w:lang w:eastAsia="es-ES"/>
        </w:rPr>
        <w:t xml:space="preserve">Punto </w:t>
      </w:r>
      <w:r>
        <w:rPr>
          <w:rFonts w:ascii="Bookman Old Style" w:hAnsi="Bookman Old Style" w:cs="Arial"/>
          <w:b/>
          <w:bCs/>
          <w:color w:val="000000" w:themeColor="text1"/>
          <w:sz w:val="24"/>
          <w:szCs w:val="24"/>
          <w:lang w:eastAsia="es-ES"/>
        </w:rPr>
        <w:t>Estándar</w:t>
      </w:r>
      <w:r>
        <w:rPr>
          <w:rFonts w:ascii="Bookman Old Style" w:hAnsi="Bookman Old Style" w:cs="Arial"/>
          <w:color w:val="000000" w:themeColor="text1"/>
          <w:sz w:val="24"/>
          <w:szCs w:val="24"/>
          <w:lang w:eastAsia="es-ES"/>
        </w:rPr>
        <w:t xml:space="preserve"> de Entrega</w:t>
      </w:r>
      <w:r w:rsidRPr="0013707D">
        <w:rPr>
          <w:rFonts w:ascii="Bookman Old Style" w:hAnsi="Bookman Old Style" w:cs="Arial"/>
          <w:color w:val="000000" w:themeColor="text1"/>
          <w:sz w:val="24"/>
          <w:szCs w:val="24"/>
          <w:lang w:eastAsia="es-ES"/>
        </w:rPr>
        <w:t>.</w:t>
      </w:r>
    </w:p>
    <w:p w14:paraId="324DCEA5" w14:textId="77777777" w:rsidR="00847D6C" w:rsidRPr="00847D6C" w:rsidRDefault="00847D6C" w:rsidP="00847D6C">
      <w:pPr>
        <w:pStyle w:val="Prrafodelista"/>
        <w:rPr>
          <w:rFonts w:ascii="Bookman Old Style" w:hAnsi="Bookman Old Style" w:cs="Arial"/>
          <w:color w:val="000000" w:themeColor="text1"/>
          <w:sz w:val="24"/>
          <w:szCs w:val="24"/>
          <w:lang w:eastAsia="es-ES"/>
        </w:rPr>
      </w:pPr>
    </w:p>
    <w:p w14:paraId="270E07A5" w14:textId="226C18A1" w:rsidR="0006302B" w:rsidRPr="0013707D" w:rsidRDefault="0006302B"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Los precios mínimos y máximos de la energía </w:t>
      </w:r>
      <w:r w:rsidR="00875906" w:rsidRPr="001F6752">
        <w:rPr>
          <w:rFonts w:ascii="Bookman Old Style" w:hAnsi="Bookman Old Style" w:cs="Arial"/>
          <w:b/>
          <w:bCs/>
          <w:color w:val="000000" w:themeColor="text1"/>
          <w:sz w:val="24"/>
          <w:szCs w:val="24"/>
          <w:lang w:eastAsia="es-ES"/>
        </w:rPr>
        <w:t>correspondiente a derechos de sum</w:t>
      </w:r>
      <w:r w:rsidR="00875906">
        <w:rPr>
          <w:rFonts w:ascii="Bookman Old Style" w:hAnsi="Bookman Old Style" w:cs="Arial"/>
          <w:b/>
          <w:bCs/>
          <w:color w:val="000000" w:themeColor="text1"/>
          <w:sz w:val="24"/>
          <w:szCs w:val="24"/>
          <w:lang w:eastAsia="es-ES"/>
        </w:rPr>
        <w:t>i</w:t>
      </w:r>
      <w:r w:rsidR="00875906" w:rsidRPr="001F6752">
        <w:rPr>
          <w:rFonts w:ascii="Bookman Old Style" w:hAnsi="Bookman Old Style" w:cs="Arial"/>
          <w:b/>
          <w:bCs/>
          <w:color w:val="000000" w:themeColor="text1"/>
          <w:sz w:val="24"/>
          <w:szCs w:val="24"/>
          <w:lang w:eastAsia="es-ES"/>
        </w:rPr>
        <w:t>nistro</w:t>
      </w:r>
      <w:r w:rsidR="00875906" w:rsidRPr="0013707D">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 xml:space="preserve">negociada en el mercado secundario durante el día de gas, bajo cada modalidad de contrato y para cada </w:t>
      </w:r>
      <w:r>
        <w:rPr>
          <w:rFonts w:ascii="Bookman Old Style" w:hAnsi="Bookman Old Style" w:cs="Arial"/>
          <w:color w:val="000000" w:themeColor="text1"/>
          <w:sz w:val="24"/>
          <w:szCs w:val="24"/>
          <w:lang w:eastAsia="es-ES"/>
        </w:rPr>
        <w:t>Punto</w:t>
      </w:r>
      <w:r w:rsidRPr="00BD33D5">
        <w:rPr>
          <w:rFonts w:ascii="Bookman Old Style" w:hAnsi="Bookman Old Style" w:cs="Arial"/>
          <w:b/>
          <w:bCs/>
          <w:color w:val="000000" w:themeColor="text1"/>
          <w:sz w:val="24"/>
          <w:szCs w:val="24"/>
          <w:lang w:eastAsia="es-ES"/>
        </w:rPr>
        <w:t xml:space="preserve"> </w:t>
      </w:r>
      <w:r>
        <w:rPr>
          <w:rFonts w:ascii="Bookman Old Style" w:hAnsi="Bookman Old Style" w:cs="Arial"/>
          <w:b/>
          <w:bCs/>
          <w:color w:val="000000" w:themeColor="text1"/>
          <w:sz w:val="24"/>
          <w:szCs w:val="24"/>
          <w:lang w:eastAsia="es-ES"/>
        </w:rPr>
        <w:t>Estándar</w:t>
      </w:r>
      <w:r>
        <w:rPr>
          <w:rFonts w:ascii="Bookman Old Style" w:hAnsi="Bookman Old Style" w:cs="Arial"/>
          <w:color w:val="000000" w:themeColor="text1"/>
          <w:sz w:val="24"/>
          <w:szCs w:val="24"/>
          <w:lang w:eastAsia="es-ES"/>
        </w:rPr>
        <w:t xml:space="preserve"> de Entrega</w:t>
      </w:r>
      <w:r w:rsidRPr="0013707D">
        <w:rPr>
          <w:rFonts w:ascii="Bookman Old Style" w:hAnsi="Bookman Old Style" w:cs="Arial"/>
          <w:color w:val="000000" w:themeColor="text1"/>
          <w:sz w:val="24"/>
          <w:szCs w:val="24"/>
          <w:lang w:eastAsia="es-ES"/>
        </w:rPr>
        <w:t>, al igual que el número total de negociaciones realizadas.</w:t>
      </w:r>
    </w:p>
    <w:p w14:paraId="60481497" w14:textId="77777777" w:rsidR="0006302B" w:rsidRPr="0013707D"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484AC1EB" w14:textId="1385278E" w:rsidR="0006302B" w:rsidRPr="004661B3" w:rsidRDefault="0006302B"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lastRenderedPageBreak/>
        <w:t>La cantidad de energía</w:t>
      </w:r>
      <w:r w:rsidR="00875906">
        <w:rPr>
          <w:rFonts w:ascii="Bookman Old Style" w:hAnsi="Bookman Old Style" w:cs="Arial"/>
          <w:color w:val="000000" w:themeColor="text1"/>
          <w:sz w:val="24"/>
          <w:szCs w:val="24"/>
          <w:lang w:eastAsia="es-ES"/>
        </w:rPr>
        <w:t xml:space="preserve"> </w:t>
      </w:r>
      <w:r w:rsidR="00875906" w:rsidRPr="001F6752">
        <w:rPr>
          <w:rFonts w:ascii="Bookman Old Style" w:hAnsi="Bookman Old Style" w:cs="Arial"/>
          <w:b/>
          <w:bCs/>
          <w:color w:val="000000" w:themeColor="text1"/>
          <w:sz w:val="24"/>
          <w:szCs w:val="24"/>
          <w:lang w:eastAsia="es-ES"/>
        </w:rPr>
        <w:t>correspondiente a derechos de sum</w:t>
      </w:r>
      <w:r w:rsidR="00875906">
        <w:rPr>
          <w:rFonts w:ascii="Bookman Old Style" w:hAnsi="Bookman Old Style" w:cs="Arial"/>
          <w:b/>
          <w:bCs/>
          <w:color w:val="000000" w:themeColor="text1"/>
          <w:sz w:val="24"/>
          <w:szCs w:val="24"/>
          <w:lang w:eastAsia="es-ES"/>
        </w:rPr>
        <w:t>i</w:t>
      </w:r>
      <w:r w:rsidR="00875906" w:rsidRPr="001F6752">
        <w:rPr>
          <w:rFonts w:ascii="Bookman Old Style" w:hAnsi="Bookman Old Style" w:cs="Arial"/>
          <w:b/>
          <w:bCs/>
          <w:color w:val="000000" w:themeColor="text1"/>
          <w:sz w:val="24"/>
          <w:szCs w:val="24"/>
          <w:lang w:eastAsia="es-ES"/>
        </w:rPr>
        <w:t>nistro</w:t>
      </w:r>
      <w:r w:rsidRPr="0013707D">
        <w:rPr>
          <w:rFonts w:ascii="Bookman Old Style" w:hAnsi="Bookman Old Style" w:cs="Arial"/>
          <w:color w:val="000000" w:themeColor="text1"/>
          <w:sz w:val="24"/>
          <w:szCs w:val="24"/>
          <w:lang w:eastAsia="es-ES"/>
        </w:rPr>
        <w:t xml:space="preserve"> negociada el día de gas </w:t>
      </w:r>
      <w:r w:rsidRPr="004661B3">
        <w:rPr>
          <w:rFonts w:ascii="Bookman Old Style" w:hAnsi="Bookman Old Style" w:cs="Arial"/>
          <w:color w:val="000000" w:themeColor="text1"/>
          <w:sz w:val="24"/>
          <w:szCs w:val="24"/>
          <w:lang w:eastAsia="es-ES"/>
        </w:rPr>
        <w:t>mediante el proceso úselo o véndalo de corto plazo de que trata el</w:t>
      </w:r>
      <w:r w:rsidR="00210424">
        <w:rPr>
          <w:rFonts w:ascii="Bookman Old Style" w:hAnsi="Bookman Old Style" w:cs="Arial"/>
          <w:color w:val="000000" w:themeColor="text1"/>
          <w:sz w:val="24"/>
          <w:szCs w:val="24"/>
          <w:lang w:eastAsia="es-ES"/>
        </w:rPr>
        <w:t xml:space="preserve"> artículo 36</w:t>
      </w:r>
      <w:r w:rsidR="00472EF2" w:rsidRPr="004661B3">
        <w:rPr>
          <w:rFonts w:ascii="Bookman Old Style" w:hAnsi="Bookman Old Style" w:cs="Arial"/>
          <w:color w:val="000000" w:themeColor="text1"/>
          <w:sz w:val="24"/>
          <w:szCs w:val="24"/>
          <w:lang w:eastAsia="es-ES"/>
        </w:rPr>
        <w:t xml:space="preserve"> </w:t>
      </w:r>
      <w:r w:rsidRPr="004661B3">
        <w:rPr>
          <w:rFonts w:ascii="Bookman Old Style" w:hAnsi="Bookman Old Style" w:cs="Arial"/>
          <w:color w:val="000000" w:themeColor="text1"/>
          <w:sz w:val="24"/>
          <w:szCs w:val="24"/>
          <w:lang w:eastAsia="es-ES"/>
        </w:rPr>
        <w:t>de esta Resolución.</w:t>
      </w:r>
    </w:p>
    <w:p w14:paraId="76FE1EC6" w14:textId="77777777" w:rsidR="0006302B" w:rsidRPr="004661B3"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0DEF79EF" w14:textId="493324C6" w:rsidR="0006302B" w:rsidRPr="001602FF" w:rsidRDefault="0006302B"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r w:rsidRPr="004661B3">
        <w:rPr>
          <w:rFonts w:ascii="Bookman Old Style" w:hAnsi="Bookman Old Style" w:cs="Arial"/>
          <w:color w:val="000000" w:themeColor="text1"/>
          <w:sz w:val="24"/>
          <w:szCs w:val="24"/>
          <w:lang w:eastAsia="es-ES"/>
        </w:rPr>
        <w:t xml:space="preserve">El precio promedio, ponderado por cantidades, acordado en los contratos de </w:t>
      </w:r>
      <w:r w:rsidR="00875906" w:rsidRPr="00191320">
        <w:rPr>
          <w:rFonts w:ascii="Bookman Old Style" w:hAnsi="Bookman Old Style" w:cs="Arial"/>
          <w:b/>
          <w:bCs/>
          <w:color w:val="000000" w:themeColor="text1"/>
          <w:sz w:val="24"/>
          <w:szCs w:val="24"/>
          <w:lang w:eastAsia="es-ES"/>
        </w:rPr>
        <w:t>derechos de</w:t>
      </w:r>
      <w:r w:rsidR="00875906">
        <w:rPr>
          <w:rFonts w:ascii="Bookman Old Style" w:hAnsi="Bookman Old Style" w:cs="Arial"/>
          <w:color w:val="000000" w:themeColor="text1"/>
          <w:sz w:val="24"/>
          <w:szCs w:val="24"/>
          <w:lang w:eastAsia="es-ES"/>
        </w:rPr>
        <w:t xml:space="preserve"> </w:t>
      </w:r>
      <w:r w:rsidRPr="004661B3">
        <w:rPr>
          <w:rFonts w:ascii="Bookman Old Style" w:hAnsi="Bookman Old Style" w:cs="Arial"/>
          <w:color w:val="000000" w:themeColor="text1"/>
          <w:sz w:val="24"/>
          <w:szCs w:val="24"/>
          <w:lang w:eastAsia="es-ES"/>
        </w:rPr>
        <w:t xml:space="preserve">suministro de </w:t>
      </w:r>
      <w:r w:rsidRPr="001602FF">
        <w:rPr>
          <w:rFonts w:ascii="Bookman Old Style" w:hAnsi="Bookman Old Style" w:cs="Arial"/>
          <w:color w:val="000000" w:themeColor="text1"/>
          <w:sz w:val="24"/>
          <w:szCs w:val="24"/>
          <w:lang w:eastAsia="es-ES"/>
        </w:rPr>
        <w:t>gas natural para el día de gas mediante el proceso</w:t>
      </w:r>
      <w:r>
        <w:rPr>
          <w:rFonts w:ascii="Bookman Old Style" w:hAnsi="Bookman Old Style" w:cs="Arial"/>
          <w:color w:val="000000" w:themeColor="text1"/>
          <w:sz w:val="24"/>
          <w:szCs w:val="24"/>
          <w:lang w:eastAsia="es-ES"/>
        </w:rPr>
        <w:t xml:space="preserve"> </w:t>
      </w:r>
      <w:r>
        <w:rPr>
          <w:rFonts w:ascii="Bookman Old Style" w:hAnsi="Bookman Old Style" w:cs="Arial"/>
          <w:b/>
          <w:bCs/>
          <w:color w:val="000000" w:themeColor="text1"/>
          <w:sz w:val="24"/>
          <w:szCs w:val="24"/>
          <w:lang w:eastAsia="es-ES"/>
        </w:rPr>
        <w:t xml:space="preserve">de úselo o véndalo de corto plazo </w:t>
      </w:r>
      <w:r w:rsidRPr="001602FF">
        <w:rPr>
          <w:rFonts w:ascii="Bookman Old Style" w:hAnsi="Bookman Old Style" w:cs="Arial"/>
          <w:color w:val="000000" w:themeColor="text1"/>
          <w:sz w:val="24"/>
          <w:szCs w:val="24"/>
          <w:lang w:eastAsia="es-ES"/>
        </w:rPr>
        <w:t xml:space="preserve">de que trata el </w:t>
      </w:r>
      <w:r w:rsidR="00404CA9">
        <w:rPr>
          <w:rFonts w:ascii="Bookman Old Style" w:hAnsi="Bookman Old Style" w:cs="Arial"/>
          <w:color w:val="000000" w:themeColor="text1"/>
          <w:sz w:val="24"/>
          <w:szCs w:val="24"/>
          <w:lang w:eastAsia="es-ES"/>
        </w:rPr>
        <w:t>a</w:t>
      </w:r>
      <w:r w:rsidRPr="00D66B65">
        <w:rPr>
          <w:rFonts w:ascii="Bookman Old Style" w:hAnsi="Bookman Old Style" w:cs="Arial"/>
          <w:color w:val="000000" w:themeColor="text1"/>
          <w:sz w:val="24"/>
          <w:szCs w:val="24"/>
          <w:lang w:eastAsia="es-ES"/>
        </w:rPr>
        <w:t xml:space="preserve">rtículo </w:t>
      </w:r>
      <w:r w:rsidR="00472EF2">
        <w:rPr>
          <w:rFonts w:ascii="Bookman Old Style" w:hAnsi="Bookman Old Style" w:cs="Arial"/>
          <w:color w:val="000000" w:themeColor="text1"/>
          <w:sz w:val="24"/>
          <w:szCs w:val="24"/>
          <w:lang w:eastAsia="es-ES"/>
        </w:rPr>
        <w:t>36</w:t>
      </w:r>
      <w:r w:rsidR="00472EF2" w:rsidRPr="00D66B65">
        <w:rPr>
          <w:rFonts w:ascii="Bookman Old Style" w:hAnsi="Bookman Old Style" w:cs="Arial"/>
          <w:color w:val="000000" w:themeColor="text1"/>
          <w:sz w:val="24"/>
          <w:szCs w:val="24"/>
          <w:lang w:eastAsia="es-ES"/>
        </w:rPr>
        <w:t xml:space="preserve"> </w:t>
      </w:r>
      <w:r w:rsidRPr="00D66B65">
        <w:rPr>
          <w:rFonts w:ascii="Bookman Old Style" w:hAnsi="Bookman Old Style" w:cs="Arial"/>
          <w:color w:val="000000" w:themeColor="text1"/>
          <w:sz w:val="24"/>
          <w:szCs w:val="24"/>
          <w:lang w:eastAsia="es-ES"/>
        </w:rPr>
        <w:t>de</w:t>
      </w:r>
      <w:r w:rsidRPr="001602FF">
        <w:rPr>
          <w:rFonts w:ascii="Bookman Old Style" w:hAnsi="Bookman Old Style" w:cs="Arial"/>
          <w:color w:val="000000" w:themeColor="text1"/>
          <w:sz w:val="24"/>
          <w:szCs w:val="24"/>
          <w:lang w:eastAsia="es-ES"/>
        </w:rPr>
        <w:t xml:space="preserve"> esta Resolución, para cada</w:t>
      </w:r>
      <w:r w:rsidR="000A5142">
        <w:rPr>
          <w:rFonts w:ascii="Bookman Old Style" w:hAnsi="Bookman Old Style" w:cs="Arial"/>
          <w:color w:val="000000" w:themeColor="text1"/>
          <w:sz w:val="24"/>
          <w:szCs w:val="24"/>
          <w:lang w:eastAsia="es-ES"/>
        </w:rPr>
        <w:t xml:space="preserve"> Punto de Entrega</w:t>
      </w:r>
      <w:r w:rsidRPr="001602FF">
        <w:rPr>
          <w:rFonts w:ascii="Bookman Old Style" w:hAnsi="Bookman Old Style" w:cs="Arial"/>
          <w:color w:val="000000" w:themeColor="text1"/>
          <w:sz w:val="24"/>
          <w:szCs w:val="24"/>
          <w:lang w:eastAsia="es-ES"/>
        </w:rPr>
        <w:t>.</w:t>
      </w:r>
    </w:p>
    <w:p w14:paraId="37257DCC" w14:textId="77777777" w:rsidR="0006302B" w:rsidRPr="001602FF" w:rsidRDefault="0006302B" w:rsidP="0006302B">
      <w:pPr>
        <w:pStyle w:val="Prrafodelista"/>
        <w:ind w:left="1701"/>
        <w:contextualSpacing/>
        <w:jc w:val="both"/>
        <w:rPr>
          <w:rFonts w:ascii="Bookman Old Style" w:hAnsi="Bookman Old Style" w:cs="Arial"/>
          <w:color w:val="000000" w:themeColor="text1"/>
          <w:sz w:val="24"/>
          <w:szCs w:val="24"/>
          <w:lang w:eastAsia="es-ES"/>
        </w:rPr>
      </w:pPr>
    </w:p>
    <w:p w14:paraId="3457C8E3" w14:textId="62AB0E7E" w:rsidR="0006302B" w:rsidRPr="0013707D" w:rsidRDefault="0006302B" w:rsidP="00A4790E">
      <w:pPr>
        <w:pStyle w:val="Prrafodelista"/>
        <w:numPr>
          <w:ilvl w:val="0"/>
          <w:numId w:val="27"/>
        </w:numPr>
        <w:ind w:left="1701" w:hanging="567"/>
        <w:contextualSpacing/>
        <w:jc w:val="both"/>
        <w:rPr>
          <w:rFonts w:ascii="Bookman Old Style" w:hAnsi="Bookman Old Style" w:cs="Arial"/>
          <w:color w:val="000000" w:themeColor="text1"/>
          <w:sz w:val="24"/>
          <w:szCs w:val="24"/>
          <w:lang w:eastAsia="es-ES"/>
        </w:rPr>
      </w:pPr>
      <w:bookmarkStart w:id="122" w:name="_Ref357006712"/>
      <w:r w:rsidRPr="001602FF">
        <w:rPr>
          <w:rFonts w:ascii="Bookman Old Style" w:hAnsi="Bookman Old Style" w:cs="Arial"/>
          <w:color w:val="000000" w:themeColor="text1"/>
          <w:sz w:val="24"/>
          <w:szCs w:val="24"/>
          <w:lang w:eastAsia="es-ES"/>
        </w:rPr>
        <w:t>El precio promedio nacional de la energía</w:t>
      </w:r>
      <w:r w:rsidR="00875906">
        <w:rPr>
          <w:rFonts w:ascii="Bookman Old Style" w:hAnsi="Bookman Old Style" w:cs="Arial"/>
          <w:color w:val="000000" w:themeColor="text1"/>
          <w:sz w:val="24"/>
          <w:szCs w:val="24"/>
          <w:lang w:eastAsia="es-ES"/>
        </w:rPr>
        <w:t xml:space="preserve"> </w:t>
      </w:r>
      <w:r w:rsidR="00875906" w:rsidRPr="001F6752">
        <w:rPr>
          <w:rFonts w:ascii="Bookman Old Style" w:hAnsi="Bookman Old Style" w:cs="Arial"/>
          <w:b/>
          <w:bCs/>
          <w:color w:val="000000" w:themeColor="text1"/>
          <w:sz w:val="24"/>
          <w:szCs w:val="24"/>
          <w:lang w:eastAsia="es-ES"/>
        </w:rPr>
        <w:t>correspondiente a derechos de sum</w:t>
      </w:r>
      <w:r w:rsidR="00875906">
        <w:rPr>
          <w:rFonts w:ascii="Bookman Old Style" w:hAnsi="Bookman Old Style" w:cs="Arial"/>
          <w:b/>
          <w:bCs/>
          <w:color w:val="000000" w:themeColor="text1"/>
          <w:sz w:val="24"/>
          <w:szCs w:val="24"/>
          <w:lang w:eastAsia="es-ES"/>
        </w:rPr>
        <w:t>i</w:t>
      </w:r>
      <w:r w:rsidR="00875906" w:rsidRPr="001F6752">
        <w:rPr>
          <w:rFonts w:ascii="Bookman Old Style" w:hAnsi="Bookman Old Style" w:cs="Arial"/>
          <w:b/>
          <w:bCs/>
          <w:color w:val="000000" w:themeColor="text1"/>
          <w:sz w:val="24"/>
          <w:szCs w:val="24"/>
          <w:lang w:eastAsia="es-ES"/>
        </w:rPr>
        <w:t>nistro</w:t>
      </w:r>
      <w:r w:rsidRPr="001602FF">
        <w:rPr>
          <w:rFonts w:ascii="Bookman Old Style" w:hAnsi="Bookman Old Style" w:cs="Arial"/>
          <w:color w:val="000000" w:themeColor="text1"/>
          <w:sz w:val="24"/>
          <w:szCs w:val="24"/>
          <w:lang w:eastAsia="es-ES"/>
        </w:rPr>
        <w:t xml:space="preserve"> negociada mediante el proceso </w:t>
      </w:r>
      <w:r>
        <w:rPr>
          <w:rFonts w:ascii="Bookman Old Style" w:hAnsi="Bookman Old Style" w:cs="Arial"/>
          <w:b/>
          <w:bCs/>
          <w:color w:val="000000" w:themeColor="text1"/>
          <w:sz w:val="24"/>
          <w:szCs w:val="24"/>
          <w:lang w:eastAsia="es-ES"/>
        </w:rPr>
        <w:t xml:space="preserve">de úselo o véndalo de corto plazo </w:t>
      </w:r>
      <w:r w:rsidRPr="001602FF">
        <w:rPr>
          <w:rFonts w:ascii="Bookman Old Style" w:hAnsi="Bookman Old Style" w:cs="Arial"/>
          <w:color w:val="000000" w:themeColor="text1"/>
          <w:sz w:val="24"/>
          <w:szCs w:val="24"/>
          <w:lang w:eastAsia="es-ES"/>
        </w:rPr>
        <w:t xml:space="preserve">de que trata el </w:t>
      </w:r>
      <w:r w:rsidR="00404CA9">
        <w:rPr>
          <w:rFonts w:ascii="Bookman Old Style" w:hAnsi="Bookman Old Style" w:cs="Arial"/>
          <w:color w:val="000000" w:themeColor="text1"/>
          <w:sz w:val="24"/>
          <w:szCs w:val="24"/>
          <w:lang w:eastAsia="es-ES"/>
        </w:rPr>
        <w:t>a</w:t>
      </w:r>
      <w:r w:rsidRPr="00D66B65">
        <w:rPr>
          <w:rFonts w:ascii="Bookman Old Style" w:hAnsi="Bookman Old Style" w:cs="Arial"/>
          <w:color w:val="000000" w:themeColor="text1"/>
          <w:sz w:val="24"/>
          <w:szCs w:val="24"/>
          <w:lang w:eastAsia="es-ES"/>
        </w:rPr>
        <w:t xml:space="preserve">rtículo </w:t>
      </w:r>
      <w:r w:rsidR="00472EF2">
        <w:rPr>
          <w:rFonts w:ascii="Bookman Old Style" w:hAnsi="Bookman Old Style" w:cs="Arial"/>
          <w:color w:val="000000" w:themeColor="text1"/>
          <w:sz w:val="24"/>
          <w:szCs w:val="24"/>
          <w:lang w:eastAsia="es-ES"/>
        </w:rPr>
        <w:t>36</w:t>
      </w:r>
      <w:r w:rsidR="00472EF2" w:rsidRPr="00D66B65">
        <w:rPr>
          <w:rFonts w:ascii="Bookman Old Style" w:hAnsi="Bookman Old Style" w:cs="Arial"/>
          <w:color w:val="000000" w:themeColor="text1"/>
          <w:sz w:val="24"/>
          <w:szCs w:val="24"/>
          <w:lang w:eastAsia="es-ES"/>
        </w:rPr>
        <w:t xml:space="preserve"> </w:t>
      </w:r>
      <w:r w:rsidRPr="00D66B65">
        <w:rPr>
          <w:rFonts w:ascii="Bookman Old Style" w:hAnsi="Bookman Old Style" w:cs="Arial"/>
          <w:color w:val="000000" w:themeColor="text1"/>
          <w:sz w:val="24"/>
          <w:szCs w:val="24"/>
          <w:lang w:eastAsia="es-ES"/>
        </w:rPr>
        <w:t>de</w:t>
      </w:r>
      <w:r w:rsidRPr="001602FF">
        <w:rPr>
          <w:rFonts w:ascii="Bookman Old Style" w:hAnsi="Bookman Old Style" w:cs="Arial"/>
          <w:color w:val="000000" w:themeColor="text1"/>
          <w:sz w:val="24"/>
          <w:szCs w:val="24"/>
          <w:lang w:eastAsia="es-ES"/>
        </w:rPr>
        <w:t xml:space="preserve"> esta</w:t>
      </w:r>
      <w:r w:rsidRPr="00D61548">
        <w:rPr>
          <w:rFonts w:ascii="Bookman Old Style" w:hAnsi="Bookman Old Style" w:cs="Arial"/>
          <w:color w:val="000000" w:themeColor="text1"/>
          <w:sz w:val="24"/>
          <w:szCs w:val="24"/>
          <w:lang w:eastAsia="es-ES"/>
        </w:rPr>
        <w:t xml:space="preserve"> Resolución para el día de gas calculado como el promedio</w:t>
      </w:r>
      <w:r w:rsidRPr="0013707D">
        <w:rPr>
          <w:rFonts w:ascii="Bookman Old Style" w:hAnsi="Bookman Old Style" w:cs="Arial"/>
          <w:color w:val="000000" w:themeColor="text1"/>
          <w:sz w:val="24"/>
          <w:szCs w:val="24"/>
          <w:lang w:eastAsia="es-ES"/>
        </w:rPr>
        <w:t>, ponderado por cantidades, de los precios a que se refiere el numeral anterior.</w:t>
      </w:r>
      <w:bookmarkEnd w:id="122"/>
      <w:r w:rsidRPr="0013707D">
        <w:rPr>
          <w:rFonts w:ascii="Bookman Old Style" w:hAnsi="Bookman Old Style" w:cs="Arial"/>
          <w:color w:val="000000" w:themeColor="text1"/>
          <w:sz w:val="24"/>
          <w:szCs w:val="24"/>
          <w:lang w:eastAsia="es-ES"/>
        </w:rPr>
        <w:t xml:space="preserve"> </w:t>
      </w:r>
    </w:p>
    <w:p w14:paraId="26C274C6" w14:textId="77777777" w:rsidR="0006302B" w:rsidRPr="0013707D" w:rsidRDefault="0006302B" w:rsidP="0006302B">
      <w:pPr>
        <w:ind w:left="1134"/>
        <w:jc w:val="both"/>
        <w:rPr>
          <w:rFonts w:ascii="Bookman Old Style" w:hAnsi="Bookman Old Style"/>
          <w:bCs/>
          <w:color w:val="000000" w:themeColor="text1"/>
          <w:lang w:val="es-CO" w:eastAsia="x-none"/>
        </w:rPr>
      </w:pPr>
    </w:p>
    <w:p w14:paraId="0D068E46" w14:textId="324393A9"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no identificará las negociaciones individuales en la información publicada.</w:t>
      </w:r>
    </w:p>
    <w:p w14:paraId="4F8CCBB3"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676F7BAD" w14:textId="2AD5AC5B"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Para la publicación de esta información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no estará obligado a verificarla previamente.</w:t>
      </w:r>
    </w:p>
    <w:p w14:paraId="3AE87A08" w14:textId="77777777" w:rsidR="0006302B" w:rsidRPr="0013707D" w:rsidRDefault="0006302B" w:rsidP="0006302B">
      <w:pPr>
        <w:ind w:left="1134"/>
        <w:jc w:val="both"/>
        <w:rPr>
          <w:rFonts w:ascii="Bookman Old Style" w:hAnsi="Bookman Old Style"/>
          <w:bCs/>
          <w:color w:val="000000" w:themeColor="text1"/>
          <w:lang w:val="es-CO" w:eastAsia="x-none"/>
        </w:rPr>
      </w:pPr>
    </w:p>
    <w:p w14:paraId="039E6B1D" w14:textId="2F182A5A" w:rsidR="0006302B" w:rsidRPr="0013707D" w:rsidRDefault="0006302B" w:rsidP="00A4790E">
      <w:pPr>
        <w:numPr>
          <w:ilvl w:val="0"/>
          <w:numId w:val="41"/>
        </w:numPr>
        <w:autoSpaceDE w:val="0"/>
        <w:autoSpaceDN w:val="0"/>
        <w:adjustRightInd w:val="0"/>
        <w:ind w:left="1134" w:hanging="567"/>
        <w:jc w:val="both"/>
        <w:rPr>
          <w:rFonts w:ascii="Bookman Old Style" w:hAnsi="Bookman Old Style" w:cs="Arial"/>
          <w:color w:val="000000" w:themeColor="text1"/>
          <w:lang w:val="es-CO"/>
        </w:rPr>
      </w:pPr>
      <w:bookmarkStart w:id="123" w:name="_Ref337711370"/>
      <w:r w:rsidRPr="0013707D">
        <w:rPr>
          <w:rFonts w:ascii="Bookman Old Style" w:hAnsi="Bookman Old Style" w:cs="Arial"/>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 xml:space="preserve"> verificará la consistencia de la información transaccional declarada por los compradores y los vendedores del mercado secundario. En particular, verificará que</w:t>
      </w:r>
      <w:r w:rsidR="00B459B3">
        <w:rPr>
          <w:rFonts w:ascii="Bookman Old Style" w:hAnsi="Bookman Old Style" w:cs="Arial"/>
          <w:color w:val="000000" w:themeColor="text1"/>
          <w:lang w:val="es-CO"/>
        </w:rPr>
        <w:t xml:space="preserve"> la información </w:t>
      </w:r>
      <w:r w:rsidR="00B459B3" w:rsidRPr="00B459B3">
        <w:rPr>
          <w:rFonts w:ascii="Bookman Old Style" w:hAnsi="Bookman Old Style" w:cs="Arial"/>
          <w:color w:val="000000" w:themeColor="text1"/>
          <w:lang w:val="es-CO"/>
        </w:rPr>
        <w:t>declarada por cada vendedor, en atención a lo dispuesto en el literal a) del numeral 2.1 de este Anexo, coincida con la declarada por cada comprador en atención a lo dispuesto en el literal a) del numeral 2.1 de este Anexo.</w:t>
      </w:r>
      <w:bookmarkEnd w:id="123"/>
    </w:p>
    <w:p w14:paraId="6F7FE1B8" w14:textId="77777777" w:rsidR="0006302B" w:rsidRPr="0013707D" w:rsidRDefault="0006302B" w:rsidP="0006302B">
      <w:pPr>
        <w:pStyle w:val="Prrafodelista"/>
        <w:ind w:left="1560"/>
        <w:contextualSpacing/>
        <w:jc w:val="both"/>
        <w:rPr>
          <w:rFonts w:ascii="Bookman Old Style" w:hAnsi="Bookman Old Style" w:cs="Arial"/>
          <w:color w:val="000000" w:themeColor="text1"/>
          <w:sz w:val="24"/>
          <w:szCs w:val="24"/>
          <w:lang w:eastAsia="es-ES"/>
        </w:rPr>
      </w:pPr>
    </w:p>
    <w:p w14:paraId="31CF1142" w14:textId="4E3E5CA2" w:rsidR="0006302B" w:rsidRPr="001602FF"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s="Arial"/>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 xml:space="preserve"> registrará cada contrato del mercado secundario una vez haya verificado que la información declarada por el comprador es consistente con la información declarada por el vendedor, según lo señalado en este </w:t>
      </w:r>
      <w:r w:rsidRPr="001602FF">
        <w:rPr>
          <w:rFonts w:ascii="Bookman Old Style" w:hAnsi="Bookman Old Style" w:cs="Arial"/>
          <w:color w:val="000000" w:themeColor="text1"/>
          <w:lang w:val="es-CO"/>
        </w:rPr>
        <w:t xml:space="preserve">literal </w:t>
      </w:r>
      <w:r w:rsidRPr="001602FF">
        <w:rPr>
          <w:rFonts w:ascii="Bookman Old Style" w:hAnsi="Bookman Old Style"/>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1602FF">
        <w:rPr>
          <w:rFonts w:ascii="Bookman Old Style" w:hAnsi="Bookman Old Style"/>
          <w:color w:val="000000" w:themeColor="text1"/>
          <w:lang w:val="es-CO"/>
        </w:rPr>
        <w:t>del Mercado asignará un número de registro a cada contrato registrado.</w:t>
      </w:r>
    </w:p>
    <w:p w14:paraId="6FD5E32C" w14:textId="77777777" w:rsidR="0006302B" w:rsidRPr="001602FF" w:rsidRDefault="0006302B" w:rsidP="0006302B">
      <w:pPr>
        <w:autoSpaceDE w:val="0"/>
        <w:autoSpaceDN w:val="0"/>
        <w:adjustRightInd w:val="0"/>
        <w:ind w:left="1134"/>
        <w:jc w:val="both"/>
        <w:rPr>
          <w:rFonts w:ascii="Bookman Old Style" w:hAnsi="Bookman Old Style"/>
          <w:color w:val="000000" w:themeColor="text1"/>
          <w:lang w:val="es-CO"/>
        </w:rPr>
      </w:pPr>
    </w:p>
    <w:p w14:paraId="7B78F2C9" w14:textId="0E3B04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602FF">
        <w:rPr>
          <w:rFonts w:ascii="Bookman Old Style" w:hAnsi="Bookman Old Style"/>
          <w:color w:val="000000" w:themeColor="text1"/>
          <w:lang w:val="es-CO"/>
        </w:rPr>
        <w:t xml:space="preserve">Si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1602FF">
        <w:rPr>
          <w:rFonts w:ascii="Bookman Old Style" w:hAnsi="Bookman Old Style"/>
          <w:color w:val="000000" w:themeColor="text1"/>
          <w:lang w:val="es-CO"/>
        </w:rPr>
        <w:t xml:space="preserve">del Mercado encuentra discrepancias como resultado de las verificaciones de que trata el </w:t>
      </w:r>
      <w:r w:rsidRPr="00D66B65">
        <w:rPr>
          <w:rFonts w:ascii="Bookman Old Style" w:hAnsi="Bookman Old Style"/>
          <w:color w:val="000000" w:themeColor="text1"/>
          <w:lang w:val="es-CO"/>
        </w:rPr>
        <w:t>numeral i anterior</w:t>
      </w:r>
      <w:r w:rsidRPr="001602FF">
        <w:rPr>
          <w:rFonts w:ascii="Bookman Old Style" w:hAnsi="Bookman Old Style"/>
          <w:color w:val="000000" w:themeColor="text1"/>
          <w:lang w:val="es-CO"/>
        </w:rPr>
        <w:t xml:space="preserv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1602FF">
        <w:rPr>
          <w:rFonts w:ascii="Bookman Old Style" w:hAnsi="Bookman Old Style"/>
          <w:color w:val="000000" w:themeColor="text1"/>
          <w:lang w:val="es-CO"/>
        </w:rPr>
        <w:t>del Mercado deberá informárselo a las partes, durante el día calendario siguiente al día de gas, para que ellas rectifiquen las diferencias a más tardar el segundo día calendario siguiente al día</w:t>
      </w:r>
      <w:r w:rsidRPr="0013707D">
        <w:rPr>
          <w:rFonts w:ascii="Bookman Old Style" w:hAnsi="Bookman Old Style"/>
          <w:color w:val="000000" w:themeColor="text1"/>
          <w:lang w:val="es-CO"/>
        </w:rPr>
        <w:t xml:space="preserve"> de gas. Cuando no sea posible la rectificación dentro de este término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abstenerse de registrar el contrato. En este caso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informar esta situación a las partes involucradas y a los órganos responsables de la inspección, vigilancia y control.</w:t>
      </w:r>
    </w:p>
    <w:p w14:paraId="6A07071F"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2AA92514" w14:textId="36214FCA"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Si la rectificación conlleva a cambios en la información publicada por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éste deberá publicar la información ajustada durante el tercer día calendario siguiente al día de gas. </w:t>
      </w:r>
    </w:p>
    <w:p w14:paraId="36002A90" w14:textId="77777777"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p>
    <w:p w14:paraId="3F6D95ED" w14:textId="6A381657" w:rsidR="0006302B" w:rsidRDefault="0006302B" w:rsidP="0006302B">
      <w:pPr>
        <w:autoSpaceDE w:val="0"/>
        <w:autoSpaceDN w:val="0"/>
        <w:adjustRightInd w:val="0"/>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lastRenderedPageBreak/>
        <w:t xml:space="preserve">Para efectos de la verificación,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podrá contrastar la información declarada por los participantes del mercado con la contenida en los contratos de los que haya solicitado copia.</w:t>
      </w:r>
    </w:p>
    <w:p w14:paraId="25F502FB" w14:textId="38479874" w:rsidR="00715DFF" w:rsidRDefault="00715DFF" w:rsidP="0006302B">
      <w:pPr>
        <w:autoSpaceDE w:val="0"/>
        <w:autoSpaceDN w:val="0"/>
        <w:adjustRightInd w:val="0"/>
        <w:ind w:left="1134"/>
        <w:jc w:val="both"/>
        <w:rPr>
          <w:rFonts w:ascii="Bookman Old Style" w:hAnsi="Bookman Old Style"/>
          <w:color w:val="000000" w:themeColor="text1"/>
          <w:lang w:val="es-CO"/>
        </w:rPr>
      </w:pPr>
    </w:p>
    <w:p w14:paraId="5B4B4BB4" w14:textId="21C0B41C" w:rsidR="00715DFF" w:rsidRPr="00683682" w:rsidRDefault="00715DFF" w:rsidP="00715DFF">
      <w:pPr>
        <w:pStyle w:val="ARTICULOS"/>
        <w:numPr>
          <w:ilvl w:val="0"/>
          <w:numId w:val="0"/>
        </w:numPr>
        <w:tabs>
          <w:tab w:val="clear" w:pos="1559"/>
        </w:tabs>
        <w:ind w:left="567"/>
        <w:rPr>
          <w:b/>
          <w:bCs w:val="0"/>
          <w:lang w:val="es-CO"/>
        </w:rPr>
      </w:pPr>
      <w:r w:rsidRPr="00683682">
        <w:rPr>
          <w:b/>
          <w:bCs w:val="0"/>
          <w:color w:val="000000" w:themeColor="text1"/>
          <w:lang w:eastAsia="es-ES"/>
        </w:rPr>
        <w:t>En el caso de</w:t>
      </w:r>
      <w:r w:rsidRPr="00683682">
        <w:rPr>
          <w:b/>
          <w:bCs w:val="0"/>
          <w:color w:val="000000" w:themeColor="text1"/>
          <w:lang w:val="es-CO" w:eastAsia="es-ES"/>
        </w:rPr>
        <w:t xml:space="preserve"> la solicitud de</w:t>
      </w:r>
      <w:r w:rsidRPr="00683682">
        <w:rPr>
          <w:b/>
          <w:bCs w:val="0"/>
          <w:color w:val="000000" w:themeColor="text1"/>
          <w:lang w:eastAsia="es-ES"/>
        </w:rPr>
        <w:t xml:space="preserve">l registro de </w:t>
      </w:r>
      <w:r w:rsidRPr="00683682">
        <w:rPr>
          <w:b/>
          <w:bCs w:val="0"/>
          <w:color w:val="000000" w:themeColor="text1"/>
          <w:lang w:val="es-CO" w:eastAsia="es-ES"/>
        </w:rPr>
        <w:t>un</w:t>
      </w:r>
      <w:r w:rsidRPr="00683682">
        <w:rPr>
          <w:b/>
          <w:bCs w:val="0"/>
          <w:color w:val="000000" w:themeColor="text1"/>
          <w:lang w:eastAsia="es-ES"/>
        </w:rPr>
        <w:t xml:space="preserve"> contrato con interrupciones, </w:t>
      </w:r>
      <w:r w:rsidRPr="00683682">
        <w:rPr>
          <w:b/>
          <w:bCs w:val="0"/>
          <w:lang w:val="es-CO"/>
        </w:rPr>
        <w:t xml:space="preserve">el Gestor del Mercado deberá validar que se cumpla el tope establecido en el numeral </w:t>
      </w:r>
      <w:r w:rsidR="00DA2668" w:rsidRPr="00683682">
        <w:rPr>
          <w:b/>
          <w:bCs w:val="0"/>
          <w:lang w:val="es-CO"/>
        </w:rPr>
        <w:t>10</w:t>
      </w:r>
      <w:r w:rsidRPr="00683682">
        <w:rPr>
          <w:b/>
          <w:bCs w:val="0"/>
          <w:lang w:val="es-CO"/>
        </w:rPr>
        <w:t xml:space="preserve">. del </w:t>
      </w:r>
      <w:r w:rsidR="005D517B">
        <w:rPr>
          <w:b/>
          <w:bCs w:val="0"/>
          <w:lang w:val="es-CO"/>
        </w:rPr>
        <w:t>a</w:t>
      </w:r>
      <w:r w:rsidRPr="00683682">
        <w:rPr>
          <w:b/>
          <w:bCs w:val="0"/>
          <w:lang w:val="es-CO"/>
        </w:rPr>
        <w:t xml:space="preserve">rtículo </w:t>
      </w:r>
      <w:r w:rsidR="00472EF2">
        <w:rPr>
          <w:b/>
          <w:bCs w:val="0"/>
          <w:lang w:val="es-CO"/>
        </w:rPr>
        <w:t>37</w:t>
      </w:r>
      <w:r w:rsidR="00472EF2" w:rsidRPr="00683682">
        <w:rPr>
          <w:b/>
          <w:bCs w:val="0"/>
          <w:lang w:val="es-CO"/>
        </w:rPr>
        <w:t xml:space="preserve"> </w:t>
      </w:r>
      <w:r w:rsidRPr="00683682">
        <w:rPr>
          <w:b/>
          <w:bCs w:val="0"/>
          <w:lang w:val="es-CO"/>
        </w:rPr>
        <w:t>de la presente resolución</w:t>
      </w:r>
      <w:r w:rsidR="00DA2668" w:rsidRPr="00683682">
        <w:rPr>
          <w:b/>
          <w:bCs w:val="0"/>
          <w:lang w:val="es-CO"/>
        </w:rPr>
        <w:t xml:space="preserve">. </w:t>
      </w:r>
      <w:r w:rsidRPr="00683682">
        <w:rPr>
          <w:b/>
          <w:bCs w:val="0"/>
          <w:lang w:val="es-CO"/>
        </w:rPr>
        <w:t>En caso de que el Gestor del Mercado encuentre que no se cumple</w:t>
      </w:r>
      <w:r w:rsidR="00DA2668" w:rsidRPr="00683682">
        <w:rPr>
          <w:b/>
          <w:bCs w:val="0"/>
          <w:lang w:val="es-CO"/>
        </w:rPr>
        <w:t xml:space="preserve"> con el tope</w:t>
      </w:r>
      <w:r w:rsidRPr="00683682">
        <w:rPr>
          <w:b/>
          <w:bCs w:val="0"/>
          <w:lang w:val="es-CO"/>
        </w:rPr>
        <w:t xml:space="preserve">, este deberá informárselo al Vendedor del Mercado Secundario, dentro de las 24 horas siguientes a su recibo, para que rectifique. Cuando no sea posible la rectificación, el Gestor del Mercado deberá abstenerse de registrar el contrato, no podrá tenerlo en cuenta para efectos de publicación y deberá informar dicha situación a las partes involucradas y a los órganos responsables de la inspección, vigilancia y control.   </w:t>
      </w:r>
    </w:p>
    <w:p w14:paraId="2DB06419" w14:textId="72A41E37" w:rsidR="00715DFF" w:rsidRPr="00683682" w:rsidRDefault="00715DFF" w:rsidP="0006302B">
      <w:pPr>
        <w:autoSpaceDE w:val="0"/>
        <w:autoSpaceDN w:val="0"/>
        <w:adjustRightInd w:val="0"/>
        <w:ind w:left="1134"/>
        <w:jc w:val="both"/>
        <w:rPr>
          <w:rFonts w:ascii="Bookman Old Style" w:hAnsi="Bookman Old Style"/>
          <w:b/>
          <w:bCs/>
          <w:color w:val="000000" w:themeColor="text1"/>
          <w:lang w:val="es-CO"/>
        </w:rPr>
      </w:pPr>
    </w:p>
    <w:p w14:paraId="6A1D871A" w14:textId="77777777" w:rsidR="0006302B" w:rsidRPr="0013707D" w:rsidRDefault="0006302B" w:rsidP="0006302B">
      <w:pPr>
        <w:pStyle w:val="ARTICULOS"/>
        <w:numPr>
          <w:ilvl w:val="0"/>
          <w:numId w:val="0"/>
        </w:numPr>
        <w:ind w:left="1134"/>
        <w:rPr>
          <w:color w:val="000000" w:themeColor="text1"/>
          <w:lang w:val="es-CO"/>
        </w:rPr>
      </w:pPr>
    </w:p>
    <w:p w14:paraId="09D4E0C4" w14:textId="297D6A03" w:rsidR="0006302B" w:rsidRPr="000B70FC" w:rsidRDefault="0006302B" w:rsidP="00A4790E">
      <w:pPr>
        <w:pStyle w:val="ARTICULOS"/>
        <w:numPr>
          <w:ilvl w:val="1"/>
          <w:numId w:val="36"/>
        </w:numPr>
        <w:ind w:left="567" w:hanging="567"/>
        <w:rPr>
          <w:b/>
          <w:color w:val="000000" w:themeColor="text1"/>
          <w:lang w:val="es-CO"/>
        </w:rPr>
      </w:pPr>
      <w:bookmarkStart w:id="124" w:name="_Ref337211071"/>
      <w:r w:rsidRPr="000B70FC">
        <w:rPr>
          <w:b/>
          <w:color w:val="000000" w:themeColor="text1"/>
          <w:lang w:val="es-CO"/>
        </w:rPr>
        <w:t xml:space="preserve">Información de </w:t>
      </w:r>
      <w:r w:rsidRPr="004B0CC2">
        <w:rPr>
          <w:b/>
          <w:color w:val="000000" w:themeColor="text1"/>
          <w:lang w:val="es-CO"/>
        </w:rPr>
        <w:t xml:space="preserve">transacciones de los usuarios no regulados en el </w:t>
      </w:r>
      <w:r w:rsidR="005600A1">
        <w:rPr>
          <w:b/>
          <w:color w:val="000000" w:themeColor="text1"/>
          <w:lang w:val="es-CO"/>
        </w:rPr>
        <w:t>M</w:t>
      </w:r>
      <w:r w:rsidRPr="004B0CC2">
        <w:rPr>
          <w:b/>
          <w:color w:val="000000" w:themeColor="text1"/>
          <w:lang w:val="es-CO"/>
        </w:rPr>
        <w:t xml:space="preserve">ercado </w:t>
      </w:r>
      <w:r w:rsidR="005600A1">
        <w:rPr>
          <w:b/>
          <w:color w:val="000000" w:themeColor="text1"/>
          <w:lang w:val="es-CO"/>
        </w:rPr>
        <w:t>M</w:t>
      </w:r>
      <w:r w:rsidRPr="004B0CC2">
        <w:rPr>
          <w:b/>
          <w:color w:val="000000" w:themeColor="text1"/>
          <w:lang w:val="es-CO"/>
        </w:rPr>
        <w:t>inorista</w:t>
      </w:r>
      <w:r w:rsidRPr="000B70FC">
        <w:rPr>
          <w:b/>
          <w:color w:val="000000" w:themeColor="text1"/>
          <w:lang w:val="es-CO"/>
        </w:rPr>
        <w:t xml:space="preserve"> </w:t>
      </w:r>
      <w:bookmarkEnd w:id="124"/>
    </w:p>
    <w:p w14:paraId="46BF7D65" w14:textId="77777777" w:rsidR="0006302B" w:rsidRPr="000B70FC" w:rsidRDefault="0006302B" w:rsidP="0006302B">
      <w:pPr>
        <w:pStyle w:val="ARTICULOS"/>
        <w:numPr>
          <w:ilvl w:val="0"/>
          <w:numId w:val="0"/>
        </w:numPr>
        <w:rPr>
          <w:color w:val="000000" w:themeColor="text1"/>
          <w:lang w:val="es-CO"/>
        </w:rPr>
      </w:pPr>
    </w:p>
    <w:p w14:paraId="3B3A5C64" w14:textId="0755B7DC" w:rsidR="0006302B" w:rsidRPr="000B70FC" w:rsidRDefault="0006302B" w:rsidP="00A4790E">
      <w:pPr>
        <w:pStyle w:val="ARTICULOS"/>
        <w:numPr>
          <w:ilvl w:val="1"/>
          <w:numId w:val="30"/>
        </w:numPr>
        <w:ind w:left="567" w:hanging="567"/>
        <w:rPr>
          <w:color w:val="000000" w:themeColor="text1"/>
          <w:lang w:val="es-CO"/>
        </w:rPr>
      </w:pPr>
      <w:r w:rsidRPr="000B70FC">
        <w:rPr>
          <w:color w:val="000000" w:themeColor="text1"/>
          <w:lang w:val="es-CO"/>
        </w:rPr>
        <w:t xml:space="preserve">Recopilación de información sobre negociaciones </w:t>
      </w:r>
      <w:r w:rsidRPr="000B70FC">
        <w:rPr>
          <w:rFonts w:cs="Arial"/>
          <w:color w:val="000000" w:themeColor="text1"/>
          <w:lang w:val="es-CO"/>
        </w:rPr>
        <w:t xml:space="preserve">entre </w:t>
      </w:r>
      <w:r>
        <w:rPr>
          <w:rFonts w:cs="Arial"/>
          <w:color w:val="000000" w:themeColor="text1"/>
          <w:lang w:val="es-CO"/>
        </w:rPr>
        <w:t>C</w:t>
      </w:r>
      <w:r w:rsidRPr="000B70FC">
        <w:rPr>
          <w:rFonts w:cs="Arial"/>
          <w:color w:val="000000" w:themeColor="text1"/>
          <w:lang w:val="es-CO"/>
        </w:rPr>
        <w:t>omercializadores</w:t>
      </w:r>
      <w:r>
        <w:rPr>
          <w:rFonts w:cs="Arial"/>
          <w:color w:val="000000" w:themeColor="text1"/>
          <w:lang w:val="es-CO"/>
        </w:rPr>
        <w:t xml:space="preserve"> </w:t>
      </w:r>
      <w:r w:rsidRPr="000B70FC">
        <w:rPr>
          <w:rFonts w:cs="Arial"/>
          <w:color w:val="000000" w:themeColor="text1"/>
          <w:lang w:val="es-CO"/>
        </w:rPr>
        <w:t>y usuarios no regulados</w:t>
      </w:r>
    </w:p>
    <w:p w14:paraId="48F733DB" w14:textId="77777777" w:rsidR="0006302B" w:rsidRPr="000B70FC" w:rsidRDefault="0006302B" w:rsidP="0006302B">
      <w:pPr>
        <w:pStyle w:val="ARTICULOS"/>
        <w:numPr>
          <w:ilvl w:val="0"/>
          <w:numId w:val="0"/>
        </w:numPr>
        <w:rPr>
          <w:color w:val="000000" w:themeColor="text1"/>
          <w:lang w:val="es-CO"/>
        </w:rPr>
      </w:pPr>
    </w:p>
    <w:p w14:paraId="4E8D35FE" w14:textId="77777777" w:rsidR="0006302B" w:rsidRPr="000B70FC" w:rsidRDefault="0006302B" w:rsidP="00A4790E">
      <w:pPr>
        <w:keepNext/>
        <w:numPr>
          <w:ilvl w:val="0"/>
          <w:numId w:val="42"/>
        </w:numPr>
        <w:autoSpaceDE w:val="0"/>
        <w:autoSpaceDN w:val="0"/>
        <w:adjustRightInd w:val="0"/>
        <w:ind w:left="1134" w:hanging="567"/>
        <w:jc w:val="both"/>
        <w:rPr>
          <w:rFonts w:ascii="Bookman Old Style" w:hAnsi="Bookman Old Style" w:cs="Arial"/>
          <w:color w:val="000000" w:themeColor="text1"/>
          <w:lang w:val="es-CO"/>
        </w:rPr>
      </w:pPr>
      <w:r w:rsidRPr="000B70FC">
        <w:rPr>
          <w:rFonts w:ascii="Bookman Old Style" w:hAnsi="Bookman Old Style" w:cs="Arial"/>
          <w:color w:val="000000" w:themeColor="text1"/>
          <w:lang w:val="es-CO"/>
        </w:rPr>
        <w:t>Información a recopilar de los contratos</w:t>
      </w:r>
    </w:p>
    <w:p w14:paraId="1A5D3E86" w14:textId="77777777" w:rsidR="0006302B" w:rsidRPr="000B70FC" w:rsidRDefault="0006302B" w:rsidP="0006302B">
      <w:pPr>
        <w:keepNext/>
        <w:autoSpaceDE w:val="0"/>
        <w:autoSpaceDN w:val="0"/>
        <w:adjustRightInd w:val="0"/>
        <w:ind w:left="1134"/>
        <w:jc w:val="both"/>
        <w:rPr>
          <w:rFonts w:ascii="Bookman Old Style" w:hAnsi="Bookman Old Style"/>
          <w:color w:val="000000" w:themeColor="text1"/>
          <w:lang w:val="es-CO"/>
        </w:rPr>
      </w:pPr>
    </w:p>
    <w:p w14:paraId="063447B7" w14:textId="56ECD82C"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 xml:space="preserve">del Mercado llevará un registro de los contratos de prestación del servicio público domiciliario de gas </w:t>
      </w:r>
      <w:r>
        <w:rPr>
          <w:rFonts w:ascii="Bookman Old Style" w:hAnsi="Bookman Old Style"/>
          <w:b/>
          <w:bCs/>
          <w:color w:val="000000" w:themeColor="text1"/>
          <w:lang w:val="es-CO"/>
        </w:rPr>
        <w:t>combustible</w:t>
      </w:r>
      <w:r w:rsidRPr="000B70FC">
        <w:rPr>
          <w:rFonts w:ascii="Bookman Old Style" w:hAnsi="Bookman Old Style"/>
          <w:color w:val="000000" w:themeColor="text1"/>
          <w:lang w:val="es-CO"/>
        </w:rPr>
        <w:t xml:space="preserve"> a usuarios no regulados.</w:t>
      </w:r>
    </w:p>
    <w:p w14:paraId="1EAFF154" w14:textId="77777777"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p>
    <w:p w14:paraId="5EC9DFAE" w14:textId="1E9F7DDE"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Los comercializadores deberán registrar ante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 xml:space="preserve">del Mercado los contratos de prestación del servicio público domiciliario de gas </w:t>
      </w:r>
      <w:r>
        <w:rPr>
          <w:rFonts w:ascii="Bookman Old Style" w:hAnsi="Bookman Old Style"/>
          <w:b/>
          <w:bCs/>
          <w:color w:val="000000" w:themeColor="text1"/>
          <w:lang w:val="es-CO"/>
        </w:rPr>
        <w:t>combustible</w:t>
      </w:r>
      <w:r w:rsidRPr="000B70FC">
        <w:rPr>
          <w:rFonts w:ascii="Bookman Old Style" w:hAnsi="Bookman Old Style"/>
          <w:color w:val="000000" w:themeColor="text1"/>
          <w:lang w:val="es-CO"/>
        </w:rPr>
        <w:t xml:space="preserve"> a usuarios no regulados. Para estos efectos deberán declarar la siguiente información de cada uno de sus contratos:</w:t>
      </w:r>
    </w:p>
    <w:p w14:paraId="019710F3" w14:textId="77777777"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p>
    <w:p w14:paraId="1B71DB9F" w14:textId="77777777"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Número del contrato.</w:t>
      </w:r>
    </w:p>
    <w:p w14:paraId="7A033614"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683EA85E" w14:textId="77777777"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Fecha de suscripción del contrato.</w:t>
      </w:r>
    </w:p>
    <w:p w14:paraId="46CE1390" w14:textId="77777777" w:rsidR="0006302B" w:rsidRPr="000B70FC" w:rsidRDefault="0006302B" w:rsidP="0006302B">
      <w:pPr>
        <w:pStyle w:val="Prrafodelista"/>
        <w:ind w:left="1701" w:hanging="567"/>
        <w:rPr>
          <w:rFonts w:ascii="Bookman Old Style" w:hAnsi="Bookman Old Style" w:cs="Arial"/>
          <w:color w:val="000000" w:themeColor="text1"/>
          <w:sz w:val="24"/>
          <w:szCs w:val="24"/>
          <w:lang w:eastAsia="es-ES"/>
        </w:rPr>
      </w:pPr>
    </w:p>
    <w:p w14:paraId="6AD146FD" w14:textId="77777777"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Nombre de cada una de las partes.</w:t>
      </w:r>
    </w:p>
    <w:p w14:paraId="799D4347"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212B063D" w14:textId="1EDD26A8"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 xml:space="preserve">Tipo de demanda: comercial, industrial, gas para transportadores, petroquímica, refinería, gas natural </w:t>
      </w:r>
      <w:r>
        <w:rPr>
          <w:rFonts w:ascii="Bookman Old Style" w:hAnsi="Bookman Old Style" w:cs="Arial"/>
          <w:color w:val="000000" w:themeColor="text1"/>
          <w:sz w:val="24"/>
          <w:szCs w:val="24"/>
          <w:lang w:eastAsia="es-ES"/>
        </w:rPr>
        <w:t xml:space="preserve">comprimido </w:t>
      </w:r>
      <w:r w:rsidRPr="000B70FC">
        <w:rPr>
          <w:rFonts w:ascii="Bookman Old Style" w:hAnsi="Bookman Old Style" w:cs="Arial"/>
          <w:color w:val="000000" w:themeColor="text1"/>
          <w:sz w:val="24"/>
          <w:szCs w:val="24"/>
          <w:lang w:eastAsia="es-ES"/>
        </w:rPr>
        <w:t xml:space="preserve">vehicular, generación térmica u otros. Se deberá declarar el nombre del usuario, la cantidad contratada con el mismo y su ubicación, para lo cual se deberá especificar si se trata de un usuario conectado al SNT o a un sistema de distribución. Si el usuario </w:t>
      </w:r>
      <w:r>
        <w:rPr>
          <w:rFonts w:ascii="Bookman Old Style" w:hAnsi="Bookman Old Style" w:cs="Arial"/>
          <w:b/>
          <w:bCs/>
          <w:color w:val="000000" w:themeColor="text1"/>
          <w:sz w:val="24"/>
          <w:szCs w:val="24"/>
          <w:lang w:eastAsia="es-ES"/>
        </w:rPr>
        <w:t xml:space="preserve">no regulado </w:t>
      </w:r>
      <w:r w:rsidRPr="000B70FC">
        <w:rPr>
          <w:rFonts w:ascii="Bookman Old Style" w:hAnsi="Bookman Old Style" w:cs="Arial"/>
          <w:color w:val="000000" w:themeColor="text1"/>
          <w:sz w:val="24"/>
          <w:szCs w:val="24"/>
          <w:lang w:eastAsia="es-ES"/>
        </w:rPr>
        <w:t xml:space="preserve">está conectado al SNT, el </w:t>
      </w:r>
      <w:r>
        <w:rPr>
          <w:rFonts w:ascii="Bookman Old Style" w:hAnsi="Bookman Old Style" w:cs="Arial"/>
          <w:color w:val="000000" w:themeColor="text1"/>
          <w:sz w:val="24"/>
          <w:szCs w:val="24"/>
          <w:lang w:eastAsia="es-ES"/>
        </w:rPr>
        <w:t>C</w:t>
      </w:r>
      <w:r w:rsidRPr="000B70FC">
        <w:rPr>
          <w:rFonts w:ascii="Bookman Old Style" w:hAnsi="Bookman Old Style" w:cs="Arial"/>
          <w:color w:val="000000" w:themeColor="text1"/>
          <w:sz w:val="24"/>
          <w:szCs w:val="24"/>
          <w:lang w:eastAsia="es-ES"/>
        </w:rPr>
        <w:t xml:space="preserve">omercializador deberá declarar en cuál municipio y departamento se encuentra el punto de salida del usuario. Si el usuario está conectado a un sistema de distribución, el </w:t>
      </w:r>
      <w:r>
        <w:rPr>
          <w:rFonts w:ascii="Bookman Old Style" w:hAnsi="Bookman Old Style" w:cs="Arial"/>
          <w:color w:val="000000" w:themeColor="text1"/>
          <w:sz w:val="24"/>
          <w:szCs w:val="24"/>
          <w:lang w:eastAsia="es-ES"/>
        </w:rPr>
        <w:t>C</w:t>
      </w:r>
      <w:r w:rsidRPr="000B70FC">
        <w:rPr>
          <w:rFonts w:ascii="Bookman Old Style" w:hAnsi="Bookman Old Style" w:cs="Arial"/>
          <w:color w:val="000000" w:themeColor="text1"/>
          <w:sz w:val="24"/>
          <w:szCs w:val="24"/>
          <w:lang w:eastAsia="es-ES"/>
        </w:rPr>
        <w:t>omercializador</w:t>
      </w:r>
      <w:r w:rsidR="009F7684">
        <w:rPr>
          <w:rFonts w:ascii="Bookman Old Style" w:hAnsi="Bookman Old Style" w:cs="Arial"/>
          <w:color w:val="000000" w:themeColor="text1"/>
          <w:sz w:val="24"/>
          <w:szCs w:val="24"/>
          <w:lang w:eastAsia="es-ES"/>
        </w:rPr>
        <w:t xml:space="preserve"> </w:t>
      </w:r>
      <w:r w:rsidRPr="000B70FC">
        <w:rPr>
          <w:rFonts w:ascii="Bookman Old Style" w:hAnsi="Bookman Old Style" w:cs="Arial"/>
          <w:color w:val="000000" w:themeColor="text1"/>
          <w:sz w:val="24"/>
          <w:szCs w:val="24"/>
          <w:lang w:eastAsia="es-ES"/>
        </w:rPr>
        <w:t xml:space="preserve">deberá declarar el mercado relevante </w:t>
      </w:r>
      <w:r>
        <w:rPr>
          <w:rFonts w:ascii="Bookman Old Style" w:hAnsi="Bookman Old Style" w:cs="Arial"/>
          <w:b/>
          <w:bCs/>
          <w:color w:val="000000" w:themeColor="text1"/>
          <w:sz w:val="24"/>
          <w:szCs w:val="24"/>
          <w:lang w:eastAsia="es-ES"/>
        </w:rPr>
        <w:t xml:space="preserve">de </w:t>
      </w:r>
      <w:r w:rsidR="000174E4">
        <w:rPr>
          <w:rFonts w:ascii="Bookman Old Style" w:hAnsi="Bookman Old Style" w:cs="Arial"/>
          <w:b/>
          <w:bCs/>
          <w:color w:val="000000" w:themeColor="text1"/>
          <w:sz w:val="24"/>
          <w:szCs w:val="24"/>
          <w:lang w:eastAsia="es-ES"/>
        </w:rPr>
        <w:t>c</w:t>
      </w:r>
      <w:r>
        <w:rPr>
          <w:rFonts w:ascii="Bookman Old Style" w:hAnsi="Bookman Old Style" w:cs="Arial"/>
          <w:b/>
          <w:bCs/>
          <w:color w:val="000000" w:themeColor="text1"/>
          <w:sz w:val="24"/>
          <w:szCs w:val="24"/>
          <w:lang w:eastAsia="es-ES"/>
        </w:rPr>
        <w:t xml:space="preserve">omercialización </w:t>
      </w:r>
      <w:r w:rsidRPr="000B70FC">
        <w:rPr>
          <w:rFonts w:ascii="Bookman Old Style" w:hAnsi="Bookman Old Style" w:cs="Arial"/>
          <w:color w:val="000000" w:themeColor="text1"/>
          <w:sz w:val="24"/>
          <w:szCs w:val="24"/>
          <w:lang w:eastAsia="es-ES"/>
        </w:rPr>
        <w:t xml:space="preserve">al que pertenece </w:t>
      </w:r>
      <w:r>
        <w:rPr>
          <w:rFonts w:ascii="Bookman Old Style" w:hAnsi="Bookman Old Style" w:cs="Arial"/>
          <w:color w:val="000000" w:themeColor="text1"/>
          <w:sz w:val="24"/>
          <w:szCs w:val="24"/>
          <w:lang w:eastAsia="es-ES"/>
        </w:rPr>
        <w:t xml:space="preserve">y </w:t>
      </w:r>
      <w:r w:rsidRPr="000B70FC">
        <w:rPr>
          <w:rFonts w:ascii="Bookman Old Style" w:hAnsi="Bookman Old Style" w:cs="Arial"/>
          <w:color w:val="000000" w:themeColor="text1"/>
          <w:sz w:val="24"/>
          <w:szCs w:val="24"/>
          <w:lang w:eastAsia="es-ES"/>
        </w:rPr>
        <w:t xml:space="preserve">el sistema de </w:t>
      </w:r>
      <w:r w:rsidRPr="000B70FC">
        <w:rPr>
          <w:rFonts w:ascii="Bookman Old Style" w:hAnsi="Bookman Old Style" w:cs="Arial"/>
          <w:color w:val="000000" w:themeColor="text1"/>
          <w:sz w:val="24"/>
          <w:szCs w:val="24"/>
          <w:lang w:eastAsia="es-ES"/>
        </w:rPr>
        <w:lastRenderedPageBreak/>
        <w:t>distribución</w:t>
      </w:r>
      <w:r>
        <w:rPr>
          <w:rFonts w:ascii="Bookman Old Style" w:hAnsi="Bookman Old Style" w:cs="Arial"/>
          <w:color w:val="000000" w:themeColor="text1"/>
          <w:sz w:val="24"/>
          <w:szCs w:val="24"/>
          <w:lang w:eastAsia="es-ES"/>
        </w:rPr>
        <w:t xml:space="preserve"> </w:t>
      </w:r>
      <w:r>
        <w:rPr>
          <w:rFonts w:ascii="Bookman Old Style" w:hAnsi="Bookman Old Style" w:cs="Arial"/>
          <w:b/>
          <w:bCs/>
          <w:color w:val="000000" w:themeColor="text1"/>
          <w:sz w:val="24"/>
          <w:szCs w:val="24"/>
          <w:lang w:eastAsia="es-ES"/>
        </w:rPr>
        <w:t>al que está conectado</w:t>
      </w:r>
      <w:r w:rsidR="000174E4">
        <w:rPr>
          <w:rFonts w:ascii="Bookman Old Style" w:hAnsi="Bookman Old Style" w:cs="Arial"/>
          <w:b/>
          <w:bCs/>
          <w:color w:val="000000" w:themeColor="text1"/>
          <w:sz w:val="24"/>
          <w:szCs w:val="24"/>
          <w:lang w:eastAsia="es-ES"/>
        </w:rPr>
        <w:t xml:space="preserve"> o si no es atendido mediante red física de distribución</w:t>
      </w:r>
      <w:r w:rsidRPr="000B70FC">
        <w:rPr>
          <w:rFonts w:ascii="Bookman Old Style" w:hAnsi="Bookman Old Style" w:cs="Arial"/>
          <w:color w:val="000000" w:themeColor="text1"/>
          <w:sz w:val="24"/>
          <w:szCs w:val="24"/>
          <w:lang w:eastAsia="es-ES"/>
        </w:rPr>
        <w:t>.</w:t>
      </w:r>
    </w:p>
    <w:p w14:paraId="0A9B06FD"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7867CD8E" w14:textId="77777777"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Cantidad de energía contratada, expresada en MBTUD.</w:t>
      </w:r>
    </w:p>
    <w:p w14:paraId="4145C2E3" w14:textId="77777777" w:rsidR="0006302B" w:rsidRPr="000B70FC" w:rsidRDefault="0006302B" w:rsidP="0006302B">
      <w:pPr>
        <w:pStyle w:val="Prrafodelista"/>
        <w:ind w:left="1701" w:hanging="567"/>
        <w:rPr>
          <w:rFonts w:ascii="Bookman Old Style" w:hAnsi="Bookman Old Style" w:cs="Arial"/>
          <w:color w:val="000000" w:themeColor="text1"/>
          <w:sz w:val="24"/>
          <w:szCs w:val="24"/>
          <w:lang w:eastAsia="es-ES"/>
        </w:rPr>
      </w:pPr>
    </w:p>
    <w:p w14:paraId="2C525383" w14:textId="573E63C1" w:rsidR="0006302B" w:rsidRPr="00430C73" w:rsidRDefault="0006302B" w:rsidP="00A4790E">
      <w:pPr>
        <w:pStyle w:val="Prrafodelista"/>
        <w:numPr>
          <w:ilvl w:val="0"/>
          <w:numId w:val="29"/>
        </w:numPr>
        <w:ind w:left="1701" w:hanging="567"/>
        <w:contextualSpacing/>
        <w:jc w:val="both"/>
        <w:rPr>
          <w:rFonts w:ascii="Bookman Old Style" w:hAnsi="Bookman Old Style" w:cs="Arial"/>
          <w:b/>
          <w:bCs/>
          <w:color w:val="000000" w:themeColor="text1"/>
          <w:sz w:val="24"/>
          <w:szCs w:val="24"/>
          <w:lang w:eastAsia="es-ES"/>
        </w:rPr>
      </w:pPr>
      <w:r w:rsidRPr="000B70FC">
        <w:rPr>
          <w:rFonts w:ascii="Bookman Old Style" w:hAnsi="Bookman Old Style" w:cs="Arial"/>
          <w:color w:val="000000" w:themeColor="text1"/>
          <w:sz w:val="24"/>
          <w:szCs w:val="24"/>
          <w:lang w:eastAsia="es-ES"/>
        </w:rPr>
        <w:t>Precio de la energía a entregar en el domicilio del usuario</w:t>
      </w:r>
      <w:r>
        <w:rPr>
          <w:rFonts w:ascii="Bookman Old Style" w:hAnsi="Bookman Old Style" w:cs="Arial"/>
          <w:color w:val="000000" w:themeColor="text1"/>
          <w:sz w:val="24"/>
          <w:szCs w:val="24"/>
          <w:lang w:eastAsia="es-ES"/>
        </w:rPr>
        <w:t xml:space="preserve"> </w:t>
      </w:r>
      <w:r>
        <w:rPr>
          <w:rFonts w:ascii="Bookman Old Style" w:hAnsi="Bookman Old Style" w:cs="Arial"/>
          <w:b/>
          <w:bCs/>
          <w:color w:val="000000" w:themeColor="text1"/>
          <w:sz w:val="24"/>
          <w:szCs w:val="24"/>
          <w:lang w:eastAsia="es-ES"/>
        </w:rPr>
        <w:t>no regulado</w:t>
      </w:r>
      <w:r w:rsidRPr="000B70FC">
        <w:rPr>
          <w:rFonts w:ascii="Bookman Old Style" w:hAnsi="Bookman Old Style" w:cs="Arial"/>
          <w:color w:val="000000" w:themeColor="text1"/>
          <w:sz w:val="24"/>
          <w:szCs w:val="24"/>
          <w:lang w:eastAsia="es-ES"/>
        </w:rPr>
        <w:t>, expresado en dólares de los Estados Unidos de América por MBTU, a la fecha de suscripción del contrato.</w:t>
      </w:r>
      <w:r w:rsidR="00430C73">
        <w:rPr>
          <w:rFonts w:ascii="Bookman Old Style" w:hAnsi="Bookman Old Style" w:cs="Arial"/>
          <w:color w:val="000000" w:themeColor="text1"/>
          <w:sz w:val="24"/>
          <w:szCs w:val="24"/>
          <w:lang w:eastAsia="es-ES"/>
        </w:rPr>
        <w:t xml:space="preserve"> </w:t>
      </w:r>
      <w:r w:rsidR="00430C73" w:rsidRPr="00430C73">
        <w:rPr>
          <w:rFonts w:ascii="Bookman Old Style" w:hAnsi="Bookman Old Style" w:cs="Arial"/>
          <w:b/>
          <w:bCs/>
          <w:color w:val="000000" w:themeColor="text1"/>
          <w:sz w:val="24"/>
          <w:szCs w:val="24"/>
          <w:lang w:eastAsia="es-ES"/>
        </w:rPr>
        <w:t>Para lo anterior, se deberá desagregar el precio del suminis</w:t>
      </w:r>
      <w:r w:rsidR="00430C73">
        <w:rPr>
          <w:rFonts w:ascii="Bookman Old Style" w:hAnsi="Bookman Old Style" w:cs="Arial"/>
          <w:b/>
          <w:bCs/>
          <w:color w:val="000000" w:themeColor="text1"/>
          <w:sz w:val="24"/>
          <w:szCs w:val="24"/>
          <w:lang w:eastAsia="es-ES"/>
        </w:rPr>
        <w:t>t</w:t>
      </w:r>
      <w:r w:rsidR="00430C73" w:rsidRPr="00430C73">
        <w:rPr>
          <w:rFonts w:ascii="Bookman Old Style" w:hAnsi="Bookman Old Style" w:cs="Arial"/>
          <w:b/>
          <w:bCs/>
          <w:color w:val="000000" w:themeColor="text1"/>
          <w:sz w:val="24"/>
          <w:szCs w:val="24"/>
          <w:lang w:eastAsia="es-ES"/>
        </w:rPr>
        <w:t xml:space="preserve">ro del </w:t>
      </w:r>
      <w:r w:rsidR="00430C73">
        <w:rPr>
          <w:rFonts w:ascii="Bookman Old Style" w:hAnsi="Bookman Old Style" w:cs="Arial"/>
          <w:b/>
          <w:bCs/>
          <w:color w:val="000000" w:themeColor="text1"/>
          <w:sz w:val="24"/>
          <w:szCs w:val="24"/>
          <w:lang w:eastAsia="es-ES"/>
        </w:rPr>
        <w:t>cost</w:t>
      </w:r>
      <w:r w:rsidR="00430C73" w:rsidRPr="00430C73">
        <w:rPr>
          <w:rFonts w:ascii="Bookman Old Style" w:hAnsi="Bookman Old Style" w:cs="Arial"/>
          <w:b/>
          <w:bCs/>
          <w:color w:val="000000" w:themeColor="text1"/>
          <w:sz w:val="24"/>
          <w:szCs w:val="24"/>
          <w:lang w:eastAsia="es-ES"/>
        </w:rPr>
        <w:t>o de transporte de</w:t>
      </w:r>
      <w:r w:rsidR="00430C73">
        <w:rPr>
          <w:rFonts w:ascii="Bookman Old Style" w:hAnsi="Bookman Old Style" w:cs="Arial"/>
          <w:b/>
          <w:bCs/>
          <w:color w:val="000000" w:themeColor="text1"/>
          <w:sz w:val="24"/>
          <w:szCs w:val="24"/>
          <w:lang w:eastAsia="es-ES"/>
        </w:rPr>
        <w:t>l</w:t>
      </w:r>
      <w:r w:rsidR="00430C73" w:rsidRPr="00430C73">
        <w:rPr>
          <w:rFonts w:ascii="Bookman Old Style" w:hAnsi="Bookman Old Style" w:cs="Arial"/>
          <w:b/>
          <w:bCs/>
          <w:color w:val="000000" w:themeColor="text1"/>
          <w:sz w:val="24"/>
          <w:szCs w:val="24"/>
          <w:lang w:eastAsia="es-ES"/>
        </w:rPr>
        <w:t xml:space="preserve"> gas cuando en el contrato se </w:t>
      </w:r>
      <w:r w:rsidR="00430C73">
        <w:rPr>
          <w:rFonts w:ascii="Bookman Old Style" w:hAnsi="Bookman Old Style" w:cs="Arial"/>
          <w:b/>
          <w:bCs/>
          <w:color w:val="000000" w:themeColor="text1"/>
          <w:sz w:val="24"/>
          <w:szCs w:val="24"/>
          <w:lang w:eastAsia="es-ES"/>
        </w:rPr>
        <w:t>incluya</w:t>
      </w:r>
      <w:r w:rsidR="00430C73" w:rsidRPr="00430C73">
        <w:rPr>
          <w:rFonts w:ascii="Bookman Old Style" w:hAnsi="Bookman Old Style" w:cs="Arial"/>
          <w:b/>
          <w:bCs/>
          <w:color w:val="000000" w:themeColor="text1"/>
          <w:sz w:val="24"/>
          <w:szCs w:val="24"/>
          <w:lang w:eastAsia="es-ES"/>
        </w:rPr>
        <w:t>n ambos servicios.</w:t>
      </w:r>
    </w:p>
    <w:p w14:paraId="6D5A8248"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4444FF1D" w14:textId="77777777" w:rsidR="0006302B" w:rsidRPr="00683682"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Fecha de inicio del contrato (día/</w:t>
      </w:r>
      <w:r w:rsidRPr="00683682">
        <w:rPr>
          <w:rFonts w:ascii="Bookman Old Style" w:hAnsi="Bookman Old Style" w:cs="Arial"/>
          <w:color w:val="000000" w:themeColor="text1"/>
          <w:sz w:val="24"/>
          <w:szCs w:val="24"/>
          <w:lang w:eastAsia="es-ES"/>
        </w:rPr>
        <w:t>mes/año).</w:t>
      </w:r>
    </w:p>
    <w:p w14:paraId="25FBD839" w14:textId="77777777" w:rsidR="0006302B" w:rsidRPr="00683682" w:rsidRDefault="0006302B" w:rsidP="0006302B">
      <w:pPr>
        <w:pStyle w:val="Prrafodelista"/>
        <w:rPr>
          <w:rFonts w:ascii="Bookman Old Style" w:hAnsi="Bookman Old Style" w:cs="Arial"/>
          <w:color w:val="000000" w:themeColor="text1"/>
          <w:sz w:val="24"/>
          <w:szCs w:val="24"/>
          <w:lang w:eastAsia="es-ES"/>
        </w:rPr>
      </w:pPr>
    </w:p>
    <w:p w14:paraId="49A2D0A2" w14:textId="77777777" w:rsidR="0006302B" w:rsidRPr="00683682"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683682">
        <w:rPr>
          <w:rFonts w:ascii="Bookman Old Style" w:hAnsi="Bookman Old Style" w:cs="Arial"/>
          <w:color w:val="000000" w:themeColor="text1"/>
          <w:sz w:val="24"/>
          <w:szCs w:val="24"/>
          <w:lang w:eastAsia="es-ES"/>
        </w:rPr>
        <w:t>Fecha de terminación del contrato (día/mes/año).</w:t>
      </w:r>
    </w:p>
    <w:p w14:paraId="062AAD19" w14:textId="77777777" w:rsidR="0006302B" w:rsidRPr="00683682"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2E3F4E2F" w14:textId="77777777" w:rsidR="0006302B" w:rsidRPr="00683682"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683682">
        <w:rPr>
          <w:rFonts w:ascii="Bookman Old Style" w:hAnsi="Bookman Old Style" w:cs="Arial"/>
          <w:color w:val="000000" w:themeColor="text1"/>
          <w:sz w:val="24"/>
          <w:szCs w:val="24"/>
          <w:lang w:eastAsia="es-ES"/>
        </w:rPr>
        <w:t>Garantías.</w:t>
      </w:r>
    </w:p>
    <w:p w14:paraId="4DA71A18" w14:textId="77777777" w:rsidR="0006302B" w:rsidRPr="00683682"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1EA0ED54" w14:textId="77777777" w:rsidR="0006302B" w:rsidRPr="00683682"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683682">
        <w:rPr>
          <w:rFonts w:ascii="Bookman Old Style" w:hAnsi="Bookman Old Style" w:cs="Arial"/>
          <w:color w:val="000000" w:themeColor="text1"/>
          <w:sz w:val="24"/>
          <w:szCs w:val="24"/>
          <w:lang w:eastAsia="es-ES"/>
        </w:rPr>
        <w:t>Plazo para realizar el pago.</w:t>
      </w:r>
    </w:p>
    <w:p w14:paraId="1EBD647E" w14:textId="77777777" w:rsidR="0006302B" w:rsidRPr="00683682" w:rsidRDefault="0006302B" w:rsidP="0006302B">
      <w:pPr>
        <w:pStyle w:val="Prrafodelista"/>
        <w:rPr>
          <w:rFonts w:ascii="Bookman Old Style" w:hAnsi="Bookman Old Style" w:cs="Arial"/>
          <w:color w:val="000000" w:themeColor="text1"/>
          <w:sz w:val="24"/>
          <w:szCs w:val="24"/>
          <w:lang w:eastAsia="es-ES"/>
        </w:rPr>
      </w:pPr>
    </w:p>
    <w:p w14:paraId="62C4F95B" w14:textId="293F907E" w:rsidR="0006302B" w:rsidRPr="00683682" w:rsidRDefault="000174E4" w:rsidP="00A4790E">
      <w:pPr>
        <w:numPr>
          <w:ilvl w:val="0"/>
          <w:numId w:val="29"/>
        </w:numPr>
        <w:ind w:hanging="579"/>
        <w:contextualSpacing/>
        <w:jc w:val="both"/>
        <w:rPr>
          <w:rFonts w:ascii="Bookman Old Style" w:hAnsi="Bookman Old Style" w:cs="Arial"/>
          <w:b/>
          <w:bCs/>
          <w:color w:val="000000" w:themeColor="text1"/>
          <w:lang w:val="es-CO"/>
        </w:rPr>
      </w:pPr>
      <w:r>
        <w:rPr>
          <w:rFonts w:ascii="Bookman Old Style" w:hAnsi="Bookman Old Style" w:cs="Arial"/>
          <w:b/>
          <w:bCs/>
          <w:color w:val="000000" w:themeColor="text1"/>
          <w:lang w:val="es-CO"/>
        </w:rPr>
        <w:t xml:space="preserve">Tipo </w:t>
      </w:r>
      <w:r w:rsidR="00AE3009" w:rsidRPr="00683682">
        <w:rPr>
          <w:rFonts w:ascii="Bookman Old Style" w:hAnsi="Bookman Old Style" w:cs="Arial"/>
          <w:b/>
          <w:bCs/>
          <w:color w:val="000000" w:themeColor="text1"/>
          <w:lang w:val="es-CO"/>
        </w:rPr>
        <w:t>del suministro</w:t>
      </w:r>
      <w:r>
        <w:rPr>
          <w:rFonts w:ascii="Bookman Old Style" w:hAnsi="Bookman Old Style" w:cs="Arial"/>
          <w:b/>
          <w:bCs/>
          <w:color w:val="000000" w:themeColor="text1"/>
          <w:lang w:val="es-CO"/>
        </w:rPr>
        <w:t xml:space="preserve"> (firme, interrumpible)</w:t>
      </w:r>
      <w:r w:rsidR="001A583F" w:rsidRPr="00683682">
        <w:rPr>
          <w:rFonts w:ascii="Bookman Old Style" w:hAnsi="Bookman Old Style" w:cs="Arial"/>
          <w:b/>
          <w:bCs/>
          <w:color w:val="000000" w:themeColor="text1"/>
          <w:lang w:val="es-CO"/>
        </w:rPr>
        <w:t>,</w:t>
      </w:r>
      <w:r w:rsidR="00AE3009" w:rsidRPr="00683682">
        <w:rPr>
          <w:rFonts w:ascii="Bookman Old Style" w:hAnsi="Bookman Old Style" w:cs="Arial"/>
          <w:b/>
          <w:bCs/>
          <w:color w:val="000000" w:themeColor="text1"/>
          <w:lang w:val="es-CO"/>
        </w:rPr>
        <w:t xml:space="preserve"> </w:t>
      </w:r>
      <w:r w:rsidR="0006302B" w:rsidRPr="00683682">
        <w:rPr>
          <w:rFonts w:ascii="Bookman Old Style" w:hAnsi="Bookman Old Style" w:cs="Arial"/>
          <w:b/>
          <w:bCs/>
          <w:color w:val="000000" w:themeColor="text1"/>
          <w:lang w:val="es-CO"/>
        </w:rPr>
        <w:t xml:space="preserve">pactada en el contrato de servicios públicos con el </w:t>
      </w:r>
      <w:r w:rsidR="00AE3009" w:rsidRPr="00683682">
        <w:rPr>
          <w:rFonts w:ascii="Bookman Old Style" w:hAnsi="Bookman Old Style" w:cs="Arial"/>
          <w:b/>
          <w:bCs/>
          <w:color w:val="000000" w:themeColor="text1"/>
          <w:lang w:val="es-CO"/>
        </w:rPr>
        <w:t>u</w:t>
      </w:r>
      <w:r w:rsidR="0006302B" w:rsidRPr="00683682">
        <w:rPr>
          <w:rFonts w:ascii="Bookman Old Style" w:hAnsi="Bookman Old Style" w:cs="Arial"/>
          <w:b/>
          <w:bCs/>
          <w:color w:val="000000" w:themeColor="text1"/>
          <w:lang w:val="es-CO"/>
        </w:rPr>
        <w:t xml:space="preserve">suario </w:t>
      </w:r>
      <w:r w:rsidR="00AE3009" w:rsidRPr="00683682">
        <w:rPr>
          <w:rFonts w:ascii="Bookman Old Style" w:hAnsi="Bookman Old Style" w:cs="Arial"/>
          <w:b/>
          <w:bCs/>
          <w:color w:val="000000" w:themeColor="text1"/>
          <w:lang w:val="es-CO"/>
        </w:rPr>
        <w:t>n</w:t>
      </w:r>
      <w:r w:rsidR="0006302B" w:rsidRPr="00683682">
        <w:rPr>
          <w:rFonts w:ascii="Bookman Old Style" w:hAnsi="Bookman Old Style" w:cs="Arial"/>
          <w:b/>
          <w:bCs/>
          <w:color w:val="000000" w:themeColor="text1"/>
          <w:lang w:val="es-CO"/>
        </w:rPr>
        <w:t xml:space="preserve">o </w:t>
      </w:r>
      <w:r>
        <w:rPr>
          <w:rFonts w:ascii="Bookman Old Style" w:hAnsi="Bookman Old Style" w:cs="Arial"/>
          <w:b/>
          <w:bCs/>
          <w:color w:val="000000" w:themeColor="text1"/>
          <w:lang w:val="es-CO"/>
        </w:rPr>
        <w:t>r</w:t>
      </w:r>
      <w:r w:rsidR="0006302B" w:rsidRPr="00683682">
        <w:rPr>
          <w:rFonts w:ascii="Bookman Old Style" w:hAnsi="Bookman Old Style" w:cs="Arial"/>
          <w:b/>
          <w:bCs/>
          <w:color w:val="000000" w:themeColor="text1"/>
          <w:lang w:val="es-CO"/>
        </w:rPr>
        <w:t xml:space="preserve">egulado. </w:t>
      </w:r>
    </w:p>
    <w:p w14:paraId="399F121E" w14:textId="77777777" w:rsidR="0006302B" w:rsidRPr="00683682" w:rsidRDefault="0006302B" w:rsidP="0006302B">
      <w:pPr>
        <w:ind w:left="708"/>
        <w:rPr>
          <w:rFonts w:ascii="Bookman Old Style" w:hAnsi="Bookman Old Style" w:cs="Arial"/>
          <w:b/>
          <w:bCs/>
          <w:color w:val="000000" w:themeColor="text1"/>
          <w:lang w:val="es-CO"/>
        </w:rPr>
      </w:pPr>
    </w:p>
    <w:p w14:paraId="2686DE9E" w14:textId="0CEAAC4E" w:rsidR="0006302B" w:rsidRPr="00A71B09" w:rsidRDefault="0006302B" w:rsidP="00A4790E">
      <w:pPr>
        <w:numPr>
          <w:ilvl w:val="0"/>
          <w:numId w:val="29"/>
        </w:numPr>
        <w:ind w:hanging="579"/>
        <w:contextualSpacing/>
        <w:jc w:val="both"/>
        <w:rPr>
          <w:rFonts w:ascii="Bookman Old Style" w:hAnsi="Bookman Old Style" w:cs="Arial"/>
          <w:b/>
          <w:bCs/>
          <w:color w:val="000000" w:themeColor="text1"/>
          <w:lang w:val="es-CO"/>
        </w:rPr>
      </w:pPr>
      <w:r w:rsidRPr="00683682">
        <w:rPr>
          <w:rFonts w:ascii="Bookman Old Style" w:hAnsi="Bookman Old Style" w:cs="Arial"/>
          <w:b/>
          <w:bCs/>
          <w:color w:val="000000" w:themeColor="text1"/>
          <w:lang w:val="es-CO"/>
        </w:rPr>
        <w:t>El municipio en que está ubicado el</w:t>
      </w:r>
      <w:r w:rsidRPr="00A71B09">
        <w:rPr>
          <w:rFonts w:ascii="Bookman Old Style" w:hAnsi="Bookman Old Style" w:cs="Arial"/>
          <w:b/>
          <w:bCs/>
          <w:color w:val="000000" w:themeColor="text1"/>
          <w:lang w:val="es-CO"/>
        </w:rPr>
        <w:t xml:space="preserve"> usuario no regulado.  </w:t>
      </w:r>
    </w:p>
    <w:p w14:paraId="1F172572" w14:textId="77777777" w:rsidR="0006302B" w:rsidRPr="00A71B09" w:rsidRDefault="0006302B" w:rsidP="0006302B">
      <w:pPr>
        <w:ind w:left="708"/>
        <w:rPr>
          <w:rFonts w:ascii="Bookman Old Style" w:hAnsi="Bookman Old Style" w:cs="Arial"/>
          <w:b/>
          <w:bCs/>
          <w:color w:val="000000" w:themeColor="text1"/>
          <w:lang w:val="es-CO"/>
        </w:rPr>
      </w:pPr>
    </w:p>
    <w:p w14:paraId="56045C48" w14:textId="77777777" w:rsidR="0006302B" w:rsidRPr="004B0CC2" w:rsidRDefault="0006302B" w:rsidP="00A4790E">
      <w:pPr>
        <w:numPr>
          <w:ilvl w:val="0"/>
          <w:numId w:val="29"/>
        </w:numPr>
        <w:ind w:hanging="579"/>
        <w:contextualSpacing/>
        <w:jc w:val="both"/>
        <w:rPr>
          <w:rFonts w:ascii="Bookman Old Style" w:hAnsi="Bookman Old Style" w:cs="Arial"/>
          <w:b/>
          <w:bCs/>
          <w:color w:val="000000" w:themeColor="text1"/>
          <w:lang w:val="es-CO"/>
        </w:rPr>
      </w:pPr>
      <w:r w:rsidRPr="00A71B09">
        <w:rPr>
          <w:rFonts w:ascii="Bookman Old Style" w:hAnsi="Bookman Old Style" w:cs="Arial"/>
          <w:b/>
          <w:bCs/>
          <w:color w:val="000000" w:themeColor="text1"/>
          <w:lang w:val="es-CO"/>
        </w:rPr>
        <w:t>Moneda de pago pactada en el contrato.</w:t>
      </w:r>
    </w:p>
    <w:p w14:paraId="00551625" w14:textId="77777777" w:rsidR="0006302B" w:rsidRPr="004B0CC2" w:rsidRDefault="0006302B" w:rsidP="0006302B">
      <w:pPr>
        <w:pStyle w:val="Prrafodelista"/>
        <w:rPr>
          <w:rFonts w:ascii="Bookman Old Style" w:hAnsi="Bookman Old Style" w:cs="Arial"/>
          <w:b/>
          <w:bCs/>
          <w:color w:val="000000" w:themeColor="text1"/>
        </w:rPr>
      </w:pPr>
    </w:p>
    <w:p w14:paraId="5B3F30B4" w14:textId="120AA56B" w:rsidR="0006302B" w:rsidRPr="00295053" w:rsidRDefault="0006302B" w:rsidP="00A4790E">
      <w:pPr>
        <w:numPr>
          <w:ilvl w:val="0"/>
          <w:numId w:val="29"/>
        </w:numPr>
        <w:ind w:hanging="579"/>
        <w:contextualSpacing/>
        <w:jc w:val="both"/>
        <w:rPr>
          <w:rFonts w:ascii="Bookman Old Style" w:hAnsi="Bookman Old Style" w:cs="Arial"/>
          <w:b/>
          <w:bCs/>
          <w:color w:val="000000" w:themeColor="text1"/>
          <w:lang w:val="es-CO"/>
        </w:rPr>
      </w:pPr>
      <w:r w:rsidRPr="004B0CC2">
        <w:rPr>
          <w:rFonts w:ascii="Bookman Old Style" w:hAnsi="Bookman Old Style" w:cs="Arial"/>
          <w:b/>
          <w:bCs/>
          <w:color w:val="000000" w:themeColor="text1"/>
        </w:rPr>
        <w:t>Tasa de cambio pactada en el contrato para efectos de la conversión de dólares a pesos colombianos para la liquidación y facturación, si es el caso</w:t>
      </w:r>
      <w:r w:rsidR="00291DA1">
        <w:rPr>
          <w:rFonts w:ascii="Bookman Old Style" w:hAnsi="Bookman Old Style" w:cs="Arial"/>
          <w:b/>
          <w:bCs/>
          <w:color w:val="000000" w:themeColor="text1"/>
        </w:rPr>
        <w:t>.</w:t>
      </w:r>
    </w:p>
    <w:p w14:paraId="5903C7FC" w14:textId="77777777" w:rsidR="00123715" w:rsidRDefault="00123715" w:rsidP="00295053">
      <w:pPr>
        <w:pStyle w:val="Prrafodelista"/>
        <w:rPr>
          <w:rFonts w:ascii="Bookman Old Style" w:hAnsi="Bookman Old Style" w:cs="Arial"/>
          <w:b/>
          <w:bCs/>
          <w:color w:val="000000" w:themeColor="text1"/>
        </w:rPr>
      </w:pPr>
    </w:p>
    <w:p w14:paraId="3D78A94D" w14:textId="07759D41" w:rsidR="00123715" w:rsidRPr="004B0CC2" w:rsidRDefault="00123715" w:rsidP="00A4790E">
      <w:pPr>
        <w:numPr>
          <w:ilvl w:val="0"/>
          <w:numId w:val="29"/>
        </w:numPr>
        <w:ind w:hanging="579"/>
        <w:contextualSpacing/>
        <w:jc w:val="both"/>
        <w:rPr>
          <w:rFonts w:ascii="Bookman Old Style" w:hAnsi="Bookman Old Style" w:cs="Arial"/>
          <w:b/>
          <w:bCs/>
          <w:color w:val="000000" w:themeColor="text1"/>
          <w:lang w:val="es-CO"/>
        </w:rPr>
      </w:pPr>
      <w:r>
        <w:rPr>
          <w:rFonts w:ascii="Bookman Old Style" w:hAnsi="Bookman Old Style" w:cs="Arial"/>
          <w:b/>
          <w:bCs/>
          <w:color w:val="000000" w:themeColor="text1"/>
          <w:lang w:val="es-CO"/>
        </w:rPr>
        <w:t xml:space="preserve">Precio de la energía a </w:t>
      </w:r>
      <w:r w:rsidRPr="00123715">
        <w:rPr>
          <w:rFonts w:ascii="Bookman Old Style" w:hAnsi="Bookman Old Style" w:cs="Arial"/>
          <w:b/>
          <w:bCs/>
          <w:color w:val="000000" w:themeColor="text1"/>
          <w:lang w:val="es-CO"/>
        </w:rPr>
        <w:t xml:space="preserve">entregar </w:t>
      </w:r>
      <w:r w:rsidRPr="00295053">
        <w:rPr>
          <w:rFonts w:ascii="Bookman Old Style" w:hAnsi="Bookman Old Style" w:cs="Arial"/>
          <w:b/>
          <w:bCs/>
          <w:color w:val="000000" w:themeColor="text1"/>
        </w:rPr>
        <w:t xml:space="preserve">en el domicilio del usuario </w:t>
      </w:r>
      <w:r w:rsidRPr="00123715">
        <w:rPr>
          <w:rFonts w:ascii="Bookman Old Style" w:hAnsi="Bookman Old Style" w:cs="Arial"/>
          <w:b/>
          <w:bCs/>
          <w:color w:val="000000" w:themeColor="text1"/>
        </w:rPr>
        <w:t>no regulado</w:t>
      </w:r>
      <w:r w:rsidRPr="00295053">
        <w:rPr>
          <w:rFonts w:ascii="Bookman Old Style" w:hAnsi="Bookman Old Style" w:cs="Arial"/>
          <w:b/>
          <w:bCs/>
          <w:color w:val="000000" w:themeColor="text1"/>
        </w:rPr>
        <w:t xml:space="preserve">, expresado en dólares de los Estados Unidos de América por MBTU, </w:t>
      </w:r>
      <w:r>
        <w:rPr>
          <w:rFonts w:ascii="Bookman Old Style" w:hAnsi="Bookman Old Style" w:cs="Arial"/>
          <w:b/>
          <w:bCs/>
          <w:color w:val="000000" w:themeColor="text1"/>
        </w:rPr>
        <w:t>cada vez que se actualicen los precios del contrato registrado.</w:t>
      </w:r>
    </w:p>
    <w:p w14:paraId="223C4A20"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7DF48297" w14:textId="79A673DC" w:rsidR="0006302B" w:rsidRPr="000B70FC" w:rsidRDefault="0006302B" w:rsidP="00A4790E">
      <w:pPr>
        <w:pStyle w:val="Prrafodelista"/>
        <w:numPr>
          <w:ilvl w:val="0"/>
          <w:numId w:val="29"/>
        </w:numPr>
        <w:ind w:left="1701" w:hanging="567"/>
        <w:contextualSpacing/>
        <w:jc w:val="both"/>
        <w:rPr>
          <w:rFonts w:ascii="Bookman Old Style" w:hAnsi="Bookman Old Style" w:cs="Arial"/>
          <w:color w:val="000000" w:themeColor="text1"/>
          <w:sz w:val="24"/>
          <w:szCs w:val="24"/>
          <w:lang w:eastAsia="es-ES"/>
        </w:rPr>
      </w:pPr>
      <w:r w:rsidRPr="000B70FC">
        <w:rPr>
          <w:rFonts w:ascii="Bookman Old Style" w:hAnsi="Bookman Old Style" w:cs="Arial"/>
          <w:color w:val="000000" w:themeColor="text1"/>
          <w:sz w:val="24"/>
          <w:szCs w:val="24"/>
          <w:lang w:eastAsia="es-ES"/>
        </w:rPr>
        <w:t>La demás información que determine la CREG.</w:t>
      </w:r>
    </w:p>
    <w:p w14:paraId="2842DA4F" w14:textId="77777777" w:rsidR="0006302B" w:rsidRPr="000B70FC" w:rsidRDefault="0006302B" w:rsidP="0006302B">
      <w:pPr>
        <w:autoSpaceDE w:val="0"/>
        <w:autoSpaceDN w:val="0"/>
        <w:adjustRightInd w:val="0"/>
        <w:ind w:left="1134"/>
        <w:jc w:val="both"/>
        <w:rPr>
          <w:rFonts w:ascii="Bookman Old Style" w:hAnsi="Bookman Old Style"/>
          <w:color w:val="000000" w:themeColor="text1"/>
          <w:sz w:val="28"/>
          <w:lang w:val="es-CO"/>
        </w:rPr>
      </w:pPr>
    </w:p>
    <w:p w14:paraId="27BDE17E" w14:textId="65F9BFAB"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La declaración de la información para el registro de los contratos se realizará a través del medio y del formato que defina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del Mercado.</w:t>
      </w:r>
    </w:p>
    <w:p w14:paraId="3A805B9E" w14:textId="77777777" w:rsidR="0006302B" w:rsidRPr="000B70FC" w:rsidRDefault="0006302B" w:rsidP="0006302B">
      <w:pPr>
        <w:autoSpaceDE w:val="0"/>
        <w:autoSpaceDN w:val="0"/>
        <w:adjustRightInd w:val="0"/>
        <w:ind w:left="1134"/>
        <w:jc w:val="both"/>
        <w:rPr>
          <w:rFonts w:ascii="Bookman Old Style" w:hAnsi="Bookman Old Style"/>
          <w:color w:val="000000" w:themeColor="text1"/>
          <w:sz w:val="28"/>
          <w:lang w:val="es-CO"/>
        </w:rPr>
      </w:pPr>
    </w:p>
    <w:p w14:paraId="694782C1" w14:textId="0148F44E"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La terminación anticipada o la modificación del contrato dará lugar a la actualización del registro ante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 xml:space="preserve">del Mercado. Para estos efectos los </w:t>
      </w:r>
      <w:r>
        <w:rPr>
          <w:rFonts w:ascii="Bookman Old Style" w:hAnsi="Bookman Old Style"/>
          <w:color w:val="000000" w:themeColor="text1"/>
          <w:lang w:val="es-CO"/>
        </w:rPr>
        <w:t>C</w:t>
      </w:r>
      <w:r w:rsidRPr="000B70FC">
        <w:rPr>
          <w:rFonts w:ascii="Bookman Old Style" w:hAnsi="Bookman Old Style"/>
          <w:color w:val="000000" w:themeColor="text1"/>
          <w:lang w:val="es-CO"/>
        </w:rPr>
        <w:t>omercializadores</w:t>
      </w:r>
      <w:r>
        <w:rPr>
          <w:rFonts w:ascii="Bookman Old Style" w:hAnsi="Bookman Old Style"/>
          <w:color w:val="000000" w:themeColor="text1"/>
          <w:lang w:val="es-CO"/>
        </w:rPr>
        <w:t xml:space="preserve"> </w:t>
      </w:r>
      <w:r w:rsidRPr="000B70FC">
        <w:rPr>
          <w:rFonts w:ascii="Bookman Old Style" w:hAnsi="Bookman Old Style"/>
          <w:color w:val="000000" w:themeColor="text1"/>
          <w:lang w:val="es-CO"/>
        </w:rPr>
        <w:t xml:space="preserve">deberán declarar al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del Mercado la información previamente señalada, debidamente actualizada.</w:t>
      </w:r>
    </w:p>
    <w:p w14:paraId="77701574" w14:textId="77777777" w:rsidR="0006302B" w:rsidRPr="000B70FC" w:rsidRDefault="0006302B" w:rsidP="0006302B">
      <w:pPr>
        <w:autoSpaceDE w:val="0"/>
        <w:autoSpaceDN w:val="0"/>
        <w:adjustRightInd w:val="0"/>
        <w:ind w:left="1134"/>
        <w:jc w:val="both"/>
        <w:rPr>
          <w:rFonts w:ascii="Bookman Old Style" w:hAnsi="Bookman Old Style"/>
          <w:color w:val="000000" w:themeColor="text1"/>
          <w:sz w:val="28"/>
          <w:lang w:val="es-CO"/>
        </w:rPr>
      </w:pPr>
    </w:p>
    <w:p w14:paraId="21F40033" w14:textId="7B147485"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La no declaración de la información aquí señalada </w:t>
      </w:r>
      <w:r w:rsidRPr="00F81CB8">
        <w:rPr>
          <w:rFonts w:ascii="Bookman Old Style" w:hAnsi="Bookman Old Style"/>
          <w:b/>
          <w:bCs/>
          <w:color w:val="000000" w:themeColor="text1"/>
          <w:lang w:val="es-CO"/>
        </w:rPr>
        <w:t xml:space="preserve">y entregada de manera incompleta en los formatos establecidos por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 xml:space="preserve">podrá ser considerada por la autoridad competente como una práctica </w:t>
      </w:r>
      <w:r w:rsidRPr="000B70FC">
        <w:rPr>
          <w:rFonts w:ascii="Bookman Old Style" w:hAnsi="Bookman Old Style"/>
          <w:color w:val="000000" w:themeColor="text1"/>
          <w:lang w:val="es-CO"/>
        </w:rPr>
        <w:lastRenderedPageBreak/>
        <w:t>contraria a la libre competencia. Igual consideración se podrá dar a la declaración reiterada de información inconsistente.</w:t>
      </w:r>
    </w:p>
    <w:p w14:paraId="28B85E26" w14:textId="77777777" w:rsidR="0006302B" w:rsidRPr="000B70FC" w:rsidRDefault="0006302B" w:rsidP="0006302B">
      <w:pPr>
        <w:autoSpaceDE w:val="0"/>
        <w:autoSpaceDN w:val="0"/>
        <w:adjustRightInd w:val="0"/>
        <w:ind w:left="1134"/>
        <w:jc w:val="both"/>
        <w:rPr>
          <w:rFonts w:ascii="Bookman Old Style" w:hAnsi="Bookman Old Style"/>
          <w:color w:val="000000" w:themeColor="text1"/>
          <w:sz w:val="28"/>
          <w:lang w:val="es-CO"/>
        </w:rPr>
      </w:pPr>
    </w:p>
    <w:p w14:paraId="4400A56E" w14:textId="77777777" w:rsidR="0006302B" w:rsidRPr="000B70FC" w:rsidRDefault="0006302B" w:rsidP="00A4790E">
      <w:pPr>
        <w:numPr>
          <w:ilvl w:val="0"/>
          <w:numId w:val="42"/>
        </w:numPr>
        <w:autoSpaceDE w:val="0"/>
        <w:autoSpaceDN w:val="0"/>
        <w:adjustRightInd w:val="0"/>
        <w:ind w:left="1134" w:hanging="567"/>
        <w:jc w:val="both"/>
        <w:rPr>
          <w:rFonts w:ascii="Bookman Old Style" w:hAnsi="Bookman Old Style" w:cs="Arial"/>
          <w:color w:val="000000" w:themeColor="text1"/>
          <w:lang w:val="es-CO"/>
        </w:rPr>
      </w:pPr>
      <w:r w:rsidRPr="000B70FC">
        <w:rPr>
          <w:rFonts w:ascii="Bookman Old Style" w:hAnsi="Bookman Old Style" w:cs="Arial"/>
          <w:color w:val="000000" w:themeColor="text1"/>
          <w:lang w:val="es-CO"/>
        </w:rPr>
        <w:t>Información de los usuarios no regulados</w:t>
      </w:r>
    </w:p>
    <w:p w14:paraId="67D74DB1" w14:textId="77777777" w:rsidR="0006302B" w:rsidRPr="000B70FC" w:rsidRDefault="0006302B" w:rsidP="0006302B">
      <w:pPr>
        <w:autoSpaceDE w:val="0"/>
        <w:autoSpaceDN w:val="0"/>
        <w:adjustRightInd w:val="0"/>
        <w:ind w:left="1134"/>
        <w:jc w:val="both"/>
        <w:rPr>
          <w:rFonts w:ascii="Bookman Old Style" w:hAnsi="Bookman Old Style"/>
          <w:color w:val="000000" w:themeColor="text1"/>
          <w:sz w:val="28"/>
          <w:lang w:val="es-CO"/>
        </w:rPr>
      </w:pPr>
    </w:p>
    <w:p w14:paraId="49CC6C3F" w14:textId="36EC755F" w:rsidR="0006302B" w:rsidRPr="000B70FC" w:rsidRDefault="0006302B" w:rsidP="0006302B">
      <w:pPr>
        <w:autoSpaceDE w:val="0"/>
        <w:autoSpaceDN w:val="0"/>
        <w:adjustRightInd w:val="0"/>
        <w:ind w:left="1134"/>
        <w:jc w:val="both"/>
        <w:rPr>
          <w:rFonts w:ascii="Bookman Old Style" w:hAnsi="Bookman Old Style"/>
          <w:color w:val="000000" w:themeColor="text1"/>
          <w:lang w:val="es-CO"/>
        </w:rPr>
      </w:pPr>
      <w:r w:rsidRPr="000B70FC">
        <w:rPr>
          <w:rFonts w:ascii="Bookman Old Style" w:hAnsi="Bookman Old Style"/>
          <w:color w:val="000000" w:themeColor="text1"/>
          <w:lang w:val="es-CO"/>
        </w:rPr>
        <w:t xml:space="preserve">Los usuarios no regulados que estén dispuestos a declarar ante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 xml:space="preserve">del Mercado la información listada previamente, lo harán a través del medio y del formato que defina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color w:val="000000" w:themeColor="text1"/>
          <w:lang w:val="es-CO"/>
        </w:rPr>
        <w:t>del Mercado.</w:t>
      </w:r>
    </w:p>
    <w:p w14:paraId="42618AC6" w14:textId="77777777" w:rsidR="0006302B" w:rsidRPr="000B70FC" w:rsidRDefault="0006302B" w:rsidP="0006302B">
      <w:pPr>
        <w:pStyle w:val="ARTICULOS"/>
        <w:numPr>
          <w:ilvl w:val="0"/>
          <w:numId w:val="0"/>
        </w:numPr>
        <w:ind w:left="1134"/>
        <w:rPr>
          <w:color w:val="000000" w:themeColor="text1"/>
          <w:sz w:val="28"/>
          <w:lang w:val="es-CO"/>
        </w:rPr>
      </w:pPr>
    </w:p>
    <w:p w14:paraId="33159842" w14:textId="736F89B2" w:rsidR="0006302B" w:rsidRPr="000B70FC" w:rsidRDefault="0006302B" w:rsidP="00A4790E">
      <w:pPr>
        <w:pStyle w:val="ARTICULOS"/>
        <w:numPr>
          <w:ilvl w:val="1"/>
          <w:numId w:val="30"/>
        </w:numPr>
        <w:ind w:left="567" w:hanging="567"/>
        <w:rPr>
          <w:color w:val="000000" w:themeColor="text1"/>
          <w:lang w:val="es-CO"/>
        </w:rPr>
      </w:pPr>
      <w:r w:rsidRPr="000B70FC">
        <w:rPr>
          <w:color w:val="000000" w:themeColor="text1"/>
          <w:lang w:val="es-CO"/>
        </w:rPr>
        <w:t xml:space="preserve">Registro de contratos y publicación de información sobre negociaciones entre </w:t>
      </w:r>
      <w:r>
        <w:rPr>
          <w:color w:val="000000" w:themeColor="text1"/>
          <w:lang w:val="es-CO"/>
        </w:rPr>
        <w:t>C</w:t>
      </w:r>
      <w:r w:rsidRPr="000B70FC">
        <w:rPr>
          <w:color w:val="000000" w:themeColor="text1"/>
          <w:lang w:val="es-CO"/>
        </w:rPr>
        <w:t>omercializadores y usuarios no regulados</w:t>
      </w:r>
      <w:r w:rsidR="00291DA1">
        <w:rPr>
          <w:color w:val="000000" w:themeColor="text1"/>
          <w:lang w:val="es-CO"/>
        </w:rPr>
        <w:t>.</w:t>
      </w:r>
    </w:p>
    <w:p w14:paraId="5E7EFD02" w14:textId="77777777" w:rsidR="0006302B" w:rsidRPr="000B70FC" w:rsidRDefault="0006302B" w:rsidP="0006302B">
      <w:pPr>
        <w:pStyle w:val="ARTICULOS"/>
        <w:numPr>
          <w:ilvl w:val="0"/>
          <w:numId w:val="0"/>
        </w:numPr>
        <w:rPr>
          <w:color w:val="000000" w:themeColor="text1"/>
          <w:sz w:val="28"/>
          <w:lang w:val="es-CO"/>
        </w:rPr>
      </w:pPr>
    </w:p>
    <w:p w14:paraId="48BD182F" w14:textId="64963E9B" w:rsidR="0006302B" w:rsidRPr="000B70FC" w:rsidRDefault="0006302B" w:rsidP="0006302B">
      <w:pPr>
        <w:jc w:val="both"/>
        <w:rPr>
          <w:rFonts w:ascii="Bookman Old Style" w:hAnsi="Bookman Old Style"/>
          <w:color w:val="000000" w:themeColor="text1"/>
          <w:lang w:val="es-CO"/>
        </w:rPr>
      </w:pPr>
      <w:r w:rsidRPr="000B70FC">
        <w:rPr>
          <w:rFonts w:ascii="Bookman Old Style" w:hAnsi="Bookman Old Style"/>
          <w:bCs/>
          <w:color w:val="000000" w:themeColor="text1"/>
          <w:lang w:val="es-CO" w:eastAsia="x-none"/>
        </w:rPr>
        <w:t xml:space="preserve">El registro de los </w:t>
      </w:r>
      <w:r w:rsidRPr="000B70FC">
        <w:rPr>
          <w:rFonts w:ascii="Bookman Old Style" w:hAnsi="Bookman Old Style"/>
          <w:color w:val="000000" w:themeColor="text1"/>
          <w:lang w:val="es-CO"/>
        </w:rPr>
        <w:t xml:space="preserve">contratos suscritos </w:t>
      </w:r>
      <w:r w:rsidRPr="000B70FC">
        <w:rPr>
          <w:rFonts w:ascii="Bookman Old Style" w:hAnsi="Bookman Old Style" w:cs="Arial"/>
          <w:color w:val="000000" w:themeColor="text1"/>
          <w:lang w:val="es-CO"/>
        </w:rPr>
        <w:t>entre comercializadores y usuarios no regulados</w:t>
      </w:r>
      <w:r w:rsidRPr="000B70FC">
        <w:rPr>
          <w:rFonts w:ascii="Bookman Old Style" w:hAnsi="Bookman Old Style"/>
          <w:bCs/>
          <w:color w:val="000000" w:themeColor="text1"/>
          <w:lang w:val="es-CO" w:eastAsia="x-none"/>
        </w:rPr>
        <w:t xml:space="preserve"> se iniciará a partir de la fecha en que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bCs/>
          <w:color w:val="000000" w:themeColor="text1"/>
          <w:lang w:val="es-CO" w:eastAsia="x-none"/>
        </w:rPr>
        <w:t xml:space="preserve">del Mercado </w:t>
      </w:r>
      <w:r w:rsidRPr="000B70FC">
        <w:rPr>
          <w:rFonts w:ascii="Bookman Old Style" w:hAnsi="Bookman Old Style"/>
          <w:color w:val="000000" w:themeColor="text1"/>
          <w:lang w:val="es-CO"/>
        </w:rPr>
        <w:t>inicie la prestación de sus servicios</w:t>
      </w:r>
      <w:r w:rsidRPr="000B70FC">
        <w:rPr>
          <w:rFonts w:ascii="Bookman Old Style" w:hAnsi="Bookman Old Style"/>
          <w:bCs/>
          <w:color w:val="000000" w:themeColor="text1"/>
          <w:lang w:val="es-CO" w:eastAsia="x-none"/>
        </w:rPr>
        <w:t xml:space="preserve">. El </w:t>
      </w:r>
      <w:r w:rsidRPr="000B70FC" w:rsidDel="000A3BBE">
        <w:rPr>
          <w:rFonts w:ascii="Bookman Old Style" w:hAnsi="Bookman Old Style"/>
          <w:color w:val="000000" w:themeColor="text1"/>
          <w:lang w:val="es-CO"/>
        </w:rPr>
        <w:t>registro se deberá realizar dentro de los tres</w:t>
      </w:r>
      <w:r w:rsidRPr="000B70FC">
        <w:rPr>
          <w:rFonts w:ascii="Bookman Old Style" w:hAnsi="Bookman Old Style"/>
          <w:color w:val="000000" w:themeColor="text1"/>
          <w:lang w:val="es-CO"/>
        </w:rPr>
        <w:t xml:space="preserve"> (3)</w:t>
      </w:r>
      <w:r w:rsidRPr="000B70FC" w:rsidDel="000A3BBE">
        <w:rPr>
          <w:rFonts w:ascii="Bookman Old Style" w:hAnsi="Bookman Old Style"/>
          <w:color w:val="000000" w:themeColor="text1"/>
          <w:lang w:val="es-CO"/>
        </w:rPr>
        <w:t xml:space="preserve"> días hábiles siguientes a</w:t>
      </w:r>
      <w:r w:rsidRPr="000B70FC">
        <w:rPr>
          <w:rFonts w:ascii="Bookman Old Style" w:hAnsi="Bookman Old Style"/>
          <w:color w:val="000000" w:themeColor="text1"/>
          <w:lang w:val="es-CO"/>
        </w:rPr>
        <w:t xml:space="preserve"> </w:t>
      </w:r>
      <w:r w:rsidRPr="000B70FC" w:rsidDel="000A3BBE">
        <w:rPr>
          <w:rFonts w:ascii="Bookman Old Style" w:hAnsi="Bookman Old Style"/>
          <w:color w:val="000000" w:themeColor="text1"/>
          <w:lang w:val="es-CO"/>
        </w:rPr>
        <w:t>l</w:t>
      </w:r>
      <w:r w:rsidRPr="000B70FC">
        <w:rPr>
          <w:rFonts w:ascii="Bookman Old Style" w:hAnsi="Bookman Old Style"/>
          <w:color w:val="000000" w:themeColor="text1"/>
          <w:lang w:val="es-CO"/>
        </w:rPr>
        <w:t>a</w:t>
      </w:r>
      <w:r w:rsidRPr="000B70FC" w:rsidDel="000A3BBE">
        <w:rPr>
          <w:rFonts w:ascii="Bookman Old Style" w:hAnsi="Bookman Old Style"/>
          <w:color w:val="000000" w:themeColor="text1"/>
          <w:lang w:val="es-CO"/>
        </w:rPr>
        <w:t xml:space="preserve"> </w:t>
      </w:r>
      <w:r w:rsidRPr="000B70FC">
        <w:rPr>
          <w:rFonts w:ascii="Bookman Old Style" w:hAnsi="Bookman Old Style"/>
          <w:color w:val="000000" w:themeColor="text1"/>
          <w:lang w:val="es-CO"/>
        </w:rPr>
        <w:t>suscripción</w:t>
      </w:r>
      <w:r w:rsidRPr="000B70FC" w:rsidDel="000A3BBE">
        <w:rPr>
          <w:rFonts w:ascii="Bookman Old Style" w:hAnsi="Bookman Old Style"/>
          <w:color w:val="000000" w:themeColor="text1"/>
          <w:lang w:val="es-CO"/>
        </w:rPr>
        <w:t xml:space="preserve"> del contrato.</w:t>
      </w:r>
    </w:p>
    <w:p w14:paraId="1955907A" w14:textId="77777777" w:rsidR="0006302B" w:rsidRPr="000B70FC" w:rsidRDefault="0006302B" w:rsidP="0006302B">
      <w:pPr>
        <w:jc w:val="both"/>
        <w:rPr>
          <w:rFonts w:ascii="Bookman Old Style" w:hAnsi="Bookman Old Style"/>
          <w:color w:val="000000" w:themeColor="text1"/>
          <w:sz w:val="28"/>
          <w:lang w:val="es-CO"/>
        </w:rPr>
      </w:pPr>
    </w:p>
    <w:p w14:paraId="02946427" w14:textId="79CE5661" w:rsidR="0006302B" w:rsidRPr="000B70FC" w:rsidRDefault="0006302B" w:rsidP="0006302B">
      <w:pPr>
        <w:jc w:val="both"/>
        <w:rPr>
          <w:rFonts w:ascii="Bookman Old Style" w:hAnsi="Bookman Old Style"/>
          <w:bCs/>
          <w:color w:val="000000" w:themeColor="text1"/>
          <w:lang w:val="es-CO" w:eastAsia="x-none"/>
        </w:rPr>
      </w:pPr>
      <w:r w:rsidRPr="000B70FC">
        <w:rPr>
          <w:rFonts w:ascii="Bookman Old Style" w:hAnsi="Bookman Old Style"/>
          <w:bCs/>
          <w:color w:val="000000" w:themeColor="text1"/>
          <w:lang w:val="es-CO" w:eastAsia="x-none"/>
        </w:rPr>
        <w:t xml:space="preserve">Para el registro de dichos contratos y la publicación de información sobre los mismos,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bCs/>
          <w:color w:val="000000" w:themeColor="text1"/>
          <w:lang w:val="es-CO" w:eastAsia="x-none"/>
        </w:rPr>
        <w:t>del Mercado se sujetará a las siguientes disposiciones:</w:t>
      </w:r>
    </w:p>
    <w:p w14:paraId="11D2D8C1" w14:textId="77777777" w:rsidR="0006302B" w:rsidRPr="000B70FC" w:rsidRDefault="0006302B" w:rsidP="0006302B">
      <w:pPr>
        <w:pStyle w:val="ARTICULOS"/>
        <w:numPr>
          <w:ilvl w:val="0"/>
          <w:numId w:val="0"/>
        </w:numPr>
        <w:rPr>
          <w:color w:val="000000" w:themeColor="text1"/>
          <w:sz w:val="28"/>
          <w:lang w:val="es-CO"/>
        </w:rPr>
      </w:pPr>
    </w:p>
    <w:p w14:paraId="60D21A83" w14:textId="4D26D7F9" w:rsidR="0006302B" w:rsidRPr="000B70FC" w:rsidRDefault="0006302B" w:rsidP="00A4790E">
      <w:pPr>
        <w:numPr>
          <w:ilvl w:val="0"/>
          <w:numId w:val="43"/>
        </w:numPr>
        <w:autoSpaceDE w:val="0"/>
        <w:autoSpaceDN w:val="0"/>
        <w:adjustRightInd w:val="0"/>
        <w:ind w:left="1134" w:hanging="567"/>
        <w:jc w:val="both"/>
        <w:rPr>
          <w:rFonts w:ascii="Bookman Old Style" w:hAnsi="Bookman Old Style" w:cs="Arial"/>
          <w:color w:val="000000" w:themeColor="text1"/>
          <w:lang w:val="es-CO"/>
        </w:rPr>
      </w:pPr>
      <w:r w:rsidRPr="000B70FC">
        <w:rPr>
          <w:rFonts w:ascii="Bookman Old Style" w:hAnsi="Bookman Old Style" w:cs="Arial"/>
          <w:color w:val="000000" w:themeColor="text1"/>
          <w:lang w:val="es-CO"/>
        </w:rPr>
        <w:t>Registro de contratos y publicación de información declarada por los comercializadore</w:t>
      </w:r>
      <w:r w:rsidRPr="009F7684">
        <w:rPr>
          <w:rFonts w:ascii="Bookman Old Style" w:hAnsi="Bookman Old Style" w:cs="Arial"/>
          <w:color w:val="000000" w:themeColor="text1"/>
          <w:lang w:val="es-CO"/>
        </w:rPr>
        <w:t>s</w:t>
      </w:r>
      <w:r w:rsidR="009F7684" w:rsidRPr="002D5416">
        <w:rPr>
          <w:rFonts w:ascii="Bookman Old Style" w:hAnsi="Bookman Old Style" w:cs="Arial"/>
          <w:color w:val="000000" w:themeColor="text1"/>
          <w:lang w:val="es-CO"/>
        </w:rPr>
        <w:t>.</w:t>
      </w:r>
      <w:r w:rsidRPr="009F7684">
        <w:rPr>
          <w:rFonts w:ascii="Bookman Old Style" w:hAnsi="Bookman Old Style" w:cs="Arial"/>
          <w:b/>
          <w:bCs/>
          <w:color w:val="000000" w:themeColor="text1"/>
          <w:lang w:val="es-CO"/>
        </w:rPr>
        <w:t xml:space="preserve"> </w:t>
      </w:r>
    </w:p>
    <w:p w14:paraId="774FFF7C" w14:textId="77777777" w:rsidR="0006302B" w:rsidRPr="000B70FC"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53092777" w14:textId="6BB8BE0E" w:rsidR="0006302B" w:rsidRPr="000B70FC" w:rsidRDefault="0006302B" w:rsidP="0006302B">
      <w:pPr>
        <w:autoSpaceDE w:val="0"/>
        <w:autoSpaceDN w:val="0"/>
        <w:adjustRightInd w:val="0"/>
        <w:ind w:left="1134"/>
        <w:jc w:val="both"/>
        <w:rPr>
          <w:rFonts w:ascii="Bookman Old Style" w:hAnsi="Bookman Old Style"/>
          <w:bCs/>
          <w:color w:val="000000" w:themeColor="text1"/>
          <w:lang w:val="es-CO" w:eastAsia="x-none"/>
        </w:rPr>
      </w:pPr>
      <w:r w:rsidRPr="000B70FC">
        <w:rPr>
          <w:rFonts w:ascii="Bookman Old Style" w:hAnsi="Bookman Old Style"/>
          <w:bCs/>
          <w:color w:val="000000" w:themeColor="text1"/>
          <w:lang w:val="es-CO" w:eastAsia="x-none"/>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bCs/>
          <w:color w:val="000000" w:themeColor="text1"/>
          <w:lang w:val="es-CO" w:eastAsia="x-none"/>
        </w:rPr>
        <w:t xml:space="preserve">del Mercado registrará los contratos con base en la </w:t>
      </w:r>
      <w:r w:rsidRPr="000B70FC">
        <w:rPr>
          <w:rFonts w:ascii="Bookman Old Style" w:hAnsi="Bookman Old Style" w:cs="Arial"/>
          <w:color w:val="000000" w:themeColor="text1"/>
          <w:lang w:val="es-CO"/>
        </w:rPr>
        <w:t xml:space="preserve">información declarada por los comercializadores y una vez haya verificado que el comercializador respectivo ha dado aviso del inicio de actividades. </w:t>
      </w:r>
      <w:r w:rsidRPr="000B70FC">
        <w:rPr>
          <w:rFonts w:ascii="Bookman Old Style" w:hAnsi="Bookman Old Style"/>
          <w:bCs/>
          <w:color w:val="000000" w:themeColor="text1"/>
          <w:lang w:val="es-CO" w:eastAsia="x-none"/>
        </w:rPr>
        <w:t>Con base en dicha información</w:t>
      </w:r>
      <w:r w:rsidRPr="000B70FC">
        <w:rPr>
          <w:rFonts w:ascii="Bookman Old Style" w:hAnsi="Bookman Old Style"/>
          <w:color w:val="000000" w:themeColor="text1"/>
          <w:lang w:val="es-CO"/>
        </w:rPr>
        <w:t>, el</w:t>
      </w:r>
      <w:r w:rsidR="009F7684" w:rsidRPr="009F7684">
        <w:rPr>
          <w:rFonts w:ascii="Bookman Old Style" w:hAnsi="Bookman Old Style"/>
          <w:u w:color="FF0000"/>
          <w:lang w:val="es-CO"/>
        </w:rPr>
        <w:t xml:space="preserve">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Pr>
          <w:rFonts w:ascii="Bookman Old Style" w:hAnsi="Bookman Old Style"/>
          <w:u w:color="FF0000"/>
          <w:lang w:val="es-CO"/>
        </w:rPr>
        <w:t xml:space="preserve"> </w:t>
      </w:r>
      <w:r w:rsidRPr="000B70FC">
        <w:rPr>
          <w:rFonts w:ascii="Bookman Old Style" w:hAnsi="Bookman Old Style"/>
          <w:color w:val="000000" w:themeColor="text1"/>
          <w:lang w:val="es-CO"/>
        </w:rPr>
        <w:t xml:space="preserve">del Mercado </w:t>
      </w:r>
      <w:r w:rsidRPr="000B70FC">
        <w:rPr>
          <w:rFonts w:ascii="Bookman Old Style" w:hAnsi="Bookman Old Style"/>
          <w:bCs/>
          <w:color w:val="000000" w:themeColor="text1"/>
          <w:lang w:val="es-CO" w:eastAsia="x-none"/>
        </w:rPr>
        <w:t>publicará lo siguiente en el BEC, el quinto día hábil de cada mes:</w:t>
      </w:r>
    </w:p>
    <w:p w14:paraId="213BDDF8" w14:textId="77777777" w:rsidR="0006302B" w:rsidRPr="000B70FC" w:rsidRDefault="0006302B" w:rsidP="0006302B">
      <w:pPr>
        <w:pStyle w:val="Prrafodelista"/>
        <w:ind w:left="1134"/>
        <w:contextualSpacing/>
        <w:jc w:val="both"/>
        <w:rPr>
          <w:rFonts w:ascii="Bookman Old Style" w:hAnsi="Bookman Old Style" w:cs="Arial"/>
          <w:color w:val="000000" w:themeColor="text1"/>
          <w:sz w:val="24"/>
          <w:szCs w:val="24"/>
          <w:lang w:eastAsia="es-ES"/>
        </w:rPr>
      </w:pPr>
    </w:p>
    <w:p w14:paraId="10BF2F7D" w14:textId="78C79BB0" w:rsidR="0006302B" w:rsidRPr="00F35079" w:rsidRDefault="0006302B" w:rsidP="00A4790E">
      <w:pPr>
        <w:pStyle w:val="Prrafodelista"/>
        <w:numPr>
          <w:ilvl w:val="0"/>
          <w:numId w:val="31"/>
        </w:numPr>
        <w:ind w:left="1701" w:hanging="567"/>
        <w:contextualSpacing/>
        <w:jc w:val="both"/>
        <w:rPr>
          <w:rFonts w:ascii="Bookman Old Style" w:hAnsi="Bookman Old Style" w:cs="Arial"/>
          <w:b/>
          <w:bCs/>
          <w:color w:val="000000" w:themeColor="text1"/>
          <w:sz w:val="24"/>
          <w:szCs w:val="24"/>
          <w:lang w:eastAsia="es-ES"/>
        </w:rPr>
      </w:pPr>
      <w:r w:rsidRPr="002D5416">
        <w:rPr>
          <w:rFonts w:ascii="Bookman Old Style" w:hAnsi="Bookman Old Style" w:cs="Arial"/>
          <w:color w:val="000000" w:themeColor="text1"/>
          <w:sz w:val="24"/>
          <w:szCs w:val="24"/>
          <w:lang w:eastAsia="es-ES"/>
        </w:rPr>
        <w:t>El precio promedio, ponderado por cantidades, al que se vendió gas natural a usuarios no regulados</w:t>
      </w:r>
      <w:r w:rsidRPr="00F35079">
        <w:rPr>
          <w:rFonts w:ascii="Bookman Old Style" w:hAnsi="Bookman Old Style" w:cs="Arial"/>
          <w:b/>
          <w:bCs/>
          <w:color w:val="000000" w:themeColor="text1"/>
          <w:sz w:val="24"/>
          <w:szCs w:val="24"/>
          <w:lang w:eastAsia="es-ES"/>
        </w:rPr>
        <w:t xml:space="preserve">, por Punto de Salida del SNT o Mercado Relevante de Comercialización, según donde esté conectado dicho Usuario, el municipio y departamento donde el UNR se encuentre conectado al Sistema de Distribución, durante el mes calendario anterior. </w:t>
      </w:r>
      <w:r w:rsidRPr="002D5416">
        <w:rPr>
          <w:rFonts w:ascii="Bookman Old Style" w:hAnsi="Bookman Old Style" w:cs="Arial"/>
          <w:color w:val="000000" w:themeColor="text1"/>
          <w:sz w:val="24"/>
          <w:szCs w:val="24"/>
          <w:lang w:eastAsia="es-ES"/>
        </w:rPr>
        <w:t>Este valor se expresará en dólares de los Estados Unidos de América por MBTU</w:t>
      </w:r>
      <w:r w:rsidR="00643D72" w:rsidRPr="002D5416">
        <w:rPr>
          <w:rFonts w:ascii="Bookman Old Style" w:hAnsi="Bookman Old Style" w:cs="Arial"/>
          <w:color w:val="000000" w:themeColor="text1"/>
          <w:sz w:val="24"/>
          <w:szCs w:val="24"/>
          <w:lang w:eastAsia="es-ES"/>
        </w:rPr>
        <w:t>,</w:t>
      </w:r>
      <w:r w:rsidR="00643D72">
        <w:rPr>
          <w:rFonts w:ascii="Bookman Old Style" w:hAnsi="Bookman Old Style" w:cs="Arial"/>
          <w:b/>
          <w:bCs/>
          <w:color w:val="000000" w:themeColor="text1"/>
          <w:sz w:val="24"/>
          <w:szCs w:val="24"/>
          <w:lang w:eastAsia="es-ES"/>
        </w:rPr>
        <w:t xml:space="preserve"> desagregando el costo de transporte y el de </w:t>
      </w:r>
      <w:r w:rsidR="003A04F5">
        <w:rPr>
          <w:rFonts w:ascii="Bookman Old Style" w:hAnsi="Bookman Old Style" w:cs="Arial"/>
          <w:b/>
          <w:bCs/>
          <w:color w:val="000000" w:themeColor="text1"/>
          <w:sz w:val="24"/>
          <w:szCs w:val="24"/>
          <w:lang w:eastAsia="es-ES"/>
        </w:rPr>
        <w:t>d</w:t>
      </w:r>
      <w:r w:rsidR="00643D72">
        <w:rPr>
          <w:rFonts w:ascii="Bookman Old Style" w:hAnsi="Bookman Old Style" w:cs="Arial"/>
          <w:b/>
          <w:bCs/>
          <w:color w:val="000000" w:themeColor="text1"/>
          <w:sz w:val="24"/>
          <w:szCs w:val="24"/>
          <w:lang w:eastAsia="es-ES"/>
        </w:rPr>
        <w:t>istribución.</w:t>
      </w:r>
    </w:p>
    <w:p w14:paraId="118D9153" w14:textId="77777777" w:rsidR="0006302B" w:rsidRPr="00F35079" w:rsidRDefault="0006302B" w:rsidP="0006302B">
      <w:pPr>
        <w:pStyle w:val="Prrafodelista"/>
        <w:ind w:left="1701" w:hanging="567"/>
        <w:contextualSpacing/>
        <w:jc w:val="both"/>
        <w:rPr>
          <w:rFonts w:ascii="Bookman Old Style" w:hAnsi="Bookman Old Style" w:cs="Arial"/>
          <w:b/>
          <w:bCs/>
          <w:color w:val="000000" w:themeColor="text1"/>
          <w:sz w:val="24"/>
          <w:szCs w:val="24"/>
          <w:lang w:eastAsia="es-ES"/>
        </w:rPr>
      </w:pPr>
    </w:p>
    <w:p w14:paraId="774703F8" w14:textId="1CACBA75" w:rsidR="000246BF" w:rsidRPr="00F35079" w:rsidRDefault="0006302B" w:rsidP="00A4790E">
      <w:pPr>
        <w:pStyle w:val="Prrafodelista"/>
        <w:numPr>
          <w:ilvl w:val="0"/>
          <w:numId w:val="31"/>
        </w:numPr>
        <w:ind w:left="1701" w:hanging="567"/>
        <w:contextualSpacing/>
        <w:jc w:val="both"/>
        <w:rPr>
          <w:rFonts w:ascii="Bookman Old Style" w:hAnsi="Bookman Old Style" w:cs="Arial"/>
          <w:b/>
          <w:bCs/>
          <w:color w:val="000000" w:themeColor="text1"/>
          <w:sz w:val="24"/>
          <w:szCs w:val="24"/>
          <w:lang w:eastAsia="es-ES"/>
        </w:rPr>
      </w:pPr>
      <w:r w:rsidRPr="000B70FC">
        <w:rPr>
          <w:rFonts w:ascii="Bookman Old Style" w:hAnsi="Bookman Old Style" w:cs="Arial"/>
          <w:color w:val="000000" w:themeColor="text1"/>
          <w:sz w:val="24"/>
          <w:szCs w:val="24"/>
          <w:lang w:eastAsia="es-ES"/>
        </w:rPr>
        <w:t xml:space="preserve">El precio mínimo y el precio máximo a los que se vendió el gas natural a usuarios no regulados, </w:t>
      </w:r>
      <w:r w:rsidRPr="00317952">
        <w:rPr>
          <w:rFonts w:ascii="Bookman Old Style" w:hAnsi="Bookman Old Style" w:cs="Arial"/>
          <w:b/>
          <w:bCs/>
          <w:color w:val="000000" w:themeColor="text1"/>
          <w:sz w:val="24"/>
          <w:szCs w:val="24"/>
          <w:lang w:eastAsia="es-ES"/>
        </w:rPr>
        <w:t>por Punto de salida al SNT, por mercado relevante de comercialización, por municipio y departamento, donde el UNR se encuentre conectado al sistema de Distribución,</w:t>
      </w:r>
      <w:r w:rsidRPr="000B70FC">
        <w:rPr>
          <w:rFonts w:ascii="Bookman Old Style" w:hAnsi="Bookman Old Style" w:cs="Arial"/>
          <w:color w:val="000000" w:themeColor="text1"/>
          <w:sz w:val="24"/>
          <w:szCs w:val="24"/>
          <w:lang w:eastAsia="es-ES"/>
        </w:rPr>
        <w:t xml:space="preserve"> durante el mes calendario anterior. Estos valores se expresarán en dólares de los Estados Unidos de América por MBTU</w:t>
      </w:r>
      <w:r w:rsidR="000246BF">
        <w:rPr>
          <w:rFonts w:ascii="Bookman Old Style" w:hAnsi="Bookman Old Style" w:cs="Arial"/>
          <w:color w:val="000000" w:themeColor="text1"/>
          <w:sz w:val="24"/>
          <w:szCs w:val="24"/>
          <w:lang w:eastAsia="es-ES"/>
        </w:rPr>
        <w:t xml:space="preserve">, </w:t>
      </w:r>
      <w:r w:rsidR="000246BF">
        <w:rPr>
          <w:rFonts w:ascii="Bookman Old Style" w:hAnsi="Bookman Old Style" w:cs="Arial"/>
          <w:b/>
          <w:bCs/>
          <w:color w:val="000000" w:themeColor="text1"/>
          <w:sz w:val="24"/>
          <w:szCs w:val="24"/>
          <w:lang w:eastAsia="es-ES"/>
        </w:rPr>
        <w:t xml:space="preserve">desagregando el costo de transporte y el de </w:t>
      </w:r>
      <w:r w:rsidR="00D83C8B">
        <w:rPr>
          <w:rFonts w:ascii="Bookman Old Style" w:hAnsi="Bookman Old Style" w:cs="Arial"/>
          <w:b/>
          <w:bCs/>
          <w:color w:val="000000" w:themeColor="text1"/>
          <w:sz w:val="24"/>
          <w:szCs w:val="24"/>
          <w:lang w:eastAsia="es-ES"/>
        </w:rPr>
        <w:t>d</w:t>
      </w:r>
      <w:r w:rsidR="000246BF">
        <w:rPr>
          <w:rFonts w:ascii="Bookman Old Style" w:hAnsi="Bookman Old Style" w:cs="Arial"/>
          <w:b/>
          <w:bCs/>
          <w:color w:val="000000" w:themeColor="text1"/>
          <w:sz w:val="24"/>
          <w:szCs w:val="24"/>
          <w:lang w:eastAsia="es-ES"/>
        </w:rPr>
        <w:t>istribución.</w:t>
      </w:r>
    </w:p>
    <w:p w14:paraId="7F0CD87E" w14:textId="2979D660" w:rsidR="0006302B" w:rsidRPr="000B70FC" w:rsidRDefault="0006302B" w:rsidP="00191320">
      <w:pPr>
        <w:pStyle w:val="Prrafodelista"/>
        <w:ind w:left="1701"/>
        <w:contextualSpacing/>
        <w:jc w:val="both"/>
        <w:rPr>
          <w:rFonts w:ascii="Bookman Old Style" w:hAnsi="Bookman Old Style" w:cs="Arial"/>
          <w:color w:val="000000" w:themeColor="text1"/>
          <w:sz w:val="24"/>
          <w:szCs w:val="24"/>
          <w:lang w:eastAsia="es-ES"/>
        </w:rPr>
      </w:pPr>
    </w:p>
    <w:p w14:paraId="14EBA6E2" w14:textId="77777777" w:rsidR="0006302B" w:rsidRPr="000B70FC" w:rsidRDefault="0006302B" w:rsidP="00A4790E">
      <w:pPr>
        <w:numPr>
          <w:ilvl w:val="0"/>
          <w:numId w:val="43"/>
        </w:numPr>
        <w:autoSpaceDE w:val="0"/>
        <w:autoSpaceDN w:val="0"/>
        <w:adjustRightInd w:val="0"/>
        <w:ind w:left="1134" w:hanging="567"/>
        <w:jc w:val="both"/>
        <w:rPr>
          <w:rFonts w:ascii="Bookman Old Style" w:hAnsi="Bookman Old Style" w:cs="Arial"/>
          <w:color w:val="000000" w:themeColor="text1"/>
          <w:lang w:val="es-CO"/>
        </w:rPr>
      </w:pPr>
      <w:r w:rsidRPr="000B70FC">
        <w:rPr>
          <w:rFonts w:ascii="Bookman Old Style" w:hAnsi="Bookman Old Style" w:cs="Arial"/>
          <w:color w:val="000000" w:themeColor="text1"/>
          <w:lang w:val="es-CO"/>
        </w:rPr>
        <w:t>Información declarada por los usuarios no regulados</w:t>
      </w:r>
    </w:p>
    <w:p w14:paraId="2F6DDBE8" w14:textId="77777777" w:rsidR="0006302B" w:rsidRPr="000B70FC"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249A28C7" w14:textId="64A7CA49" w:rsidR="0006302B" w:rsidRPr="000B70FC" w:rsidRDefault="0006302B" w:rsidP="0006302B">
      <w:pPr>
        <w:autoSpaceDE w:val="0"/>
        <w:autoSpaceDN w:val="0"/>
        <w:adjustRightInd w:val="0"/>
        <w:ind w:left="1134"/>
        <w:jc w:val="both"/>
        <w:rPr>
          <w:rFonts w:ascii="Bookman Old Style" w:hAnsi="Bookman Old Style"/>
          <w:bCs/>
          <w:color w:val="000000" w:themeColor="text1"/>
          <w:lang w:val="es-CO" w:eastAsia="x-none"/>
        </w:rPr>
      </w:pPr>
      <w:r w:rsidRPr="000B70FC">
        <w:rPr>
          <w:rFonts w:ascii="Bookman Old Style" w:hAnsi="Bookman Old Style"/>
          <w:bCs/>
          <w:color w:val="000000" w:themeColor="text1"/>
          <w:lang w:val="es-CO" w:eastAsia="x-none"/>
        </w:rPr>
        <w:t xml:space="preserve">Cuando los usuarios </w:t>
      </w:r>
      <w:r w:rsidRPr="000B70FC">
        <w:rPr>
          <w:rFonts w:ascii="Bookman Old Style" w:hAnsi="Bookman Old Style"/>
          <w:color w:val="000000" w:themeColor="text1"/>
          <w:lang w:val="es-CO"/>
        </w:rPr>
        <w:t>no regulados</w:t>
      </w:r>
      <w:r w:rsidRPr="000B70FC">
        <w:rPr>
          <w:rFonts w:ascii="Bookman Old Style" w:hAnsi="Bookman Old Style"/>
          <w:bCs/>
          <w:color w:val="000000" w:themeColor="text1"/>
          <w:lang w:val="es-CO" w:eastAsia="x-none"/>
        </w:rPr>
        <w:t xml:space="preserve"> declaren información sobre los contratos suscritos con los </w:t>
      </w:r>
      <w:r>
        <w:rPr>
          <w:rFonts w:ascii="Bookman Old Style" w:hAnsi="Bookman Old Style"/>
          <w:bCs/>
          <w:color w:val="000000" w:themeColor="text1"/>
          <w:lang w:val="es-CO" w:eastAsia="x-none"/>
        </w:rPr>
        <w:t>C</w:t>
      </w:r>
      <w:r w:rsidRPr="000B70FC">
        <w:rPr>
          <w:rFonts w:ascii="Bookman Old Style" w:hAnsi="Bookman Old Style"/>
          <w:bCs/>
          <w:color w:val="000000" w:themeColor="text1"/>
          <w:lang w:val="es-CO" w:eastAsia="x-none"/>
        </w:rPr>
        <w:t xml:space="preserve">omercializadores,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0B70FC">
        <w:rPr>
          <w:rFonts w:ascii="Bookman Old Style" w:hAnsi="Bookman Old Style"/>
          <w:bCs/>
          <w:color w:val="000000" w:themeColor="text1"/>
          <w:lang w:val="es-CO" w:eastAsia="x-none"/>
        </w:rPr>
        <w:t xml:space="preserve">del Mercado </w:t>
      </w:r>
      <w:r w:rsidRPr="000B70FC">
        <w:rPr>
          <w:rFonts w:ascii="Bookman Old Style" w:hAnsi="Bookman Old Style"/>
          <w:bCs/>
          <w:color w:val="000000" w:themeColor="text1"/>
          <w:lang w:val="es-CO" w:eastAsia="x-none"/>
        </w:rPr>
        <w:lastRenderedPageBreak/>
        <w:t xml:space="preserve">verificará </w:t>
      </w:r>
      <w:r w:rsidRPr="000B70FC">
        <w:rPr>
          <w:rFonts w:ascii="Bookman Old Style" w:hAnsi="Bookman Old Style"/>
          <w:color w:val="000000" w:themeColor="text1"/>
          <w:lang w:val="es-CO"/>
        </w:rPr>
        <w:t xml:space="preserve">la consistencia entre ésta y la información declarada por los comercializadores. </w:t>
      </w:r>
      <w:r w:rsidRPr="000B70FC">
        <w:rPr>
          <w:rFonts w:ascii="Bookman Old Style" w:hAnsi="Bookman Old Style"/>
          <w:bCs/>
          <w:color w:val="000000" w:themeColor="text1"/>
          <w:lang w:val="es-CO" w:eastAsia="x-none"/>
        </w:rPr>
        <w:t>Con base en la información consistente</w:t>
      </w:r>
      <w:r w:rsidRPr="000B70FC">
        <w:rPr>
          <w:rFonts w:ascii="Bookman Old Style" w:hAnsi="Bookman Old Style"/>
          <w:color w:val="000000" w:themeColor="text1"/>
          <w:lang w:val="es-CO"/>
        </w:rPr>
        <w:t xml:space="preserv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Pr="000B70FC">
        <w:rPr>
          <w:rFonts w:ascii="Bookman Old Style" w:hAnsi="Bookman Old Style"/>
          <w:color w:val="000000" w:themeColor="text1"/>
          <w:lang w:val="es-CO"/>
        </w:rPr>
        <w:t xml:space="preserve"> del Mercado </w:t>
      </w:r>
      <w:r w:rsidRPr="000B70FC">
        <w:rPr>
          <w:rFonts w:ascii="Bookman Old Style" w:hAnsi="Bookman Old Style"/>
          <w:bCs/>
          <w:color w:val="000000" w:themeColor="text1"/>
          <w:lang w:val="es-CO" w:eastAsia="x-none"/>
        </w:rPr>
        <w:t>publicará la siguiente información en el BEC, el quinto día hábil de cada mes:</w:t>
      </w:r>
    </w:p>
    <w:p w14:paraId="491B176F" w14:textId="77777777" w:rsidR="0006302B" w:rsidRPr="000B70FC" w:rsidRDefault="0006302B" w:rsidP="0006302B">
      <w:pPr>
        <w:pStyle w:val="Prrafodelista"/>
        <w:ind w:left="1134"/>
        <w:contextualSpacing/>
        <w:jc w:val="both"/>
        <w:rPr>
          <w:rFonts w:ascii="Bookman Old Style" w:hAnsi="Bookman Old Style" w:cs="Arial"/>
          <w:color w:val="000000" w:themeColor="text1"/>
          <w:sz w:val="24"/>
          <w:szCs w:val="24"/>
          <w:lang w:eastAsia="es-ES"/>
        </w:rPr>
      </w:pPr>
    </w:p>
    <w:p w14:paraId="726F62FB" w14:textId="06FEBE25" w:rsidR="000246BF" w:rsidRPr="00F35079" w:rsidRDefault="0006302B" w:rsidP="00A4790E">
      <w:pPr>
        <w:pStyle w:val="Prrafodelista"/>
        <w:numPr>
          <w:ilvl w:val="0"/>
          <w:numId w:val="31"/>
        </w:numPr>
        <w:ind w:left="1701" w:hanging="567"/>
        <w:contextualSpacing/>
        <w:jc w:val="both"/>
        <w:rPr>
          <w:rFonts w:ascii="Bookman Old Style" w:hAnsi="Bookman Old Style" w:cs="Arial"/>
          <w:b/>
          <w:bCs/>
          <w:color w:val="000000" w:themeColor="text1"/>
          <w:sz w:val="24"/>
          <w:szCs w:val="24"/>
          <w:lang w:eastAsia="es-ES"/>
        </w:rPr>
      </w:pPr>
      <w:r w:rsidRPr="000B70FC">
        <w:rPr>
          <w:rFonts w:ascii="Bookman Old Style" w:hAnsi="Bookman Old Style" w:cs="Arial"/>
          <w:color w:val="000000" w:themeColor="text1"/>
          <w:sz w:val="24"/>
          <w:szCs w:val="24"/>
          <w:lang w:eastAsia="es-ES"/>
        </w:rPr>
        <w:t>El precio promedio</w:t>
      </w:r>
      <w:r w:rsidRPr="00BA61F6">
        <w:rPr>
          <w:rFonts w:ascii="Bookman Old Style" w:hAnsi="Bookman Old Style" w:cs="Arial"/>
          <w:b/>
          <w:bCs/>
          <w:color w:val="000000" w:themeColor="text1"/>
          <w:sz w:val="24"/>
          <w:szCs w:val="24"/>
          <w:lang w:eastAsia="es-ES"/>
        </w:rPr>
        <w:t>,</w:t>
      </w:r>
      <w:r w:rsidRPr="000B70FC">
        <w:rPr>
          <w:rFonts w:ascii="Bookman Old Style" w:hAnsi="Bookman Old Style" w:cs="Arial"/>
          <w:color w:val="000000" w:themeColor="text1"/>
          <w:sz w:val="24"/>
          <w:szCs w:val="24"/>
          <w:lang w:eastAsia="es-ES"/>
        </w:rPr>
        <w:t xml:space="preserve"> ponderado por cantidades, al que se vendió gas natural a usuarios no regulados, </w:t>
      </w:r>
      <w:r w:rsidRPr="00BA61F6">
        <w:rPr>
          <w:rFonts w:ascii="Bookman Old Style" w:hAnsi="Bookman Old Style" w:cs="Arial"/>
          <w:b/>
          <w:bCs/>
          <w:color w:val="000000" w:themeColor="text1"/>
          <w:sz w:val="24"/>
          <w:szCs w:val="24"/>
          <w:lang w:eastAsia="es-ES"/>
        </w:rPr>
        <w:t>por Punto de salida del SNT, por mercado relevante de distribución</w:t>
      </w:r>
      <w:r>
        <w:rPr>
          <w:rFonts w:ascii="Bookman Old Style" w:hAnsi="Bookman Old Style" w:cs="Arial"/>
          <w:color w:val="000000" w:themeColor="text1"/>
          <w:sz w:val="24"/>
          <w:szCs w:val="24"/>
          <w:lang w:eastAsia="es-ES"/>
        </w:rPr>
        <w:t xml:space="preserve">, </w:t>
      </w:r>
      <w:r w:rsidRPr="000B70FC">
        <w:rPr>
          <w:rFonts w:ascii="Bookman Old Style" w:hAnsi="Bookman Old Style" w:cs="Arial"/>
          <w:color w:val="000000" w:themeColor="text1"/>
          <w:sz w:val="24"/>
          <w:szCs w:val="24"/>
          <w:lang w:eastAsia="es-ES"/>
        </w:rPr>
        <w:t>por municipio y departamento,</w:t>
      </w:r>
      <w:r>
        <w:rPr>
          <w:rFonts w:ascii="Bookman Old Style" w:hAnsi="Bookman Old Style" w:cs="Arial"/>
          <w:color w:val="000000" w:themeColor="text1"/>
          <w:sz w:val="24"/>
          <w:szCs w:val="24"/>
          <w:lang w:eastAsia="es-ES"/>
        </w:rPr>
        <w:t xml:space="preserve"> </w:t>
      </w:r>
      <w:r w:rsidRPr="006C1FA0">
        <w:rPr>
          <w:rFonts w:ascii="Bookman Old Style" w:hAnsi="Bookman Old Style" w:cs="Arial"/>
          <w:b/>
          <w:bCs/>
          <w:color w:val="000000" w:themeColor="text1"/>
          <w:sz w:val="24"/>
          <w:szCs w:val="24"/>
          <w:lang w:eastAsia="es-ES"/>
        </w:rPr>
        <w:t>donde el UNR se encuentre conectado al Sistema de Distribución,</w:t>
      </w:r>
      <w:r>
        <w:rPr>
          <w:rFonts w:ascii="Bookman Old Style" w:hAnsi="Bookman Old Style" w:cs="Arial"/>
          <w:color w:val="000000" w:themeColor="text1"/>
          <w:sz w:val="24"/>
          <w:szCs w:val="24"/>
          <w:lang w:eastAsia="es-ES"/>
        </w:rPr>
        <w:t xml:space="preserve"> </w:t>
      </w:r>
      <w:r w:rsidRPr="000B70FC">
        <w:rPr>
          <w:rFonts w:ascii="Bookman Old Style" w:hAnsi="Bookman Old Style" w:cs="Arial"/>
          <w:color w:val="000000" w:themeColor="text1"/>
          <w:sz w:val="24"/>
          <w:szCs w:val="24"/>
          <w:lang w:eastAsia="es-ES"/>
        </w:rPr>
        <w:t>durante el mes calendario anterior. Este valor se expresará en dólares de los Estados Unidos de América por MBTU</w:t>
      </w:r>
      <w:r w:rsidR="000246BF">
        <w:rPr>
          <w:rFonts w:ascii="Bookman Old Style" w:hAnsi="Bookman Old Style" w:cs="Arial"/>
          <w:color w:val="000000" w:themeColor="text1"/>
          <w:sz w:val="24"/>
          <w:szCs w:val="24"/>
          <w:lang w:eastAsia="es-ES"/>
        </w:rPr>
        <w:t xml:space="preserve">, </w:t>
      </w:r>
      <w:r w:rsidR="000246BF">
        <w:rPr>
          <w:rFonts w:ascii="Bookman Old Style" w:hAnsi="Bookman Old Style" w:cs="Arial"/>
          <w:b/>
          <w:bCs/>
          <w:color w:val="000000" w:themeColor="text1"/>
          <w:sz w:val="24"/>
          <w:szCs w:val="24"/>
          <w:lang w:eastAsia="es-ES"/>
        </w:rPr>
        <w:t>desagregando el costo de transporte y el de Distribución.</w:t>
      </w:r>
    </w:p>
    <w:p w14:paraId="65B32971" w14:textId="77777777" w:rsidR="0006302B" w:rsidRPr="000B70FC"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3998E60E" w14:textId="5AD8279D" w:rsidR="000246BF" w:rsidRPr="00F35079" w:rsidRDefault="0006302B" w:rsidP="00A4790E">
      <w:pPr>
        <w:pStyle w:val="Prrafodelista"/>
        <w:numPr>
          <w:ilvl w:val="0"/>
          <w:numId w:val="31"/>
        </w:numPr>
        <w:ind w:left="1701" w:hanging="567"/>
        <w:contextualSpacing/>
        <w:jc w:val="both"/>
        <w:rPr>
          <w:rFonts w:ascii="Bookman Old Style" w:hAnsi="Bookman Old Style" w:cs="Arial"/>
          <w:b/>
          <w:bCs/>
          <w:color w:val="000000" w:themeColor="text1"/>
          <w:sz w:val="24"/>
          <w:szCs w:val="24"/>
          <w:lang w:eastAsia="es-ES"/>
        </w:rPr>
      </w:pPr>
      <w:r w:rsidRPr="000B70FC">
        <w:rPr>
          <w:rFonts w:ascii="Bookman Old Style" w:hAnsi="Bookman Old Style" w:cs="Arial"/>
          <w:color w:val="000000" w:themeColor="text1"/>
          <w:sz w:val="24"/>
          <w:szCs w:val="24"/>
          <w:lang w:eastAsia="es-ES"/>
        </w:rPr>
        <w:t xml:space="preserve">El precio mínimo y el precio máximo a los que se vendió gas natural a usuarios no regulados, </w:t>
      </w:r>
      <w:r w:rsidRPr="006C1FA0">
        <w:rPr>
          <w:rFonts w:ascii="Bookman Old Style" w:hAnsi="Bookman Old Style" w:cs="Arial"/>
          <w:b/>
          <w:bCs/>
          <w:color w:val="000000" w:themeColor="text1"/>
          <w:sz w:val="24"/>
          <w:szCs w:val="24"/>
          <w:lang w:eastAsia="es-ES"/>
        </w:rPr>
        <w:t>por Punto de salida del SNT, por mercado relevante de distribución,</w:t>
      </w:r>
      <w:r>
        <w:rPr>
          <w:rFonts w:ascii="Bookman Old Style" w:hAnsi="Bookman Old Style" w:cs="Arial"/>
          <w:color w:val="000000" w:themeColor="text1"/>
          <w:sz w:val="24"/>
          <w:szCs w:val="24"/>
          <w:lang w:eastAsia="es-ES"/>
        </w:rPr>
        <w:t xml:space="preserve"> </w:t>
      </w:r>
      <w:r w:rsidRPr="000B70FC">
        <w:rPr>
          <w:rFonts w:ascii="Bookman Old Style" w:hAnsi="Bookman Old Style" w:cs="Arial"/>
          <w:color w:val="000000" w:themeColor="text1"/>
          <w:sz w:val="24"/>
          <w:szCs w:val="24"/>
          <w:lang w:eastAsia="es-ES"/>
        </w:rPr>
        <w:t>por municipio y departamento,</w:t>
      </w:r>
      <w:r w:rsidRPr="001F5C8F">
        <w:rPr>
          <w:rFonts w:ascii="Bookman Old Style" w:hAnsi="Bookman Old Style" w:cs="Arial"/>
          <w:color w:val="000000" w:themeColor="text1"/>
          <w:sz w:val="24"/>
          <w:szCs w:val="24"/>
          <w:lang w:eastAsia="es-ES"/>
        </w:rPr>
        <w:t xml:space="preserve"> </w:t>
      </w:r>
      <w:r w:rsidRPr="006C1FA0">
        <w:rPr>
          <w:rFonts w:ascii="Bookman Old Style" w:hAnsi="Bookman Old Style" w:cs="Arial"/>
          <w:b/>
          <w:bCs/>
          <w:color w:val="000000" w:themeColor="text1"/>
          <w:sz w:val="24"/>
          <w:szCs w:val="24"/>
          <w:lang w:eastAsia="es-ES"/>
        </w:rPr>
        <w:t>donde el UNR se encuentre conectado al Sistema de Distribución,</w:t>
      </w:r>
      <w:r w:rsidRPr="000B70FC">
        <w:rPr>
          <w:rFonts w:ascii="Bookman Old Style" w:hAnsi="Bookman Old Style" w:cs="Arial"/>
          <w:color w:val="000000" w:themeColor="text1"/>
          <w:sz w:val="24"/>
          <w:szCs w:val="24"/>
          <w:lang w:eastAsia="es-ES"/>
        </w:rPr>
        <w:t xml:space="preserve"> durante el mes calendario anterior. Estos valores se expresarán en dólares de los Estados Unidos de América por MBTU</w:t>
      </w:r>
      <w:r w:rsidR="000246BF">
        <w:rPr>
          <w:rFonts w:ascii="Bookman Old Style" w:hAnsi="Bookman Old Style" w:cs="Arial"/>
          <w:color w:val="000000" w:themeColor="text1"/>
          <w:sz w:val="24"/>
          <w:szCs w:val="24"/>
          <w:lang w:eastAsia="es-ES"/>
        </w:rPr>
        <w:t>,</w:t>
      </w:r>
      <w:r w:rsidR="000246BF" w:rsidRPr="000246BF">
        <w:rPr>
          <w:rFonts w:ascii="Bookman Old Style" w:hAnsi="Bookman Old Style" w:cs="Arial"/>
          <w:b/>
          <w:bCs/>
          <w:color w:val="000000" w:themeColor="text1"/>
          <w:sz w:val="24"/>
          <w:szCs w:val="24"/>
          <w:lang w:eastAsia="es-ES"/>
        </w:rPr>
        <w:t xml:space="preserve"> </w:t>
      </w:r>
      <w:r w:rsidR="000246BF">
        <w:rPr>
          <w:rFonts w:ascii="Bookman Old Style" w:hAnsi="Bookman Old Style" w:cs="Arial"/>
          <w:b/>
          <w:bCs/>
          <w:color w:val="000000" w:themeColor="text1"/>
          <w:sz w:val="24"/>
          <w:szCs w:val="24"/>
          <w:lang w:eastAsia="es-ES"/>
        </w:rPr>
        <w:t>desagregando el costo de transporte y el de Distribución.</w:t>
      </w:r>
    </w:p>
    <w:p w14:paraId="45F21750" w14:textId="77777777" w:rsidR="0006302B" w:rsidRPr="0013707D" w:rsidRDefault="0006302B" w:rsidP="0006302B">
      <w:pPr>
        <w:autoSpaceDE w:val="0"/>
        <w:autoSpaceDN w:val="0"/>
        <w:adjustRightInd w:val="0"/>
        <w:ind w:left="993"/>
        <w:jc w:val="both"/>
        <w:rPr>
          <w:rFonts w:ascii="Bookman Old Style" w:hAnsi="Bookman Old Style"/>
          <w:color w:val="000000" w:themeColor="text1"/>
          <w:lang w:val="es-CO"/>
        </w:rPr>
      </w:pPr>
    </w:p>
    <w:p w14:paraId="73754468" w14:textId="77777777" w:rsidR="0006302B" w:rsidRPr="00183D98" w:rsidRDefault="0006302B" w:rsidP="00A4790E">
      <w:pPr>
        <w:pStyle w:val="ARTICULOS"/>
        <w:keepNext/>
        <w:numPr>
          <w:ilvl w:val="1"/>
          <w:numId w:val="36"/>
        </w:numPr>
        <w:ind w:left="567" w:hanging="567"/>
        <w:rPr>
          <w:b/>
          <w:color w:val="000000" w:themeColor="text1"/>
          <w:lang w:val="es-CO"/>
        </w:rPr>
      </w:pPr>
      <w:bookmarkStart w:id="125" w:name="_Ref337211077"/>
      <w:r w:rsidRPr="00183D98">
        <w:rPr>
          <w:b/>
          <w:color w:val="000000" w:themeColor="text1"/>
          <w:lang w:val="es-CO"/>
        </w:rPr>
        <w:t>Información operativa</w:t>
      </w:r>
      <w:bookmarkEnd w:id="125"/>
    </w:p>
    <w:p w14:paraId="74CE3CA5" w14:textId="77777777" w:rsidR="0006302B" w:rsidRPr="0013707D" w:rsidRDefault="0006302B" w:rsidP="0006302B">
      <w:pPr>
        <w:pStyle w:val="ARTICULOS"/>
        <w:keepNext/>
        <w:numPr>
          <w:ilvl w:val="0"/>
          <w:numId w:val="0"/>
        </w:numPr>
        <w:rPr>
          <w:color w:val="000000" w:themeColor="text1"/>
          <w:lang w:val="es-CO"/>
        </w:rPr>
      </w:pPr>
    </w:p>
    <w:p w14:paraId="26F97151" w14:textId="77777777" w:rsidR="0006302B" w:rsidRPr="0013707D" w:rsidRDefault="0006302B" w:rsidP="00A4790E">
      <w:pPr>
        <w:pStyle w:val="ARTICULOS"/>
        <w:numPr>
          <w:ilvl w:val="1"/>
          <w:numId w:val="32"/>
        </w:numPr>
        <w:ind w:left="567" w:hanging="567"/>
        <w:rPr>
          <w:color w:val="000000" w:themeColor="text1"/>
          <w:lang w:val="es-CO"/>
        </w:rPr>
      </w:pPr>
      <w:bookmarkStart w:id="126" w:name="_Ref357071240"/>
      <w:bookmarkStart w:id="127" w:name="_Ref334804759"/>
      <w:r w:rsidRPr="0013707D">
        <w:rPr>
          <w:color w:val="000000" w:themeColor="text1"/>
          <w:lang w:val="es-CO"/>
        </w:rPr>
        <w:t>Recopilación de información operativa</w:t>
      </w:r>
      <w:bookmarkEnd w:id="126"/>
      <w:r w:rsidRPr="0013707D">
        <w:rPr>
          <w:color w:val="000000" w:themeColor="text1"/>
          <w:lang w:val="es-CO"/>
        </w:rPr>
        <w:t xml:space="preserve"> </w:t>
      </w:r>
    </w:p>
    <w:p w14:paraId="4A7CEF24" w14:textId="77777777" w:rsidR="0006302B" w:rsidRPr="0013707D" w:rsidRDefault="0006302B" w:rsidP="0006302B">
      <w:pPr>
        <w:pStyle w:val="ARTICULOS"/>
        <w:numPr>
          <w:ilvl w:val="0"/>
          <w:numId w:val="0"/>
        </w:numPr>
        <w:rPr>
          <w:color w:val="000000" w:themeColor="text1"/>
          <w:lang w:val="es-CO"/>
        </w:rPr>
      </w:pPr>
    </w:p>
    <w:p w14:paraId="35EF1331" w14:textId="5BE41361"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r w:rsidRPr="0013707D">
        <w:rPr>
          <w:rFonts w:ascii="Bookman Old Style" w:hAnsi="Bookman Old Style"/>
          <w:bCs/>
          <w:color w:val="000000"/>
          <w:lang w:val="es-CO" w:eastAsia="x-none"/>
        </w:rPr>
        <w:t xml:space="preserve">La declaración de la información señalada en el presente numeral se deberá realizar a través del medio y del formato que defina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bCs/>
          <w:color w:val="000000"/>
          <w:lang w:val="es-CO" w:eastAsia="x-none"/>
        </w:rPr>
        <w:t>del Mercado</w:t>
      </w:r>
      <w:r w:rsidRPr="0013707D">
        <w:rPr>
          <w:rFonts w:ascii="Bookman Old Style" w:hAnsi="Bookman Old Style"/>
          <w:bCs/>
          <w:color w:val="000000"/>
          <w:lang w:val="es-CO" w:eastAsia="x-none"/>
        </w:rPr>
        <w:t xml:space="preserve">. Dicha declaración se hará a partir de la fecha en que 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Pr>
          <w:rFonts w:ascii="Bookman Old Style" w:hAnsi="Bookman Old Style"/>
          <w:bCs/>
          <w:color w:val="000000"/>
          <w:lang w:val="es-CO" w:eastAsia="x-none"/>
        </w:rPr>
        <w:t>del Mercado</w:t>
      </w:r>
      <w:r w:rsidRPr="0013707D">
        <w:rPr>
          <w:rFonts w:ascii="Bookman Old Style" w:hAnsi="Bookman Old Style"/>
          <w:bCs/>
          <w:color w:val="000000"/>
          <w:lang w:val="es-CO" w:eastAsia="x-none"/>
        </w:rPr>
        <w:t xml:space="preserve"> inicie la prestación de sus servicios.</w:t>
      </w:r>
    </w:p>
    <w:p w14:paraId="2FC013D9"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p>
    <w:p w14:paraId="76C62586" w14:textId="77777777" w:rsidR="0006302B" w:rsidRPr="006560C0" w:rsidRDefault="0006302B" w:rsidP="0006302B">
      <w:pPr>
        <w:pStyle w:val="ARTICULOS"/>
        <w:numPr>
          <w:ilvl w:val="0"/>
          <w:numId w:val="0"/>
        </w:numPr>
        <w:rPr>
          <w:color w:val="000000" w:themeColor="text1"/>
          <w:lang w:val="es-CO"/>
        </w:rPr>
      </w:pPr>
      <w:r w:rsidRPr="0013707D">
        <w:rPr>
          <w:color w:val="000000"/>
          <w:lang w:val="es-CO"/>
        </w:rPr>
        <w:t xml:space="preserve">La no declaración </w:t>
      </w:r>
      <w:r w:rsidRPr="006560C0">
        <w:rPr>
          <w:color w:val="000000"/>
          <w:lang w:val="es-CO"/>
        </w:rPr>
        <w:t>de la información aquí señalada podrá ser considerada por la autoridad competente como una práctica contraria a la libre competencia. Igual consideración se podrá dar a la declaración reiterada de información inconsistente</w:t>
      </w:r>
      <w:r w:rsidRPr="006560C0">
        <w:rPr>
          <w:bCs w:val="0"/>
          <w:color w:val="000000" w:themeColor="text1"/>
          <w:lang w:val="es-CO"/>
        </w:rPr>
        <w:t>.</w:t>
      </w:r>
    </w:p>
    <w:p w14:paraId="2A9A80A3" w14:textId="77777777" w:rsidR="0006302B" w:rsidRPr="006560C0" w:rsidRDefault="0006302B" w:rsidP="0006302B">
      <w:pPr>
        <w:pStyle w:val="ARTICULOS"/>
        <w:numPr>
          <w:ilvl w:val="0"/>
          <w:numId w:val="0"/>
        </w:numPr>
        <w:rPr>
          <w:color w:val="000000" w:themeColor="text1"/>
          <w:lang w:val="es-CO"/>
        </w:rPr>
      </w:pPr>
    </w:p>
    <w:p w14:paraId="0445C9E8" w14:textId="1216872D" w:rsidR="0006302B" w:rsidRPr="006560C0" w:rsidRDefault="0006302B" w:rsidP="00A4790E">
      <w:pPr>
        <w:numPr>
          <w:ilvl w:val="0"/>
          <w:numId w:val="44"/>
        </w:numPr>
        <w:autoSpaceDE w:val="0"/>
        <w:autoSpaceDN w:val="0"/>
        <w:adjustRightInd w:val="0"/>
        <w:ind w:left="567" w:hanging="567"/>
        <w:jc w:val="both"/>
        <w:rPr>
          <w:rFonts w:ascii="Bookman Old Style" w:hAnsi="Bookman Old Style" w:cs="Arial"/>
          <w:color w:val="000000" w:themeColor="text1"/>
          <w:lang w:val="es-CO"/>
        </w:rPr>
      </w:pPr>
      <w:r w:rsidRPr="006560C0">
        <w:rPr>
          <w:rFonts w:ascii="Bookman Old Style" w:hAnsi="Bookman Old Style" w:cs="Arial"/>
          <w:color w:val="000000" w:themeColor="text1"/>
          <w:lang w:val="es-CO"/>
        </w:rPr>
        <w:t>Suministro</w:t>
      </w:r>
      <w:bookmarkEnd w:id="127"/>
      <w:r w:rsidR="005C20D0" w:rsidRPr="006560C0">
        <w:rPr>
          <w:rFonts w:ascii="Bookman Old Style" w:hAnsi="Bookman Old Style" w:cs="Arial"/>
          <w:color w:val="000000" w:themeColor="text1"/>
          <w:lang w:val="es-CO"/>
        </w:rPr>
        <w:t xml:space="preserve"> </w:t>
      </w:r>
      <w:r w:rsidR="005C20D0" w:rsidRPr="006560C0">
        <w:rPr>
          <w:rFonts w:ascii="Bookman Old Style" w:hAnsi="Bookman Old Style" w:cs="Arial"/>
          <w:b/>
          <w:bCs/>
          <w:color w:val="000000" w:themeColor="text1"/>
          <w:lang w:val="es-CO"/>
        </w:rPr>
        <w:t>en el mercado primario</w:t>
      </w:r>
    </w:p>
    <w:p w14:paraId="045F70D9" w14:textId="77777777" w:rsidR="0006302B" w:rsidRPr="006560C0"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5C78E4B6" w14:textId="03DAF0A1" w:rsidR="0006302B" w:rsidRPr="006560C0" w:rsidRDefault="0006302B" w:rsidP="0006302B">
      <w:pPr>
        <w:autoSpaceDE w:val="0"/>
        <w:autoSpaceDN w:val="0"/>
        <w:adjustRightInd w:val="0"/>
        <w:jc w:val="both"/>
        <w:rPr>
          <w:rFonts w:ascii="Bookman Old Style" w:hAnsi="Bookman Old Style"/>
          <w:bCs/>
          <w:color w:val="000000" w:themeColor="text1"/>
          <w:lang w:val="es-CO" w:eastAsia="x-none"/>
        </w:rPr>
      </w:pPr>
      <w:r w:rsidRPr="006560C0">
        <w:rPr>
          <w:rFonts w:ascii="Bookman Old Style" w:hAnsi="Bookman Old Style"/>
          <w:bCs/>
          <w:color w:val="000000"/>
          <w:lang w:val="es-CO"/>
        </w:rPr>
        <w:t xml:space="preserve">A más tardar a las 12:00 horas del día D+1 </w:t>
      </w:r>
      <w:r w:rsidRPr="006560C0">
        <w:rPr>
          <w:rFonts w:ascii="Bookman Old Style" w:hAnsi="Bookman Old Style"/>
          <w:b/>
          <w:color w:val="000000"/>
          <w:lang w:val="es-CO"/>
        </w:rPr>
        <w:t>los Vendedores del Mercado Primario</w:t>
      </w:r>
      <w:r w:rsidRPr="006560C0">
        <w:rPr>
          <w:rFonts w:ascii="Bookman Old Style" w:hAnsi="Bookman Old Style"/>
          <w:bCs/>
          <w:color w:val="000000"/>
          <w:lang w:val="es-CO"/>
        </w:rPr>
        <w:t xml:space="preserve"> deberán declarar al </w:t>
      </w:r>
      <w:r w:rsidR="009F7684" w:rsidRPr="006560C0">
        <w:rPr>
          <w:rFonts w:ascii="Bookman Old Style" w:hAnsi="Bookman Old Style"/>
          <w:lang w:val="es-CO"/>
        </w:rPr>
        <w:t>Gestor</w:t>
      </w:r>
      <w:r w:rsidR="009F7684" w:rsidRPr="006560C0" w:rsidDel="00E53E99">
        <w:rPr>
          <w:color w:val="FF0000"/>
          <w:sz w:val="28"/>
          <w:lang w:val="es-CO"/>
        </w:rPr>
        <w:t xml:space="preserve"> </w:t>
      </w:r>
      <w:r w:rsidRPr="006560C0">
        <w:rPr>
          <w:rFonts w:ascii="Bookman Old Style" w:hAnsi="Bookman Old Style"/>
          <w:bCs/>
          <w:color w:val="000000"/>
          <w:lang w:val="es-CO"/>
        </w:rPr>
        <w:t>Mercado la siguiente información operativa del día de gas</w:t>
      </w:r>
      <w:r w:rsidRPr="006560C0">
        <w:rPr>
          <w:rFonts w:ascii="Bookman Old Style" w:hAnsi="Bookman Old Style"/>
          <w:bCs/>
          <w:color w:val="000000"/>
          <w:lang w:val="es-CO" w:eastAsia="x-none"/>
        </w:rPr>
        <w:t>:</w:t>
      </w:r>
    </w:p>
    <w:p w14:paraId="24EAF695" w14:textId="77777777" w:rsidR="0006302B" w:rsidRPr="006560C0"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65026B26" w14:textId="623C5B6B" w:rsidR="0006302B" w:rsidRPr="006560C0" w:rsidRDefault="0006302B" w:rsidP="00A4790E">
      <w:pPr>
        <w:pStyle w:val="Prrafodelista"/>
        <w:numPr>
          <w:ilvl w:val="0"/>
          <w:numId w:val="33"/>
        </w:numPr>
        <w:ind w:left="993" w:hanging="426"/>
        <w:contextualSpacing/>
        <w:jc w:val="both"/>
        <w:rPr>
          <w:rFonts w:ascii="Bookman Old Style" w:hAnsi="Bookman Old Style" w:cs="Arial"/>
          <w:color w:val="000000" w:themeColor="text1"/>
          <w:sz w:val="24"/>
          <w:szCs w:val="24"/>
          <w:lang w:eastAsia="es-ES"/>
        </w:rPr>
      </w:pPr>
      <w:r w:rsidRPr="006560C0">
        <w:rPr>
          <w:rFonts w:ascii="Bookman Old Style" w:hAnsi="Bookman Old Style" w:cs="Arial"/>
          <w:color w:val="000000"/>
          <w:sz w:val="24"/>
          <w:szCs w:val="24"/>
        </w:rPr>
        <w:t xml:space="preserve">Cantidad total de energía </w:t>
      </w:r>
      <w:r w:rsidR="00D37DB4" w:rsidRPr="006560C0">
        <w:rPr>
          <w:rFonts w:ascii="Bookman Old Style" w:hAnsi="Bookman Old Style" w:cs="Arial"/>
          <w:color w:val="000000"/>
          <w:sz w:val="24"/>
          <w:szCs w:val="24"/>
        </w:rPr>
        <w:t>inyectada</w:t>
      </w:r>
      <w:r w:rsidRPr="006560C0">
        <w:rPr>
          <w:rFonts w:ascii="Bookman Old Style" w:hAnsi="Bookman Old Style" w:cs="Arial"/>
          <w:color w:val="000000"/>
          <w:sz w:val="24"/>
          <w:szCs w:val="24"/>
        </w:rPr>
        <w:t xml:space="preserve"> en cada</w:t>
      </w:r>
      <w:r w:rsidR="00655F6E" w:rsidRPr="006560C0">
        <w:rPr>
          <w:rFonts w:ascii="Bookman Old Style" w:hAnsi="Bookman Old Style" w:cs="Arial"/>
          <w:color w:val="000000"/>
          <w:sz w:val="24"/>
          <w:szCs w:val="24"/>
        </w:rPr>
        <w:t xml:space="preserve"> </w:t>
      </w:r>
      <w:r w:rsidR="00D37DB4" w:rsidRPr="006560C0">
        <w:rPr>
          <w:rFonts w:ascii="Bookman Old Style" w:hAnsi="Bookman Old Style" w:cs="Arial"/>
          <w:color w:val="000000"/>
          <w:sz w:val="24"/>
          <w:szCs w:val="24"/>
        </w:rPr>
        <w:t>punto de entrada al SNT</w:t>
      </w:r>
      <w:r w:rsidRPr="006560C0">
        <w:rPr>
          <w:rFonts w:ascii="Bookman Old Style" w:hAnsi="Bookman Old Style" w:cs="Arial"/>
          <w:color w:val="000000"/>
          <w:sz w:val="24"/>
          <w:szCs w:val="24"/>
        </w:rPr>
        <w:t>, expresada en MBTU.</w:t>
      </w:r>
    </w:p>
    <w:p w14:paraId="02926D7C" w14:textId="77777777" w:rsidR="00D37DB4" w:rsidRPr="006560C0" w:rsidRDefault="00D37DB4" w:rsidP="00D37DB4">
      <w:pPr>
        <w:pStyle w:val="Prrafodelista"/>
        <w:ind w:left="993"/>
        <w:contextualSpacing/>
        <w:jc w:val="both"/>
        <w:rPr>
          <w:rFonts w:ascii="Bookman Old Style" w:hAnsi="Bookman Old Style" w:cs="Arial"/>
          <w:b/>
          <w:bCs/>
          <w:color w:val="000000" w:themeColor="text1"/>
          <w:sz w:val="24"/>
          <w:szCs w:val="24"/>
          <w:lang w:eastAsia="es-ES"/>
        </w:rPr>
      </w:pPr>
    </w:p>
    <w:p w14:paraId="6153C531" w14:textId="18252478" w:rsidR="00D37DB4" w:rsidRPr="006560C0" w:rsidRDefault="00D37DB4" w:rsidP="00A4790E">
      <w:pPr>
        <w:pStyle w:val="Prrafodelista"/>
        <w:numPr>
          <w:ilvl w:val="0"/>
          <w:numId w:val="33"/>
        </w:numPr>
        <w:ind w:left="993" w:hanging="426"/>
        <w:contextualSpacing/>
        <w:jc w:val="both"/>
        <w:rPr>
          <w:rFonts w:ascii="Bookman Old Style" w:hAnsi="Bookman Old Style" w:cs="Arial"/>
          <w:b/>
          <w:bCs/>
          <w:color w:val="000000" w:themeColor="text1"/>
          <w:sz w:val="24"/>
          <w:szCs w:val="24"/>
          <w:lang w:eastAsia="es-ES"/>
        </w:rPr>
      </w:pPr>
      <w:r w:rsidRPr="006560C0">
        <w:rPr>
          <w:rFonts w:ascii="Bookman Old Style" w:hAnsi="Bookman Old Style" w:cs="Arial"/>
          <w:color w:val="000000" w:themeColor="text1"/>
          <w:sz w:val="24"/>
          <w:szCs w:val="24"/>
          <w:lang w:eastAsia="es-ES"/>
        </w:rPr>
        <w:t>Cantidad total entregada a otros medios de transporte como gasoductos dedicados,</w:t>
      </w:r>
      <w:r w:rsidRPr="006560C0">
        <w:rPr>
          <w:rFonts w:ascii="Bookman Old Style" w:hAnsi="Bookman Old Style" w:cs="Arial"/>
          <w:b/>
          <w:bCs/>
          <w:color w:val="000000" w:themeColor="text1"/>
          <w:sz w:val="24"/>
          <w:szCs w:val="24"/>
          <w:lang w:eastAsia="es-ES"/>
        </w:rPr>
        <w:t xml:space="preserve"> </w:t>
      </w:r>
      <w:r w:rsidR="009D3AC6" w:rsidRPr="006560C0">
        <w:rPr>
          <w:rFonts w:ascii="Bookman Old Style" w:hAnsi="Bookman Old Style" w:cs="Arial"/>
          <w:b/>
          <w:bCs/>
          <w:color w:val="000000" w:themeColor="text1"/>
          <w:sz w:val="24"/>
          <w:szCs w:val="24"/>
          <w:lang w:eastAsia="es-ES"/>
        </w:rPr>
        <w:t xml:space="preserve">gasoducto de conexión, </w:t>
      </w:r>
      <w:r w:rsidR="009D3AC6" w:rsidRPr="006560C0">
        <w:rPr>
          <w:rFonts w:ascii="Bookman Old Style" w:hAnsi="Bookman Old Style" w:cs="Arial"/>
          <w:color w:val="000000" w:themeColor="text1"/>
          <w:sz w:val="24"/>
          <w:szCs w:val="24"/>
          <w:lang w:eastAsia="es-ES"/>
        </w:rPr>
        <w:t xml:space="preserve">transporte terrestre para </w:t>
      </w:r>
      <w:r w:rsidRPr="006560C0">
        <w:rPr>
          <w:rFonts w:ascii="Bookman Old Style" w:hAnsi="Bookman Old Style" w:cs="Arial"/>
          <w:color w:val="000000" w:themeColor="text1"/>
          <w:sz w:val="24"/>
          <w:szCs w:val="24"/>
          <w:lang w:eastAsia="es-ES"/>
        </w:rPr>
        <w:t xml:space="preserve">gas natural comprimido, </w:t>
      </w:r>
      <w:r w:rsidR="009D3AC6" w:rsidRPr="006560C0">
        <w:rPr>
          <w:rFonts w:ascii="Bookman Old Style" w:hAnsi="Bookman Old Style" w:cs="Arial"/>
          <w:b/>
          <w:bCs/>
          <w:color w:val="000000" w:themeColor="text1"/>
          <w:sz w:val="24"/>
          <w:szCs w:val="24"/>
          <w:lang w:eastAsia="es-ES"/>
        </w:rPr>
        <w:t xml:space="preserve">transporte terrestre </w:t>
      </w:r>
      <w:r w:rsidR="00970F61" w:rsidRPr="006560C0">
        <w:rPr>
          <w:rFonts w:ascii="Bookman Old Style" w:hAnsi="Bookman Old Style" w:cs="Arial"/>
          <w:b/>
          <w:bCs/>
          <w:color w:val="000000" w:themeColor="text1"/>
          <w:sz w:val="24"/>
          <w:szCs w:val="24"/>
          <w:lang w:eastAsia="es-ES"/>
        </w:rPr>
        <w:t xml:space="preserve">para </w:t>
      </w:r>
      <w:r w:rsidRPr="006560C0">
        <w:rPr>
          <w:rFonts w:ascii="Bookman Old Style" w:hAnsi="Bookman Old Style" w:cs="Arial"/>
          <w:b/>
          <w:bCs/>
          <w:color w:val="000000" w:themeColor="text1"/>
          <w:sz w:val="24"/>
          <w:szCs w:val="24"/>
          <w:lang w:eastAsia="es-ES"/>
        </w:rPr>
        <w:t>gas natural licuado, expresada en MBTU.</w:t>
      </w:r>
    </w:p>
    <w:p w14:paraId="4F4177B1" w14:textId="77777777" w:rsidR="00D37DB4" w:rsidRPr="006560C0" w:rsidRDefault="00D37DB4" w:rsidP="00D37DB4">
      <w:pPr>
        <w:pStyle w:val="Prrafodelista"/>
        <w:rPr>
          <w:rFonts w:ascii="Bookman Old Style" w:hAnsi="Bookman Old Style" w:cs="Arial"/>
          <w:b/>
          <w:bCs/>
          <w:color w:val="000000" w:themeColor="text1"/>
          <w:sz w:val="24"/>
          <w:szCs w:val="24"/>
          <w:lang w:eastAsia="es-ES"/>
        </w:rPr>
      </w:pPr>
    </w:p>
    <w:p w14:paraId="1FB95E7C" w14:textId="73C773EE" w:rsidR="0006302B" w:rsidRPr="006560C0" w:rsidRDefault="0006302B" w:rsidP="00A4790E">
      <w:pPr>
        <w:pStyle w:val="Prrafodelista"/>
        <w:numPr>
          <w:ilvl w:val="0"/>
          <w:numId w:val="33"/>
        </w:numPr>
        <w:ind w:left="993" w:hanging="426"/>
        <w:contextualSpacing/>
        <w:jc w:val="both"/>
        <w:rPr>
          <w:rFonts w:ascii="Bookman Old Style" w:hAnsi="Bookman Old Style" w:cs="Arial"/>
          <w:color w:val="000000" w:themeColor="text1"/>
          <w:sz w:val="24"/>
          <w:szCs w:val="24"/>
          <w:lang w:eastAsia="es-ES"/>
        </w:rPr>
      </w:pPr>
      <w:r w:rsidRPr="006560C0">
        <w:rPr>
          <w:rFonts w:ascii="Bookman Old Style" w:hAnsi="Bookman Old Style" w:cs="Arial"/>
          <w:color w:val="000000"/>
          <w:sz w:val="24"/>
          <w:szCs w:val="24"/>
        </w:rPr>
        <w:lastRenderedPageBreak/>
        <w:t>Cantidad de energía a suministrar en cada</w:t>
      </w:r>
      <w:r w:rsidR="00655F6E" w:rsidRPr="006560C0">
        <w:rPr>
          <w:rFonts w:ascii="Bookman Old Style" w:hAnsi="Bookman Old Style" w:cs="Arial"/>
          <w:color w:val="000000"/>
          <w:sz w:val="24"/>
          <w:szCs w:val="24"/>
        </w:rPr>
        <w:t xml:space="preserve"> </w:t>
      </w:r>
      <w:r w:rsidR="00C4473A" w:rsidRPr="006560C0">
        <w:rPr>
          <w:rFonts w:ascii="Bookman Old Style" w:hAnsi="Bookman Old Style" w:cs="Arial"/>
          <w:b/>
          <w:bCs/>
          <w:color w:val="000000"/>
          <w:sz w:val="24"/>
          <w:szCs w:val="24"/>
        </w:rPr>
        <w:t>punto de entrada al SNT</w:t>
      </w:r>
      <w:r w:rsidRPr="006560C0">
        <w:rPr>
          <w:rFonts w:ascii="Bookman Old Style" w:hAnsi="Bookman Old Style" w:cs="Arial"/>
          <w:color w:val="000000"/>
          <w:sz w:val="24"/>
          <w:szCs w:val="24"/>
        </w:rPr>
        <w:t xml:space="preserve"> </w:t>
      </w:r>
      <w:r w:rsidRPr="006560C0">
        <w:rPr>
          <w:rFonts w:ascii="Bookman Old Style" w:hAnsi="Bookman Old Style" w:cs="Arial"/>
          <w:b/>
          <w:bCs/>
          <w:color w:val="000000"/>
          <w:sz w:val="24"/>
          <w:szCs w:val="24"/>
        </w:rPr>
        <w:t>y Fuente de Suministro</w:t>
      </w:r>
      <w:r w:rsidRPr="006560C0">
        <w:rPr>
          <w:rFonts w:ascii="Bookman Old Style" w:hAnsi="Bookman Old Style" w:cs="Arial"/>
          <w:color w:val="000000"/>
          <w:sz w:val="24"/>
          <w:szCs w:val="24"/>
        </w:rPr>
        <w:t>, expresada en MBTU, de acuerdo con la nominación realizada para el día de gas</w:t>
      </w:r>
      <w:r w:rsidRPr="006560C0">
        <w:rPr>
          <w:rFonts w:ascii="Bookman Old Style" w:hAnsi="Bookman Old Style" w:cs="Arial"/>
          <w:color w:val="000000" w:themeColor="text1"/>
          <w:sz w:val="24"/>
          <w:szCs w:val="24"/>
          <w:lang w:eastAsia="es-ES"/>
        </w:rPr>
        <w:t>.</w:t>
      </w:r>
    </w:p>
    <w:p w14:paraId="256A7EA2" w14:textId="77777777" w:rsidR="0006302B" w:rsidRPr="006560C0"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0188E08D" w14:textId="6B1AF464" w:rsidR="0006302B" w:rsidRPr="006560C0" w:rsidRDefault="0006302B" w:rsidP="00A4790E">
      <w:pPr>
        <w:pStyle w:val="Prrafodelista"/>
        <w:numPr>
          <w:ilvl w:val="0"/>
          <w:numId w:val="33"/>
        </w:numPr>
        <w:ind w:left="993" w:hanging="426"/>
        <w:contextualSpacing/>
        <w:jc w:val="both"/>
        <w:rPr>
          <w:rFonts w:ascii="Bookman Old Style" w:hAnsi="Bookman Old Style" w:cs="Arial"/>
          <w:color w:val="000000" w:themeColor="text1"/>
          <w:sz w:val="24"/>
          <w:szCs w:val="24"/>
          <w:lang w:eastAsia="es-ES"/>
        </w:rPr>
      </w:pPr>
      <w:r w:rsidRPr="006560C0">
        <w:rPr>
          <w:rFonts w:ascii="Bookman Old Style" w:hAnsi="Bookman Old Style" w:cs="Arial"/>
          <w:color w:val="000000"/>
          <w:sz w:val="24"/>
          <w:szCs w:val="24"/>
        </w:rPr>
        <w:t xml:space="preserve">Cantidad de energía exportada, </w:t>
      </w:r>
      <w:r w:rsidRPr="006560C0">
        <w:rPr>
          <w:rFonts w:ascii="Bookman Old Style" w:hAnsi="Bookman Old Style" w:cs="Arial"/>
          <w:b/>
          <w:bCs/>
          <w:color w:val="000000"/>
          <w:sz w:val="24"/>
          <w:szCs w:val="24"/>
        </w:rPr>
        <w:t>por Punto de exportación</w:t>
      </w:r>
      <w:r w:rsidR="00655F6E" w:rsidRPr="006560C0">
        <w:rPr>
          <w:rFonts w:ascii="Bookman Old Style" w:hAnsi="Bookman Old Style" w:cs="Arial"/>
          <w:b/>
          <w:bCs/>
          <w:color w:val="000000"/>
          <w:sz w:val="24"/>
          <w:szCs w:val="24"/>
        </w:rPr>
        <w:t>, Punto de Importación</w:t>
      </w:r>
      <w:r w:rsidRPr="006560C0">
        <w:rPr>
          <w:rFonts w:ascii="Bookman Old Style" w:hAnsi="Bookman Old Style" w:cs="Arial"/>
          <w:b/>
          <w:bCs/>
          <w:color w:val="000000"/>
          <w:sz w:val="24"/>
          <w:szCs w:val="24"/>
        </w:rPr>
        <w:t xml:space="preserve"> y fuente de suministro </w:t>
      </w:r>
      <w:r w:rsidRPr="006560C0">
        <w:rPr>
          <w:rFonts w:ascii="Bookman Old Style" w:hAnsi="Bookman Old Style" w:cs="Arial"/>
          <w:color w:val="000000"/>
          <w:sz w:val="24"/>
          <w:szCs w:val="24"/>
        </w:rPr>
        <w:t>expresada en MBTU, con sujeción a las medidas que el Ministerio de Minas y Energía adopte sobre la materia</w:t>
      </w:r>
      <w:r w:rsidRPr="006560C0">
        <w:rPr>
          <w:rFonts w:ascii="Bookman Old Style" w:hAnsi="Bookman Old Style" w:cs="Arial"/>
          <w:color w:val="000000" w:themeColor="text1"/>
          <w:sz w:val="24"/>
          <w:szCs w:val="24"/>
          <w:lang w:eastAsia="es-ES"/>
        </w:rPr>
        <w:t>.</w:t>
      </w:r>
    </w:p>
    <w:p w14:paraId="7B1B3093" w14:textId="77777777" w:rsidR="0006302B" w:rsidRPr="006560C0"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5D236FD0" w14:textId="6A85A86C" w:rsidR="0006302B" w:rsidRPr="006560C0" w:rsidRDefault="0006302B" w:rsidP="00A4790E">
      <w:pPr>
        <w:pStyle w:val="Prrafodelista"/>
        <w:numPr>
          <w:ilvl w:val="0"/>
          <w:numId w:val="33"/>
        </w:numPr>
        <w:ind w:left="993" w:hanging="426"/>
        <w:contextualSpacing/>
        <w:jc w:val="both"/>
        <w:rPr>
          <w:rFonts w:ascii="Bookman Old Style" w:hAnsi="Bookman Old Style" w:cs="Arial"/>
          <w:color w:val="000000" w:themeColor="text1"/>
          <w:sz w:val="24"/>
          <w:szCs w:val="24"/>
          <w:lang w:eastAsia="es-ES"/>
        </w:rPr>
      </w:pPr>
      <w:r w:rsidRPr="006560C0">
        <w:rPr>
          <w:rFonts w:ascii="Bookman Old Style" w:hAnsi="Bookman Old Style" w:cs="Arial"/>
          <w:color w:val="000000"/>
          <w:sz w:val="24"/>
          <w:szCs w:val="24"/>
        </w:rPr>
        <w:t>La demás información que determine la CREG</w:t>
      </w:r>
      <w:r w:rsidR="001D02DC" w:rsidRPr="006560C0">
        <w:rPr>
          <w:rFonts w:ascii="Bookman Old Style" w:hAnsi="Bookman Old Style" w:cs="Arial"/>
          <w:color w:val="000000" w:themeColor="text1"/>
          <w:sz w:val="24"/>
          <w:szCs w:val="24"/>
          <w:lang w:eastAsia="es-ES"/>
        </w:rPr>
        <w:t>.</w:t>
      </w:r>
    </w:p>
    <w:p w14:paraId="249B320B" w14:textId="77777777" w:rsidR="00A72D25" w:rsidRPr="006560C0" w:rsidRDefault="00A72D25" w:rsidP="002D5416">
      <w:pPr>
        <w:pStyle w:val="Prrafodelista"/>
        <w:ind w:left="993"/>
        <w:contextualSpacing/>
        <w:jc w:val="both"/>
        <w:rPr>
          <w:rFonts w:ascii="Bookman Old Style" w:hAnsi="Bookman Old Style" w:cs="Arial"/>
          <w:color w:val="000000" w:themeColor="text1"/>
          <w:sz w:val="24"/>
          <w:szCs w:val="24"/>
          <w:lang w:eastAsia="es-ES"/>
        </w:rPr>
      </w:pPr>
    </w:p>
    <w:p w14:paraId="61FC0B15" w14:textId="3851BC84" w:rsidR="00A72D25" w:rsidRPr="006560C0" w:rsidRDefault="00A72D25" w:rsidP="00A72D25">
      <w:pPr>
        <w:pStyle w:val="Prrafodelista"/>
        <w:numPr>
          <w:ilvl w:val="0"/>
          <w:numId w:val="33"/>
        </w:numPr>
        <w:ind w:left="993" w:hanging="426"/>
        <w:contextualSpacing/>
        <w:jc w:val="both"/>
        <w:rPr>
          <w:rFonts w:ascii="Bookman Old Style" w:hAnsi="Bookman Old Style" w:cs="Arial"/>
          <w:b/>
          <w:bCs/>
          <w:color w:val="000000" w:themeColor="text1"/>
          <w:sz w:val="24"/>
          <w:szCs w:val="24"/>
          <w:lang w:eastAsia="es-ES"/>
        </w:rPr>
      </w:pPr>
      <w:r w:rsidRPr="006560C0">
        <w:rPr>
          <w:rFonts w:ascii="Bookman Old Style" w:hAnsi="Bookman Old Style" w:cs="Arial"/>
          <w:b/>
          <w:bCs/>
          <w:color w:val="000000" w:themeColor="text1"/>
          <w:sz w:val="24"/>
          <w:szCs w:val="24"/>
          <w:lang w:eastAsia="es-ES"/>
        </w:rPr>
        <w:t>Los usuarios no regulados que participen como compradores en el mercado primario deberán declarar semanalmente al gestor del mercado, a través del medio y del formato que éste defina, la información que le sea aplicable, señalada en este literal.</w:t>
      </w:r>
    </w:p>
    <w:p w14:paraId="3385600C" w14:textId="77777777" w:rsidR="0006302B" w:rsidRPr="006560C0" w:rsidRDefault="0006302B" w:rsidP="0006302B">
      <w:pPr>
        <w:autoSpaceDE w:val="0"/>
        <w:autoSpaceDN w:val="0"/>
        <w:adjustRightInd w:val="0"/>
        <w:ind w:left="0"/>
        <w:jc w:val="both"/>
        <w:rPr>
          <w:rFonts w:ascii="Bookman Old Style" w:hAnsi="Bookman Old Style"/>
          <w:bCs/>
          <w:color w:val="000000" w:themeColor="text1"/>
          <w:sz w:val="28"/>
          <w:lang w:val="es-CO" w:eastAsia="x-none"/>
        </w:rPr>
      </w:pPr>
    </w:p>
    <w:p w14:paraId="1EC26BE7" w14:textId="2D0C70D1" w:rsidR="0006302B" w:rsidRPr="006560C0" w:rsidRDefault="005E222F" w:rsidP="00A4790E">
      <w:pPr>
        <w:numPr>
          <w:ilvl w:val="0"/>
          <w:numId w:val="44"/>
        </w:numPr>
        <w:autoSpaceDE w:val="0"/>
        <w:autoSpaceDN w:val="0"/>
        <w:adjustRightInd w:val="0"/>
        <w:ind w:left="567" w:hanging="567"/>
        <w:jc w:val="both"/>
        <w:rPr>
          <w:rFonts w:ascii="Bookman Old Style" w:hAnsi="Bookman Old Style" w:cs="Arial"/>
          <w:color w:val="000000" w:themeColor="text1"/>
          <w:lang w:val="es-CO"/>
        </w:rPr>
      </w:pPr>
      <w:r w:rsidRPr="006560C0">
        <w:rPr>
          <w:rFonts w:ascii="Bookman Old Style" w:hAnsi="Bookman Old Style" w:cs="Arial"/>
          <w:color w:val="000000" w:themeColor="text1"/>
          <w:lang w:val="es-CO"/>
        </w:rPr>
        <w:t xml:space="preserve">Suministro en </w:t>
      </w:r>
      <w:r w:rsidR="005C20D0" w:rsidRPr="006560C0">
        <w:rPr>
          <w:rFonts w:ascii="Bookman Old Style" w:hAnsi="Bookman Old Style" w:cs="Arial"/>
          <w:color w:val="000000" w:themeColor="text1"/>
          <w:lang w:val="es-CO"/>
        </w:rPr>
        <w:t>el mercado secundario</w:t>
      </w:r>
    </w:p>
    <w:p w14:paraId="23B23198" w14:textId="77777777" w:rsidR="0006302B" w:rsidRPr="006560C0" w:rsidRDefault="0006302B" w:rsidP="0006302B">
      <w:pPr>
        <w:pStyle w:val="ARTICULOS"/>
        <w:numPr>
          <w:ilvl w:val="0"/>
          <w:numId w:val="0"/>
        </w:numPr>
        <w:rPr>
          <w:bCs w:val="0"/>
          <w:color w:val="000000" w:themeColor="text1"/>
          <w:sz w:val="28"/>
          <w:lang w:val="es-CO"/>
        </w:rPr>
      </w:pPr>
    </w:p>
    <w:p w14:paraId="0625624C" w14:textId="7D946CA5" w:rsidR="0006302B" w:rsidRPr="006560C0" w:rsidRDefault="0006302B" w:rsidP="0006302B">
      <w:pPr>
        <w:autoSpaceDE w:val="0"/>
        <w:autoSpaceDN w:val="0"/>
        <w:adjustRightInd w:val="0"/>
        <w:jc w:val="both"/>
        <w:rPr>
          <w:rFonts w:ascii="Bookman Old Style" w:hAnsi="Bookman Old Style"/>
          <w:bCs/>
          <w:color w:val="000000" w:themeColor="text1"/>
          <w:lang w:val="es-CO" w:eastAsia="x-none"/>
        </w:rPr>
      </w:pPr>
      <w:r w:rsidRPr="006560C0">
        <w:rPr>
          <w:rFonts w:ascii="Bookman Old Style" w:hAnsi="Bookman Old Style"/>
          <w:bCs/>
          <w:color w:val="000000"/>
          <w:lang w:val="es-CO"/>
        </w:rPr>
        <w:t xml:space="preserve">A más tardar a las 12:00 horas del día D+1, los comercializadores deberán declarar al </w:t>
      </w:r>
      <w:r w:rsidR="009F7684" w:rsidRPr="006560C0">
        <w:rPr>
          <w:rFonts w:ascii="Bookman Old Style" w:hAnsi="Bookman Old Style"/>
          <w:lang w:val="es-CO"/>
        </w:rPr>
        <w:t>Gestor</w:t>
      </w:r>
      <w:r w:rsidR="009F7684" w:rsidRPr="006560C0" w:rsidDel="00E53E99">
        <w:rPr>
          <w:color w:val="FF0000"/>
          <w:sz w:val="28"/>
          <w:lang w:val="es-CO"/>
        </w:rPr>
        <w:t xml:space="preserve"> </w:t>
      </w:r>
      <w:r w:rsidRPr="006560C0">
        <w:rPr>
          <w:rFonts w:ascii="Bookman Old Style" w:hAnsi="Bookman Old Style"/>
          <w:bCs/>
          <w:color w:val="000000"/>
          <w:lang w:val="es-CO"/>
        </w:rPr>
        <w:t>del Mercado la siguiente información operativa del día de gas</w:t>
      </w:r>
      <w:r w:rsidR="00380175" w:rsidRPr="006560C0">
        <w:rPr>
          <w:rFonts w:ascii="Bookman Old Style" w:hAnsi="Bookman Old Style"/>
          <w:bCs/>
          <w:color w:val="000000"/>
          <w:lang w:val="es-CO"/>
        </w:rPr>
        <w:t xml:space="preserve"> D</w:t>
      </w:r>
      <w:r w:rsidR="005E222F" w:rsidRPr="006560C0">
        <w:rPr>
          <w:rFonts w:ascii="Bookman Old Style" w:hAnsi="Bookman Old Style"/>
          <w:bCs/>
          <w:color w:val="000000"/>
          <w:lang w:val="es-CO"/>
        </w:rPr>
        <w:t xml:space="preserve"> </w:t>
      </w:r>
      <w:r w:rsidR="005E222F" w:rsidRPr="006560C0">
        <w:rPr>
          <w:rFonts w:ascii="Bookman Old Style" w:hAnsi="Bookman Old Style"/>
          <w:b/>
          <w:color w:val="000000"/>
          <w:lang w:val="es-CO"/>
        </w:rPr>
        <w:t>respecto de sus ventas</w:t>
      </w:r>
      <w:r w:rsidRPr="006560C0">
        <w:rPr>
          <w:rFonts w:ascii="Bookman Old Style" w:hAnsi="Bookman Old Style"/>
          <w:bCs/>
          <w:color w:val="000000"/>
          <w:lang w:val="es-CO" w:eastAsia="x-none"/>
        </w:rPr>
        <w:t>:</w:t>
      </w:r>
    </w:p>
    <w:p w14:paraId="6338BB6C" w14:textId="77777777" w:rsidR="0006302B" w:rsidRPr="006560C0" w:rsidRDefault="0006302B" w:rsidP="0006302B">
      <w:pPr>
        <w:pStyle w:val="ARTICULOS"/>
        <w:numPr>
          <w:ilvl w:val="0"/>
          <w:numId w:val="0"/>
        </w:numPr>
        <w:ind w:left="1134"/>
        <w:rPr>
          <w:bCs w:val="0"/>
          <w:color w:val="000000" w:themeColor="text1"/>
          <w:sz w:val="28"/>
          <w:lang w:val="es-CO"/>
        </w:rPr>
      </w:pPr>
    </w:p>
    <w:p w14:paraId="74A07A30" w14:textId="77777777" w:rsidR="00BD52B5" w:rsidRPr="00295053" w:rsidRDefault="00051BFD" w:rsidP="00A4790E">
      <w:pPr>
        <w:pStyle w:val="Prrafodelista"/>
        <w:numPr>
          <w:ilvl w:val="0"/>
          <w:numId w:val="34"/>
        </w:numPr>
        <w:ind w:left="993" w:hanging="426"/>
        <w:contextualSpacing/>
        <w:jc w:val="both"/>
        <w:rPr>
          <w:rFonts w:ascii="Bookman Old Style" w:hAnsi="Bookman Old Style" w:cs="Arial"/>
          <w:b/>
          <w:bCs/>
          <w:color w:val="000000" w:themeColor="text1"/>
          <w:sz w:val="24"/>
          <w:szCs w:val="24"/>
          <w:lang w:eastAsia="es-ES"/>
        </w:rPr>
      </w:pPr>
      <w:bookmarkStart w:id="128" w:name="_Ref487118921"/>
      <w:r w:rsidRPr="006560C0">
        <w:rPr>
          <w:rFonts w:ascii="Bookman Old Style" w:hAnsi="Bookman Old Style" w:cs="Arial"/>
          <w:b/>
          <w:bCs/>
          <w:color w:val="000000"/>
          <w:sz w:val="24"/>
          <w:szCs w:val="24"/>
        </w:rPr>
        <w:t>Cantidad total de energía entregada en el punto de entrada del SNT</w:t>
      </w:r>
      <w:r w:rsidR="00403755" w:rsidRPr="006560C0">
        <w:rPr>
          <w:rFonts w:ascii="Bookman Old Style" w:hAnsi="Bookman Old Style" w:cs="Arial"/>
          <w:b/>
          <w:bCs/>
          <w:color w:val="000000"/>
          <w:sz w:val="24"/>
          <w:szCs w:val="24"/>
        </w:rPr>
        <w:t>, que tiene como punto de entrega dicho punto de entrada al SNT</w:t>
      </w:r>
      <w:r w:rsidRPr="006560C0">
        <w:rPr>
          <w:rFonts w:ascii="Bookman Old Style" w:hAnsi="Bookman Old Style" w:cs="Arial"/>
          <w:b/>
          <w:bCs/>
          <w:color w:val="000000"/>
          <w:sz w:val="24"/>
          <w:szCs w:val="24"/>
        </w:rPr>
        <w:t xml:space="preserve">, expresada en MBTU, desagregada por tipo de Demanda </w:t>
      </w:r>
      <w:r w:rsidR="00403755" w:rsidRPr="006560C0">
        <w:rPr>
          <w:rFonts w:ascii="Bookman Old Style" w:hAnsi="Bookman Old Style" w:cs="Arial"/>
          <w:b/>
          <w:bCs/>
          <w:color w:val="000000"/>
          <w:sz w:val="24"/>
          <w:szCs w:val="24"/>
        </w:rPr>
        <w:t>(esencial o no esencial)</w:t>
      </w:r>
      <w:r w:rsidRPr="006560C0">
        <w:rPr>
          <w:rFonts w:ascii="Bookman Old Style" w:hAnsi="Bookman Old Style" w:cs="Arial"/>
          <w:b/>
          <w:bCs/>
          <w:color w:val="000000"/>
          <w:sz w:val="24"/>
          <w:szCs w:val="24"/>
        </w:rPr>
        <w:t>, si corresponde a demanda de usuarios regulados o no regulados, desagregado en demanda residencial y pequeños usuarios comerciales inmersos en la red de distribución, comercial, industrial, gas para transportadores, petroquímica, refinería, gas natural comprimido vehicular, generación térmica, exportaciones u otros.</w:t>
      </w:r>
      <w:r w:rsidR="00BD52B5">
        <w:rPr>
          <w:rFonts w:ascii="Bookman Old Style" w:hAnsi="Bookman Old Style" w:cs="Arial"/>
          <w:b/>
          <w:bCs/>
          <w:color w:val="000000"/>
          <w:sz w:val="24"/>
          <w:szCs w:val="24"/>
        </w:rPr>
        <w:t xml:space="preserve"> </w:t>
      </w:r>
    </w:p>
    <w:p w14:paraId="12878C29" w14:textId="77777777" w:rsidR="00BD52B5" w:rsidRPr="00295053" w:rsidRDefault="00BD52B5" w:rsidP="00295053">
      <w:pPr>
        <w:pStyle w:val="Prrafodelista"/>
        <w:ind w:left="993"/>
        <w:contextualSpacing/>
        <w:jc w:val="both"/>
        <w:rPr>
          <w:rFonts w:ascii="Bookman Old Style" w:hAnsi="Bookman Old Style" w:cs="Arial"/>
          <w:b/>
          <w:bCs/>
          <w:color w:val="000000" w:themeColor="text1"/>
          <w:sz w:val="24"/>
          <w:szCs w:val="24"/>
          <w:lang w:eastAsia="es-ES"/>
        </w:rPr>
      </w:pPr>
    </w:p>
    <w:p w14:paraId="0148093F" w14:textId="014A2312" w:rsidR="00051BFD" w:rsidRPr="00295053" w:rsidRDefault="00BD52B5" w:rsidP="00295053">
      <w:pPr>
        <w:ind w:left="993"/>
        <w:contextualSpacing/>
        <w:jc w:val="both"/>
        <w:rPr>
          <w:rFonts w:ascii="Bookman Old Style" w:hAnsi="Bookman Old Style" w:cs="Arial"/>
          <w:b/>
          <w:bCs/>
          <w:color w:val="000000" w:themeColor="text1"/>
        </w:rPr>
      </w:pPr>
      <w:r w:rsidRPr="00295053">
        <w:rPr>
          <w:rFonts w:ascii="Bookman Old Style" w:hAnsi="Bookman Old Style" w:cs="Arial"/>
          <w:b/>
          <w:bCs/>
          <w:color w:val="000000"/>
        </w:rPr>
        <w:t>La declaración deberá incluir el nombre del comprador del mercado secundario p</w:t>
      </w:r>
      <w:r>
        <w:rPr>
          <w:rFonts w:ascii="Bookman Old Style" w:hAnsi="Bookman Old Style" w:cs="Arial"/>
          <w:b/>
          <w:bCs/>
          <w:color w:val="000000"/>
        </w:rPr>
        <w:t>ara</w:t>
      </w:r>
      <w:r w:rsidRPr="00295053">
        <w:rPr>
          <w:rFonts w:ascii="Bookman Old Style" w:hAnsi="Bookman Old Style" w:cs="Arial"/>
          <w:b/>
          <w:bCs/>
          <w:color w:val="000000"/>
        </w:rPr>
        <w:t xml:space="preserve"> quien se nominó el gas y el número del contrato registrado ante el Gestor del Mercado con dicho comprador.</w:t>
      </w:r>
    </w:p>
    <w:p w14:paraId="4672F699" w14:textId="77777777" w:rsidR="00051BFD" w:rsidRPr="006560C0" w:rsidRDefault="00051BFD" w:rsidP="00403755">
      <w:pPr>
        <w:pStyle w:val="Prrafodelista"/>
        <w:ind w:left="993"/>
        <w:contextualSpacing/>
        <w:jc w:val="both"/>
        <w:rPr>
          <w:rFonts w:ascii="Bookman Old Style" w:hAnsi="Bookman Old Style" w:cs="Arial"/>
          <w:b/>
          <w:bCs/>
          <w:color w:val="000000" w:themeColor="text1"/>
          <w:sz w:val="24"/>
          <w:szCs w:val="24"/>
          <w:lang w:eastAsia="es-ES"/>
        </w:rPr>
      </w:pPr>
    </w:p>
    <w:p w14:paraId="0CA3D241" w14:textId="349B7B57" w:rsidR="009B7201" w:rsidRPr="00295053" w:rsidRDefault="0006302B" w:rsidP="00295053">
      <w:pPr>
        <w:pStyle w:val="Prrafodelista"/>
        <w:numPr>
          <w:ilvl w:val="0"/>
          <w:numId w:val="34"/>
        </w:numPr>
        <w:ind w:left="993" w:hanging="426"/>
        <w:contextualSpacing/>
        <w:jc w:val="both"/>
        <w:rPr>
          <w:rFonts w:ascii="Bookman Old Style" w:hAnsi="Bookman Old Style" w:cs="Arial"/>
          <w:b/>
          <w:bCs/>
          <w:color w:val="000000" w:themeColor="text1"/>
          <w:sz w:val="24"/>
          <w:szCs w:val="24"/>
        </w:rPr>
      </w:pPr>
      <w:r w:rsidRPr="006560C0">
        <w:rPr>
          <w:rFonts w:ascii="Bookman Old Style" w:hAnsi="Bookman Old Style" w:cs="Arial"/>
          <w:b/>
          <w:bCs/>
          <w:color w:val="000000"/>
          <w:sz w:val="24"/>
          <w:szCs w:val="24"/>
        </w:rPr>
        <w:t xml:space="preserve">Cantidad total de energía </w:t>
      </w:r>
      <w:r w:rsidR="00051BFD" w:rsidRPr="006560C0">
        <w:rPr>
          <w:rFonts w:ascii="Bookman Old Style" w:hAnsi="Bookman Old Style" w:cs="Arial"/>
          <w:b/>
          <w:bCs/>
          <w:color w:val="000000"/>
          <w:sz w:val="24"/>
          <w:szCs w:val="24"/>
        </w:rPr>
        <w:t xml:space="preserve">entregada </w:t>
      </w:r>
      <w:r w:rsidRPr="006560C0">
        <w:rPr>
          <w:rFonts w:ascii="Bookman Old Style" w:hAnsi="Bookman Old Style" w:cs="Arial"/>
          <w:b/>
          <w:bCs/>
          <w:color w:val="000000"/>
          <w:sz w:val="24"/>
          <w:szCs w:val="24"/>
        </w:rPr>
        <w:t xml:space="preserve">en el punto de salida del SNT, </w:t>
      </w:r>
      <w:r w:rsidR="00403755" w:rsidRPr="006560C0">
        <w:rPr>
          <w:rFonts w:ascii="Bookman Old Style" w:hAnsi="Bookman Old Style" w:cs="Arial"/>
          <w:b/>
          <w:bCs/>
          <w:color w:val="000000"/>
          <w:sz w:val="24"/>
          <w:szCs w:val="24"/>
        </w:rPr>
        <w:t xml:space="preserve">que tiene como punto de entrega dicho punto de salida al SNT </w:t>
      </w:r>
      <w:r w:rsidRPr="006560C0">
        <w:rPr>
          <w:rFonts w:ascii="Bookman Old Style" w:hAnsi="Bookman Old Style" w:cs="Arial"/>
          <w:b/>
          <w:bCs/>
          <w:color w:val="000000"/>
          <w:sz w:val="24"/>
          <w:szCs w:val="24"/>
        </w:rPr>
        <w:t>expresada en MBTU, para ser entregada a usuarios finales, desagregada por tipo de Demanda Esencial o no, si corresponde a demanda de usuarios regulados</w:t>
      </w:r>
      <w:r w:rsidRPr="009B7201">
        <w:rPr>
          <w:rFonts w:ascii="Bookman Old Style" w:hAnsi="Bookman Old Style" w:cs="Arial"/>
          <w:b/>
          <w:bCs/>
          <w:color w:val="000000"/>
          <w:sz w:val="24"/>
          <w:szCs w:val="24"/>
        </w:rPr>
        <w:t xml:space="preserve"> o no regulados, desagregado en demanda residencial y pequeños usuarios comerciales inmersos en la red de distribución, comercial, industrial, gas para transportadores, petroquímica, refinería, gas </w:t>
      </w:r>
      <w:r w:rsidR="00684611" w:rsidRPr="009B7201">
        <w:rPr>
          <w:rFonts w:ascii="Bookman Old Style" w:hAnsi="Bookman Old Style" w:cs="Arial"/>
          <w:b/>
          <w:bCs/>
          <w:color w:val="000000"/>
          <w:sz w:val="24"/>
          <w:szCs w:val="24"/>
        </w:rPr>
        <w:t>natural comprimido</w:t>
      </w:r>
      <w:r w:rsidRPr="009B7201">
        <w:rPr>
          <w:rFonts w:ascii="Bookman Old Style" w:hAnsi="Bookman Old Style" w:cs="Arial"/>
          <w:b/>
          <w:bCs/>
          <w:color w:val="000000"/>
          <w:sz w:val="24"/>
          <w:szCs w:val="24"/>
        </w:rPr>
        <w:t xml:space="preserve"> vehicular, generación térmica, exportaciones u otros</w:t>
      </w:r>
      <w:bookmarkEnd w:id="128"/>
      <w:r w:rsidRPr="009B7201">
        <w:rPr>
          <w:rFonts w:ascii="Bookman Old Style" w:hAnsi="Bookman Old Style" w:cs="Arial"/>
          <w:b/>
          <w:bCs/>
          <w:color w:val="000000"/>
          <w:sz w:val="24"/>
          <w:szCs w:val="24"/>
        </w:rPr>
        <w:t>.</w:t>
      </w:r>
      <w:r w:rsidR="009B7201" w:rsidRPr="009B7201">
        <w:rPr>
          <w:rFonts w:ascii="Bookman Old Style" w:hAnsi="Bookman Old Style" w:cs="Arial"/>
          <w:b/>
          <w:bCs/>
          <w:color w:val="000000"/>
          <w:sz w:val="24"/>
          <w:szCs w:val="24"/>
        </w:rPr>
        <w:t xml:space="preserve"> </w:t>
      </w:r>
      <w:r w:rsidR="009B7201" w:rsidRPr="009B7201">
        <w:rPr>
          <w:rFonts w:ascii="Bookman Old Style" w:hAnsi="Bookman Old Style" w:cs="Arial"/>
          <w:color w:val="000000"/>
          <w:sz w:val="24"/>
          <w:szCs w:val="24"/>
        </w:rPr>
        <w:t>El comercializador declarará el número del contrato bajo el cual se transportó dicho gas</w:t>
      </w:r>
      <w:r w:rsidR="009B7201" w:rsidRPr="009B7201">
        <w:rPr>
          <w:rFonts w:ascii="Bookman Old Style" w:hAnsi="Bookman Old Style" w:cs="Arial"/>
          <w:b/>
          <w:bCs/>
          <w:color w:val="000000"/>
          <w:sz w:val="24"/>
          <w:szCs w:val="24"/>
        </w:rPr>
        <w:t xml:space="preserve"> hasta los puntos de salida del SNT</w:t>
      </w:r>
      <w:r w:rsidR="009B7201">
        <w:rPr>
          <w:rFonts w:ascii="Bookman Old Style" w:hAnsi="Bookman Old Style" w:cs="Arial"/>
          <w:b/>
          <w:bCs/>
          <w:color w:val="000000"/>
          <w:sz w:val="24"/>
          <w:szCs w:val="24"/>
        </w:rPr>
        <w:t>.</w:t>
      </w:r>
      <w:r w:rsidR="009B7201" w:rsidRPr="009B7201">
        <w:rPr>
          <w:rFonts w:ascii="Bookman Old Style" w:hAnsi="Bookman Old Style" w:cs="Arial"/>
          <w:b/>
          <w:bCs/>
          <w:color w:val="000000"/>
          <w:sz w:val="24"/>
          <w:szCs w:val="24"/>
        </w:rPr>
        <w:t xml:space="preserve"> </w:t>
      </w:r>
    </w:p>
    <w:p w14:paraId="4BD77FF0" w14:textId="2329DDE5" w:rsidR="00BD52B5" w:rsidRDefault="00BD52B5" w:rsidP="00BD52B5">
      <w:pPr>
        <w:contextualSpacing/>
        <w:jc w:val="both"/>
        <w:rPr>
          <w:rFonts w:ascii="Bookman Old Style" w:hAnsi="Bookman Old Style" w:cs="Arial"/>
          <w:b/>
          <w:bCs/>
          <w:color w:val="000000" w:themeColor="text1"/>
        </w:rPr>
      </w:pPr>
    </w:p>
    <w:p w14:paraId="18326592" w14:textId="086B3BCA" w:rsidR="00BD52B5" w:rsidRPr="00295053" w:rsidRDefault="00BD52B5" w:rsidP="00295053">
      <w:pPr>
        <w:ind w:left="993"/>
        <w:contextualSpacing/>
        <w:jc w:val="both"/>
        <w:rPr>
          <w:rFonts w:ascii="Bookman Old Style" w:hAnsi="Bookman Old Style" w:cs="Arial"/>
          <w:b/>
          <w:bCs/>
          <w:color w:val="000000" w:themeColor="text1"/>
        </w:rPr>
      </w:pPr>
      <w:r>
        <w:rPr>
          <w:rFonts w:ascii="Bookman Old Style" w:hAnsi="Bookman Old Style" w:cs="Arial"/>
          <w:b/>
          <w:bCs/>
          <w:color w:val="000000"/>
        </w:rPr>
        <w:t>La declaración deberá incluir el nombre del comprador del mercado secundario para quien se nominó el gas y el número del contrato registrado ante el Gestor del Mercado con dicho comprador.</w:t>
      </w:r>
    </w:p>
    <w:p w14:paraId="4150D495" w14:textId="1B7332FA" w:rsidR="0006302B" w:rsidRPr="006560C0" w:rsidRDefault="0006302B" w:rsidP="0006302B">
      <w:pPr>
        <w:ind w:left="2268"/>
        <w:jc w:val="both"/>
        <w:rPr>
          <w:rFonts w:ascii="Bookman Old Style" w:hAnsi="Bookman Old Style" w:cs="Arial"/>
          <w:color w:val="000000"/>
          <w:sz w:val="28"/>
          <w:lang w:val="es-CO"/>
        </w:rPr>
      </w:pPr>
    </w:p>
    <w:p w14:paraId="4911052D" w14:textId="6204BB97" w:rsidR="005C20D0" w:rsidRPr="006560C0" w:rsidRDefault="00403755" w:rsidP="00A4790E">
      <w:pPr>
        <w:numPr>
          <w:ilvl w:val="0"/>
          <w:numId w:val="44"/>
        </w:numPr>
        <w:autoSpaceDE w:val="0"/>
        <w:autoSpaceDN w:val="0"/>
        <w:adjustRightInd w:val="0"/>
        <w:ind w:left="567" w:hanging="567"/>
        <w:jc w:val="both"/>
        <w:rPr>
          <w:rFonts w:ascii="Bookman Old Style" w:hAnsi="Bookman Old Style" w:cs="Arial"/>
          <w:b/>
          <w:bCs/>
          <w:color w:val="000000" w:themeColor="text1"/>
          <w:lang w:val="es-CO"/>
        </w:rPr>
      </w:pPr>
      <w:r w:rsidRPr="006560C0">
        <w:rPr>
          <w:rFonts w:ascii="Bookman Old Style" w:hAnsi="Bookman Old Style" w:cs="Arial"/>
          <w:b/>
          <w:bCs/>
          <w:color w:val="000000" w:themeColor="text1"/>
          <w:lang w:val="es-CO"/>
        </w:rPr>
        <w:t>Suministro en el mercado minorista</w:t>
      </w:r>
      <w:r w:rsidR="00866AE7" w:rsidRPr="006560C0">
        <w:rPr>
          <w:rFonts w:ascii="Bookman Old Style" w:hAnsi="Bookman Old Style" w:cs="Arial"/>
          <w:b/>
          <w:bCs/>
          <w:color w:val="000000" w:themeColor="text1"/>
          <w:lang w:val="es-CO"/>
        </w:rPr>
        <w:t>:</w:t>
      </w:r>
    </w:p>
    <w:p w14:paraId="2D00746D" w14:textId="77777777" w:rsidR="005C20D0" w:rsidRPr="006560C0" w:rsidRDefault="005C20D0" w:rsidP="005C20D0">
      <w:pPr>
        <w:pStyle w:val="ARTICULOS"/>
        <w:numPr>
          <w:ilvl w:val="0"/>
          <w:numId w:val="0"/>
        </w:numPr>
        <w:rPr>
          <w:bCs w:val="0"/>
          <w:color w:val="000000" w:themeColor="text1"/>
          <w:sz w:val="28"/>
          <w:lang w:val="es-CO"/>
        </w:rPr>
      </w:pPr>
    </w:p>
    <w:p w14:paraId="057F54B7" w14:textId="138EAF8A" w:rsidR="005C20D0" w:rsidRPr="006560C0" w:rsidRDefault="005C20D0" w:rsidP="005C20D0">
      <w:pPr>
        <w:autoSpaceDE w:val="0"/>
        <w:autoSpaceDN w:val="0"/>
        <w:adjustRightInd w:val="0"/>
        <w:jc w:val="both"/>
        <w:rPr>
          <w:rFonts w:ascii="Bookman Old Style" w:hAnsi="Bookman Old Style"/>
          <w:b/>
          <w:color w:val="000000" w:themeColor="text1"/>
          <w:lang w:val="es-CO" w:eastAsia="x-none"/>
        </w:rPr>
      </w:pPr>
      <w:r w:rsidRPr="006560C0">
        <w:rPr>
          <w:rFonts w:ascii="Bookman Old Style" w:hAnsi="Bookman Old Style"/>
          <w:b/>
          <w:color w:val="000000"/>
          <w:lang w:val="es-CO"/>
        </w:rPr>
        <w:t xml:space="preserve">A más tardar a las 12:00 horas del día D+1, los comercializadores deberán declarar </w:t>
      </w:r>
      <w:r w:rsidRPr="006560C0">
        <w:rPr>
          <w:rFonts w:ascii="Bookman Old Style" w:hAnsi="Bookman Old Style"/>
          <w:b/>
          <w:lang w:val="es-CO"/>
        </w:rPr>
        <w:t xml:space="preserve">al </w:t>
      </w:r>
      <w:r w:rsidRPr="00295053">
        <w:rPr>
          <w:rFonts w:ascii="Bookman Old Style" w:hAnsi="Bookman Old Style"/>
          <w:b/>
          <w:lang w:val="es-CO"/>
        </w:rPr>
        <w:t>Gestor</w:t>
      </w:r>
      <w:r w:rsidR="00BD52B5">
        <w:rPr>
          <w:rFonts w:ascii="Bookman Old Style" w:hAnsi="Bookman Old Style"/>
          <w:b/>
          <w:color w:val="000000"/>
          <w:lang w:val="es-CO"/>
        </w:rPr>
        <w:t xml:space="preserve"> </w:t>
      </w:r>
      <w:r w:rsidRPr="006560C0">
        <w:rPr>
          <w:rFonts w:ascii="Bookman Old Style" w:hAnsi="Bookman Old Style"/>
          <w:b/>
          <w:color w:val="000000"/>
          <w:lang w:val="es-CO"/>
        </w:rPr>
        <w:t>del Mercado la siguiente información operativa del día de gas</w:t>
      </w:r>
      <w:r w:rsidR="00380175" w:rsidRPr="006560C0">
        <w:rPr>
          <w:rFonts w:ascii="Bookman Old Style" w:hAnsi="Bookman Old Style"/>
          <w:b/>
          <w:color w:val="000000"/>
          <w:lang w:val="es-CO"/>
        </w:rPr>
        <w:t xml:space="preserve"> D</w:t>
      </w:r>
      <w:r w:rsidRPr="006560C0">
        <w:rPr>
          <w:rFonts w:ascii="Bookman Old Style" w:hAnsi="Bookman Old Style"/>
          <w:b/>
          <w:color w:val="000000"/>
          <w:lang w:val="es-CO" w:eastAsia="x-none"/>
        </w:rPr>
        <w:t>:</w:t>
      </w:r>
    </w:p>
    <w:p w14:paraId="00E19F2A" w14:textId="77777777" w:rsidR="005C20D0" w:rsidRPr="006560C0" w:rsidRDefault="005C20D0" w:rsidP="005C20D0">
      <w:pPr>
        <w:pStyle w:val="ARTICULOS"/>
        <w:numPr>
          <w:ilvl w:val="0"/>
          <w:numId w:val="0"/>
        </w:numPr>
        <w:ind w:left="1134"/>
        <w:rPr>
          <w:bCs w:val="0"/>
          <w:color w:val="000000" w:themeColor="text1"/>
          <w:sz w:val="28"/>
          <w:lang w:val="es-CO"/>
        </w:rPr>
      </w:pPr>
    </w:p>
    <w:p w14:paraId="6AA3C7F3" w14:textId="3CA0CEF9" w:rsidR="005C20D0" w:rsidRPr="006560C0" w:rsidRDefault="005C20D0" w:rsidP="00B53643">
      <w:pPr>
        <w:pStyle w:val="Prrafodelista"/>
        <w:numPr>
          <w:ilvl w:val="0"/>
          <w:numId w:val="106"/>
        </w:numPr>
        <w:ind w:left="993"/>
        <w:contextualSpacing/>
        <w:jc w:val="both"/>
        <w:rPr>
          <w:rFonts w:ascii="Bookman Old Style" w:hAnsi="Bookman Old Style" w:cs="Arial"/>
          <w:b/>
          <w:bCs/>
          <w:color w:val="000000" w:themeColor="text1"/>
          <w:sz w:val="24"/>
          <w:szCs w:val="24"/>
          <w:lang w:eastAsia="es-ES"/>
        </w:rPr>
      </w:pPr>
      <w:r w:rsidRPr="006560C0">
        <w:rPr>
          <w:rFonts w:ascii="Bookman Old Style" w:hAnsi="Bookman Old Style" w:cs="Arial"/>
          <w:b/>
          <w:bCs/>
          <w:color w:val="000000"/>
          <w:sz w:val="24"/>
          <w:szCs w:val="24"/>
        </w:rPr>
        <w:t xml:space="preserve">Cantidad total de energía </w:t>
      </w:r>
      <w:r w:rsidR="00380175" w:rsidRPr="006560C0">
        <w:rPr>
          <w:rFonts w:ascii="Bookman Old Style" w:hAnsi="Bookman Old Style" w:cs="Arial"/>
          <w:b/>
          <w:bCs/>
          <w:color w:val="000000"/>
          <w:sz w:val="24"/>
          <w:szCs w:val="24"/>
        </w:rPr>
        <w:t>entregada</w:t>
      </w:r>
      <w:r w:rsidRPr="006560C0">
        <w:rPr>
          <w:rFonts w:ascii="Bookman Old Style" w:hAnsi="Bookman Old Style" w:cs="Arial"/>
          <w:b/>
          <w:bCs/>
          <w:color w:val="000000"/>
          <w:sz w:val="24"/>
          <w:szCs w:val="24"/>
        </w:rPr>
        <w:t xml:space="preserve"> en el punto de salida del SNT, expresada en MBTU, para ser entregada a usuarios finales, desagregada por tipo de Demanda Esencial o no, si corresponde a demanda de usuarios regulados o no regulados, desagregado en demanda residencial y pequeños usuarios comerciales inmersos en la red de distribución, comercial, industrial, gas para transportadores, petroquímica, refinería, gas natural comprimido vehicular, generación térmica, exportaciones u otros.</w:t>
      </w:r>
    </w:p>
    <w:p w14:paraId="11012A37" w14:textId="1B6E6A07" w:rsidR="00CF2AE8" w:rsidRPr="006560C0" w:rsidRDefault="00CF2AE8" w:rsidP="00CF2AE8">
      <w:pPr>
        <w:pStyle w:val="Prrafodelista"/>
        <w:ind w:left="993"/>
        <w:contextualSpacing/>
        <w:jc w:val="both"/>
        <w:rPr>
          <w:rFonts w:ascii="Bookman Old Style" w:hAnsi="Bookman Old Style" w:cs="Arial"/>
          <w:b/>
          <w:bCs/>
          <w:color w:val="000000" w:themeColor="text1"/>
          <w:sz w:val="24"/>
          <w:szCs w:val="24"/>
          <w:lang w:eastAsia="es-ES"/>
        </w:rPr>
      </w:pPr>
    </w:p>
    <w:p w14:paraId="3FC035E9" w14:textId="100B0B10" w:rsidR="00CF2AE8" w:rsidRPr="006560C0" w:rsidRDefault="00CF2AE8" w:rsidP="00B53643">
      <w:pPr>
        <w:pStyle w:val="Prrafodelista"/>
        <w:numPr>
          <w:ilvl w:val="0"/>
          <w:numId w:val="106"/>
        </w:numPr>
        <w:ind w:left="993" w:hanging="426"/>
        <w:contextualSpacing/>
        <w:jc w:val="both"/>
        <w:rPr>
          <w:rFonts w:ascii="Bookman Old Style" w:hAnsi="Bookman Old Style" w:cs="Arial"/>
          <w:b/>
          <w:bCs/>
          <w:color w:val="000000" w:themeColor="text1"/>
          <w:sz w:val="24"/>
          <w:szCs w:val="24"/>
          <w:lang w:eastAsia="es-ES"/>
        </w:rPr>
      </w:pPr>
      <w:r w:rsidRPr="006560C0">
        <w:rPr>
          <w:rFonts w:ascii="Bookman Old Style" w:hAnsi="Bookman Old Style" w:cs="Arial"/>
          <w:b/>
          <w:bCs/>
          <w:color w:val="000000"/>
          <w:sz w:val="24"/>
          <w:szCs w:val="24"/>
        </w:rPr>
        <w:t xml:space="preserve">Cantidad total de energía entregada </w:t>
      </w:r>
      <w:r w:rsidR="00EA7D12" w:rsidRPr="006560C0">
        <w:rPr>
          <w:rFonts w:ascii="Bookman Old Style" w:hAnsi="Bookman Old Style" w:cs="Arial"/>
          <w:b/>
          <w:bCs/>
          <w:color w:val="000000" w:themeColor="text1"/>
          <w:sz w:val="24"/>
          <w:szCs w:val="24"/>
          <w:lang w:eastAsia="es-ES"/>
        </w:rPr>
        <w:t>a</w:t>
      </w:r>
      <w:r w:rsidRPr="006560C0">
        <w:rPr>
          <w:rFonts w:ascii="Bookman Old Style" w:hAnsi="Bookman Old Style" w:cs="Arial"/>
          <w:b/>
          <w:bCs/>
          <w:color w:val="000000" w:themeColor="text1"/>
          <w:sz w:val="24"/>
          <w:szCs w:val="24"/>
          <w:lang w:eastAsia="es-ES"/>
        </w:rPr>
        <w:t xml:space="preserve"> otros medios de transporte como transporte terrestre para gas natural comprimido, transporte terrestre </w:t>
      </w:r>
      <w:r w:rsidR="0032317D" w:rsidRPr="006560C0">
        <w:rPr>
          <w:rFonts w:ascii="Bookman Old Style" w:hAnsi="Bookman Old Style" w:cs="Arial"/>
          <w:b/>
          <w:bCs/>
          <w:color w:val="000000" w:themeColor="text1"/>
          <w:sz w:val="24"/>
          <w:szCs w:val="24"/>
          <w:lang w:eastAsia="es-ES"/>
        </w:rPr>
        <w:t xml:space="preserve">para </w:t>
      </w:r>
      <w:r w:rsidRPr="006560C0">
        <w:rPr>
          <w:rFonts w:ascii="Bookman Old Style" w:hAnsi="Bookman Old Style" w:cs="Arial"/>
          <w:b/>
          <w:bCs/>
          <w:color w:val="000000" w:themeColor="text1"/>
          <w:sz w:val="24"/>
          <w:szCs w:val="24"/>
          <w:lang w:eastAsia="es-ES"/>
        </w:rPr>
        <w:t>gas natural licuado</w:t>
      </w:r>
      <w:r w:rsidRPr="006560C0">
        <w:rPr>
          <w:rFonts w:ascii="Bookman Old Style" w:hAnsi="Bookman Old Style" w:cs="Arial"/>
          <w:b/>
          <w:bCs/>
          <w:color w:val="000000"/>
          <w:sz w:val="24"/>
          <w:szCs w:val="24"/>
        </w:rPr>
        <w:t>, expresada en MBTU, para ser entregada a usuarios finales, desagregada por tipo de Demanda Esencial o no, si corresponde a demanda de usuarios regulados o no regulados, desagregado en demanda residencial y pequeños usuarios comerciales inmersos en la red de distribución, comercial, industrial, gas para transportadores, petroquímica, refinería, gas natural comprimido vehicular, generación térmica, exportaciones u otros.</w:t>
      </w:r>
    </w:p>
    <w:p w14:paraId="38B5C2CB" w14:textId="77777777" w:rsidR="00CF2AE8" w:rsidRPr="006560C0" w:rsidRDefault="00CF2AE8" w:rsidP="00264AA7">
      <w:pPr>
        <w:pStyle w:val="Prrafodelista"/>
        <w:ind w:left="993"/>
        <w:contextualSpacing/>
        <w:jc w:val="both"/>
        <w:rPr>
          <w:rFonts w:ascii="Bookman Old Style" w:hAnsi="Bookman Old Style" w:cs="Arial"/>
          <w:b/>
          <w:bCs/>
          <w:color w:val="000000" w:themeColor="text1"/>
          <w:sz w:val="24"/>
          <w:szCs w:val="24"/>
          <w:lang w:eastAsia="es-ES"/>
        </w:rPr>
      </w:pPr>
    </w:p>
    <w:p w14:paraId="2D7761A2" w14:textId="57E96243" w:rsidR="005C20D0" w:rsidRPr="006560C0" w:rsidRDefault="005C20D0" w:rsidP="005C20D0">
      <w:pPr>
        <w:ind w:left="0"/>
        <w:jc w:val="both"/>
        <w:rPr>
          <w:rFonts w:ascii="Bookman Old Style" w:hAnsi="Bookman Old Style" w:cs="Arial"/>
          <w:color w:val="000000"/>
          <w:sz w:val="28"/>
          <w:lang w:val="es-CO"/>
        </w:rPr>
      </w:pPr>
    </w:p>
    <w:p w14:paraId="76BB1DA4" w14:textId="25EAF746" w:rsidR="00403755" w:rsidRPr="006560C0" w:rsidRDefault="00403755" w:rsidP="00D023AC">
      <w:pPr>
        <w:ind w:left="709"/>
        <w:contextualSpacing/>
        <w:jc w:val="both"/>
        <w:rPr>
          <w:rFonts w:ascii="Bookman Old Style" w:hAnsi="Bookman Old Style" w:cs="Arial"/>
          <w:b/>
          <w:bCs/>
          <w:color w:val="000000" w:themeColor="text1"/>
          <w:lang w:val="es-CO"/>
        </w:rPr>
      </w:pPr>
      <w:r w:rsidRPr="006560C0">
        <w:rPr>
          <w:rFonts w:ascii="Bookman Old Style" w:hAnsi="Bookman Old Style" w:cs="Arial"/>
          <w:color w:val="000000"/>
          <w:lang w:val="es-CO"/>
        </w:rPr>
        <w:t xml:space="preserve">El comercializador </w:t>
      </w:r>
      <w:r w:rsidR="00D023AC" w:rsidRPr="006560C0">
        <w:rPr>
          <w:rFonts w:ascii="Bookman Old Style" w:hAnsi="Bookman Old Style" w:cs="Arial"/>
          <w:color w:val="000000"/>
          <w:lang w:val="es-CO"/>
        </w:rPr>
        <w:t>declarará el número del contrato bajo el cual se transportó dicho gas, si el punto de entrega del contrato de suministro, corresponde a un punto de entrada al SNT</w:t>
      </w:r>
      <w:r w:rsidR="00A95F82">
        <w:rPr>
          <w:rFonts w:ascii="Bookman Old Style" w:hAnsi="Bookman Old Style" w:cs="Arial"/>
          <w:color w:val="000000"/>
          <w:lang w:val="es-CO"/>
        </w:rPr>
        <w:t xml:space="preserve"> </w:t>
      </w:r>
      <w:r w:rsidRPr="006560C0">
        <w:rPr>
          <w:rFonts w:ascii="Bookman Old Style" w:hAnsi="Bookman Old Style" w:cs="Arial"/>
          <w:b/>
          <w:bCs/>
          <w:color w:val="000000"/>
          <w:lang w:val="es-CO"/>
        </w:rPr>
        <w:t>hasta los puntos de salida del SNT o hasta el domicilio del UNR.</w:t>
      </w:r>
    </w:p>
    <w:p w14:paraId="2F6B7916" w14:textId="017408EE" w:rsidR="005C20D0" w:rsidRDefault="005C20D0" w:rsidP="005C20D0">
      <w:pPr>
        <w:ind w:left="0"/>
        <w:jc w:val="both"/>
        <w:rPr>
          <w:rFonts w:ascii="Bookman Old Style" w:hAnsi="Bookman Old Style" w:cs="Arial"/>
          <w:color w:val="000000"/>
          <w:sz w:val="28"/>
          <w:lang w:val="es-CO"/>
        </w:rPr>
      </w:pPr>
    </w:p>
    <w:p w14:paraId="5B8734A0" w14:textId="77777777" w:rsidR="006560C0" w:rsidRPr="006560C0" w:rsidRDefault="006560C0" w:rsidP="005C20D0">
      <w:pPr>
        <w:ind w:left="0"/>
        <w:jc w:val="both"/>
        <w:rPr>
          <w:rFonts w:ascii="Bookman Old Style" w:hAnsi="Bookman Old Style" w:cs="Arial"/>
          <w:color w:val="000000"/>
          <w:sz w:val="28"/>
          <w:lang w:val="es-CO"/>
        </w:rPr>
      </w:pPr>
    </w:p>
    <w:p w14:paraId="2C41344F" w14:textId="7E944DF1" w:rsidR="00B52979" w:rsidRPr="006560C0" w:rsidRDefault="00B52979" w:rsidP="00A4790E">
      <w:pPr>
        <w:numPr>
          <w:ilvl w:val="0"/>
          <w:numId w:val="44"/>
        </w:numPr>
        <w:autoSpaceDE w:val="0"/>
        <w:autoSpaceDN w:val="0"/>
        <w:adjustRightInd w:val="0"/>
        <w:ind w:left="567" w:hanging="567"/>
        <w:jc w:val="both"/>
        <w:rPr>
          <w:rFonts w:ascii="Bookman Old Style" w:hAnsi="Bookman Old Style" w:cs="Arial"/>
          <w:b/>
          <w:bCs/>
          <w:color w:val="000000" w:themeColor="text1"/>
          <w:lang w:val="es-CO"/>
        </w:rPr>
      </w:pPr>
      <w:r w:rsidRPr="006560C0">
        <w:rPr>
          <w:rFonts w:ascii="Bookman Old Style" w:hAnsi="Bookman Old Style" w:cs="Arial"/>
          <w:b/>
          <w:bCs/>
          <w:color w:val="000000" w:themeColor="text1"/>
          <w:lang w:val="es-CO"/>
        </w:rPr>
        <w:t xml:space="preserve">Suministro </w:t>
      </w:r>
      <w:r w:rsidR="00B53643" w:rsidRPr="006560C0">
        <w:rPr>
          <w:rFonts w:ascii="Bookman Old Style" w:hAnsi="Bookman Old Style" w:cs="Arial"/>
          <w:b/>
          <w:bCs/>
          <w:color w:val="000000" w:themeColor="text1"/>
          <w:lang w:val="es-CO"/>
        </w:rPr>
        <w:t xml:space="preserve">en el mercado minorista </w:t>
      </w:r>
      <w:r w:rsidR="00074788" w:rsidRPr="006560C0">
        <w:rPr>
          <w:rFonts w:ascii="Bookman Old Style" w:hAnsi="Bookman Old Style" w:cs="Arial"/>
          <w:b/>
          <w:bCs/>
          <w:color w:val="000000" w:themeColor="text1"/>
          <w:lang w:val="es-CO"/>
        </w:rPr>
        <w:t>a usuarios no regulados</w:t>
      </w:r>
      <w:r w:rsidRPr="006560C0">
        <w:rPr>
          <w:rFonts w:ascii="Bookman Old Style" w:hAnsi="Bookman Old Style" w:cs="Arial"/>
          <w:b/>
          <w:bCs/>
          <w:color w:val="000000" w:themeColor="text1"/>
          <w:lang w:val="es-CO"/>
        </w:rPr>
        <w:t>:</w:t>
      </w:r>
    </w:p>
    <w:p w14:paraId="5C808926" w14:textId="77777777" w:rsidR="00B52979" w:rsidRPr="006560C0" w:rsidRDefault="00B52979" w:rsidP="00B52979">
      <w:pPr>
        <w:pStyle w:val="ARTICULOS"/>
        <w:numPr>
          <w:ilvl w:val="0"/>
          <w:numId w:val="0"/>
        </w:numPr>
        <w:rPr>
          <w:bCs w:val="0"/>
          <w:color w:val="000000" w:themeColor="text1"/>
          <w:sz w:val="28"/>
          <w:lang w:val="es-CO"/>
        </w:rPr>
      </w:pPr>
    </w:p>
    <w:p w14:paraId="4A1A5776" w14:textId="52C13276" w:rsidR="00B52979" w:rsidRPr="006560C0" w:rsidRDefault="00074788" w:rsidP="00B52979">
      <w:pPr>
        <w:autoSpaceDE w:val="0"/>
        <w:autoSpaceDN w:val="0"/>
        <w:adjustRightInd w:val="0"/>
        <w:jc w:val="both"/>
        <w:rPr>
          <w:rFonts w:ascii="Bookman Old Style" w:hAnsi="Bookman Old Style"/>
          <w:b/>
          <w:color w:val="000000" w:themeColor="text1"/>
          <w:lang w:val="es-CO" w:eastAsia="x-none"/>
        </w:rPr>
      </w:pPr>
      <w:r w:rsidRPr="006560C0">
        <w:rPr>
          <w:rFonts w:ascii="Bookman Old Style" w:hAnsi="Bookman Old Style"/>
          <w:b/>
          <w:color w:val="000000"/>
          <w:lang w:val="es-CO"/>
        </w:rPr>
        <w:t xml:space="preserve">Entre lunes y martes de cada semana los usuarios no regulados deberán declarar al gestor del mercado la </w:t>
      </w:r>
      <w:r w:rsidR="00B52979" w:rsidRPr="006560C0">
        <w:rPr>
          <w:rFonts w:ascii="Bookman Old Style" w:hAnsi="Bookman Old Style"/>
          <w:b/>
          <w:color w:val="000000"/>
          <w:lang w:val="es-CO"/>
        </w:rPr>
        <w:t>siguiente información operativa</w:t>
      </w:r>
      <w:r w:rsidRPr="006560C0">
        <w:rPr>
          <w:rFonts w:ascii="Bookman Old Style" w:hAnsi="Bookman Old Style"/>
          <w:b/>
          <w:color w:val="000000"/>
          <w:lang w:val="es-CO"/>
        </w:rPr>
        <w:t xml:space="preserve"> correspondiente </w:t>
      </w:r>
      <w:r w:rsidR="00B53643" w:rsidRPr="006560C0">
        <w:rPr>
          <w:rFonts w:ascii="Bookman Old Style" w:hAnsi="Bookman Old Style"/>
          <w:b/>
          <w:color w:val="000000"/>
          <w:lang w:val="es-CO"/>
        </w:rPr>
        <w:t xml:space="preserve">al período transcurrido entre el </w:t>
      </w:r>
      <w:r w:rsidRPr="006560C0">
        <w:rPr>
          <w:rFonts w:ascii="Bookman Old Style" w:hAnsi="Bookman Old Style"/>
          <w:b/>
          <w:color w:val="000000"/>
          <w:lang w:val="es-CO"/>
        </w:rPr>
        <w:t xml:space="preserve">lunes </w:t>
      </w:r>
      <w:r w:rsidR="00B53643" w:rsidRPr="006560C0">
        <w:rPr>
          <w:rFonts w:ascii="Bookman Old Style" w:hAnsi="Bookman Old Style"/>
          <w:b/>
          <w:color w:val="000000"/>
          <w:lang w:val="es-CO"/>
        </w:rPr>
        <w:t>y</w:t>
      </w:r>
      <w:r w:rsidRPr="006560C0">
        <w:rPr>
          <w:rFonts w:ascii="Bookman Old Style" w:hAnsi="Bookman Old Style"/>
          <w:b/>
          <w:color w:val="000000"/>
          <w:lang w:val="es-CO"/>
        </w:rPr>
        <w:t xml:space="preserve"> domingo de la semana inmediatamente anterior</w:t>
      </w:r>
      <w:r w:rsidR="00B52979" w:rsidRPr="006560C0">
        <w:rPr>
          <w:rFonts w:ascii="Bookman Old Style" w:hAnsi="Bookman Old Style"/>
          <w:b/>
          <w:color w:val="000000"/>
          <w:lang w:val="es-CO" w:eastAsia="x-none"/>
        </w:rPr>
        <w:t>:</w:t>
      </w:r>
    </w:p>
    <w:p w14:paraId="6F9A2FD8" w14:textId="77777777" w:rsidR="00B52979" w:rsidRPr="006560C0" w:rsidRDefault="00B52979" w:rsidP="00B52979">
      <w:pPr>
        <w:pStyle w:val="ARTICULOS"/>
        <w:numPr>
          <w:ilvl w:val="0"/>
          <w:numId w:val="0"/>
        </w:numPr>
        <w:ind w:left="1134"/>
        <w:rPr>
          <w:bCs w:val="0"/>
          <w:color w:val="000000" w:themeColor="text1"/>
          <w:sz w:val="28"/>
          <w:lang w:val="es-CO"/>
        </w:rPr>
      </w:pPr>
    </w:p>
    <w:p w14:paraId="270C9F79" w14:textId="0C71F4FE" w:rsidR="001C4277" w:rsidRPr="006560C0" w:rsidRDefault="001C4277" w:rsidP="00A4790E">
      <w:pPr>
        <w:pStyle w:val="Prrafodelista"/>
        <w:numPr>
          <w:ilvl w:val="0"/>
          <w:numId w:val="96"/>
        </w:numPr>
        <w:ind w:left="993"/>
        <w:contextualSpacing/>
        <w:jc w:val="both"/>
        <w:rPr>
          <w:rFonts w:ascii="Bookman Old Style" w:hAnsi="Bookman Old Style" w:cs="Arial"/>
          <w:b/>
          <w:bCs/>
          <w:color w:val="000000" w:themeColor="text1"/>
          <w:sz w:val="24"/>
          <w:szCs w:val="24"/>
          <w:lang w:eastAsia="es-ES"/>
        </w:rPr>
      </w:pPr>
      <w:r w:rsidRPr="006560C0">
        <w:rPr>
          <w:rFonts w:ascii="Bookman Old Style" w:hAnsi="Bookman Old Style" w:cs="Arial"/>
          <w:b/>
          <w:bCs/>
          <w:color w:val="000000"/>
          <w:sz w:val="24"/>
          <w:szCs w:val="24"/>
        </w:rPr>
        <w:t>Cantidad total de energía tomada</w:t>
      </w:r>
      <w:r w:rsidR="005D3359" w:rsidRPr="006560C0">
        <w:rPr>
          <w:rFonts w:ascii="Bookman Old Style" w:hAnsi="Bookman Old Style" w:cs="Arial"/>
          <w:b/>
          <w:bCs/>
          <w:color w:val="000000"/>
          <w:sz w:val="24"/>
          <w:szCs w:val="24"/>
        </w:rPr>
        <w:t xml:space="preserve"> de acuerdo con el medio de transporte utilizado (punto de salida de SNT, punto de entrega en fuente de suministro, punto de entrega para transporte terrestre, punto de descompresión de GNC, etc.)</w:t>
      </w:r>
      <w:r w:rsidRPr="006560C0">
        <w:rPr>
          <w:rFonts w:ascii="Bookman Old Style" w:hAnsi="Bookman Old Style" w:cs="Arial"/>
          <w:b/>
          <w:bCs/>
          <w:color w:val="000000"/>
          <w:sz w:val="24"/>
          <w:szCs w:val="24"/>
        </w:rPr>
        <w:t>, expresada en MBTU.</w:t>
      </w:r>
    </w:p>
    <w:p w14:paraId="0814BF8A" w14:textId="77777777" w:rsidR="001C4277" w:rsidRPr="006560C0" w:rsidRDefault="001C4277" w:rsidP="001C4277">
      <w:pPr>
        <w:pStyle w:val="Prrafodelista"/>
        <w:ind w:left="993"/>
        <w:contextualSpacing/>
        <w:jc w:val="both"/>
        <w:rPr>
          <w:rFonts w:ascii="Bookman Old Style" w:hAnsi="Bookman Old Style" w:cs="Arial"/>
          <w:b/>
          <w:bCs/>
          <w:color w:val="000000" w:themeColor="text1"/>
          <w:sz w:val="24"/>
          <w:szCs w:val="24"/>
          <w:lang w:eastAsia="es-ES"/>
        </w:rPr>
      </w:pPr>
    </w:p>
    <w:p w14:paraId="2CA0B4B4" w14:textId="77777777" w:rsidR="00B52979" w:rsidRPr="006560C0" w:rsidRDefault="00B52979" w:rsidP="00B52979">
      <w:pPr>
        <w:pStyle w:val="Prrafodelista"/>
        <w:ind w:left="426"/>
        <w:rPr>
          <w:rFonts w:ascii="Bookman Old Style" w:hAnsi="Bookman Old Style"/>
          <w:b/>
          <w:bCs/>
          <w:sz w:val="24"/>
          <w:szCs w:val="24"/>
        </w:rPr>
      </w:pPr>
    </w:p>
    <w:p w14:paraId="54F81F76" w14:textId="17261FDA" w:rsidR="0006302B" w:rsidRPr="008509CD" w:rsidRDefault="0006302B" w:rsidP="00A4790E">
      <w:pPr>
        <w:pStyle w:val="Prrafodelista"/>
        <w:numPr>
          <w:ilvl w:val="0"/>
          <w:numId w:val="44"/>
        </w:numPr>
        <w:ind w:left="426" w:hanging="426"/>
        <w:rPr>
          <w:rFonts w:ascii="Bookman Old Style" w:hAnsi="Bookman Old Style"/>
          <w:b/>
          <w:bCs/>
          <w:sz w:val="24"/>
          <w:szCs w:val="24"/>
        </w:rPr>
      </w:pPr>
      <w:r w:rsidRPr="008509CD">
        <w:rPr>
          <w:rFonts w:ascii="Bookman Old Style" w:hAnsi="Bookman Old Style"/>
          <w:b/>
          <w:bCs/>
          <w:sz w:val="24"/>
          <w:szCs w:val="24"/>
        </w:rPr>
        <w:t>Información sobre nominaciones de suministro de gas:</w:t>
      </w:r>
    </w:p>
    <w:p w14:paraId="4DDBC8B5" w14:textId="77777777" w:rsidR="0006302B" w:rsidRPr="008509CD" w:rsidRDefault="0006302B" w:rsidP="0006302B">
      <w:pPr>
        <w:ind w:left="360"/>
        <w:rPr>
          <w:rFonts w:ascii="Bookman Old Style" w:hAnsi="Bookman Old Style"/>
          <w:b/>
          <w:bCs/>
        </w:rPr>
      </w:pPr>
    </w:p>
    <w:p w14:paraId="03AFB59A" w14:textId="62C754BA" w:rsidR="0006302B" w:rsidRDefault="0006302B" w:rsidP="0006302B">
      <w:pPr>
        <w:spacing w:after="160" w:line="259" w:lineRule="auto"/>
        <w:ind w:left="360"/>
        <w:contextualSpacing/>
        <w:jc w:val="both"/>
        <w:rPr>
          <w:rFonts w:ascii="Bookman Old Style" w:hAnsi="Bookman Old Style"/>
          <w:b/>
          <w:bCs/>
        </w:rPr>
      </w:pPr>
      <w:r w:rsidRPr="008509CD">
        <w:rPr>
          <w:rFonts w:ascii="Bookman Old Style" w:hAnsi="Bookman Old Style"/>
          <w:b/>
          <w:bCs/>
        </w:rPr>
        <w:lastRenderedPageBreak/>
        <w:t xml:space="preserve">Los </w:t>
      </w:r>
      <w:r w:rsidR="00E46B0B">
        <w:rPr>
          <w:rFonts w:ascii="Bookman Old Style" w:hAnsi="Bookman Old Style"/>
          <w:b/>
          <w:bCs/>
        </w:rPr>
        <w:t xml:space="preserve">compradores del mercado </w:t>
      </w:r>
      <w:r w:rsidR="00D92644">
        <w:rPr>
          <w:rFonts w:ascii="Bookman Old Style" w:hAnsi="Bookman Old Style"/>
          <w:b/>
          <w:bCs/>
        </w:rPr>
        <w:t>primario</w:t>
      </w:r>
      <w:r w:rsidRPr="008509CD">
        <w:rPr>
          <w:rFonts w:ascii="Bookman Old Style" w:hAnsi="Bookman Old Style"/>
          <w:b/>
          <w:bCs/>
        </w:rPr>
        <w:t xml:space="preserve"> que adquieren suministro de gas </w:t>
      </w:r>
      <w:r w:rsidR="00B8161D">
        <w:rPr>
          <w:rFonts w:ascii="Bookman Old Style" w:hAnsi="Bookman Old Style"/>
          <w:b/>
          <w:bCs/>
        </w:rPr>
        <w:t xml:space="preserve">o derechos de suministro </w:t>
      </w:r>
      <w:r w:rsidRPr="008509CD">
        <w:rPr>
          <w:rFonts w:ascii="Bookman Old Style" w:hAnsi="Bookman Old Style"/>
          <w:b/>
          <w:bCs/>
        </w:rPr>
        <w:t>en el mercado</w:t>
      </w:r>
      <w:r w:rsidR="00D46F74">
        <w:rPr>
          <w:rFonts w:ascii="Bookman Old Style" w:hAnsi="Bookman Old Style"/>
          <w:b/>
          <w:bCs/>
        </w:rPr>
        <w:t xml:space="preserve"> </w:t>
      </w:r>
      <w:proofErr w:type="gramStart"/>
      <w:r w:rsidR="00366358">
        <w:rPr>
          <w:rFonts w:ascii="Bookman Old Style" w:hAnsi="Bookman Old Style"/>
          <w:b/>
          <w:bCs/>
        </w:rPr>
        <w:t>mayorista</w:t>
      </w:r>
      <w:r w:rsidRPr="008509CD">
        <w:rPr>
          <w:rFonts w:ascii="Bookman Old Style" w:hAnsi="Bookman Old Style"/>
          <w:b/>
          <w:bCs/>
        </w:rPr>
        <w:t>,</w:t>
      </w:r>
      <w:proofErr w:type="gramEnd"/>
      <w:r w:rsidRPr="008509CD">
        <w:rPr>
          <w:rFonts w:ascii="Bookman Old Style" w:hAnsi="Bookman Old Style"/>
          <w:b/>
          <w:bCs/>
        </w:rPr>
        <w:t xml:space="preserve"> deberán declarar</w:t>
      </w:r>
      <w:r>
        <w:rPr>
          <w:rFonts w:ascii="Bookman Old Style" w:hAnsi="Bookman Old Style"/>
          <w:b/>
          <w:bCs/>
        </w:rPr>
        <w:t xml:space="preserve"> </w:t>
      </w:r>
      <w:r w:rsidR="008C4E2A">
        <w:rPr>
          <w:rFonts w:ascii="Bookman Old Style" w:hAnsi="Bookman Old Style"/>
          <w:b/>
          <w:bCs/>
        </w:rPr>
        <w:t xml:space="preserve">mensualmente </w:t>
      </w:r>
      <w:r>
        <w:rPr>
          <w:rFonts w:ascii="Bookman Old Style" w:hAnsi="Bookman Old Style"/>
          <w:b/>
          <w:bCs/>
        </w:rPr>
        <w:t xml:space="preserve">la información de </w:t>
      </w:r>
      <w:r w:rsidR="00B8161D">
        <w:rPr>
          <w:rFonts w:ascii="Bookman Old Style" w:hAnsi="Bookman Old Style"/>
          <w:b/>
          <w:bCs/>
        </w:rPr>
        <w:t>nominaciones</w:t>
      </w:r>
      <w:r w:rsidR="00433E81">
        <w:rPr>
          <w:rFonts w:ascii="Bookman Old Style" w:hAnsi="Bookman Old Style"/>
          <w:b/>
          <w:bCs/>
        </w:rPr>
        <w:t xml:space="preserve"> de gas. Lo anterior</w:t>
      </w:r>
      <w:r>
        <w:rPr>
          <w:rFonts w:ascii="Bookman Old Style" w:hAnsi="Bookman Old Style"/>
          <w:b/>
          <w:bCs/>
        </w:rPr>
        <w:t xml:space="preserve"> de acuerdo con la propuesta que para el efecto presente el </w:t>
      </w:r>
      <w:r w:rsidR="0022131A" w:rsidRPr="002D5416">
        <w:rPr>
          <w:rFonts w:ascii="Bookman Old Style" w:hAnsi="Bookman Old Style"/>
          <w:b/>
          <w:u w:color="FF0000"/>
        </w:rPr>
        <w:t>Gestor</w:t>
      </w:r>
      <w:r w:rsidRPr="009F7684">
        <w:rPr>
          <w:rFonts w:ascii="Bookman Old Style" w:hAnsi="Bookman Old Style"/>
          <w:b/>
        </w:rPr>
        <w:t xml:space="preserve"> </w:t>
      </w:r>
      <w:r>
        <w:rPr>
          <w:rFonts w:ascii="Bookman Old Style" w:hAnsi="Bookman Old Style"/>
          <w:b/>
          <w:bCs/>
        </w:rPr>
        <w:t xml:space="preserve">del Mercado dentro del mes siguiente a la </w:t>
      </w:r>
      <w:proofErr w:type="gramStart"/>
      <w:r>
        <w:rPr>
          <w:rFonts w:ascii="Bookman Old Style" w:hAnsi="Bookman Old Style"/>
          <w:b/>
          <w:bCs/>
        </w:rPr>
        <w:t>entrada en vigencia</w:t>
      </w:r>
      <w:proofErr w:type="gramEnd"/>
      <w:r>
        <w:rPr>
          <w:rFonts w:ascii="Bookman Old Style" w:hAnsi="Bookman Old Style"/>
          <w:b/>
          <w:bCs/>
        </w:rPr>
        <w:t xml:space="preserve"> de la presente Resolución, la cual debe ser adoptada por la CREG mediante resolución aparte.</w:t>
      </w:r>
    </w:p>
    <w:p w14:paraId="06D6935D" w14:textId="77777777" w:rsidR="0006302B" w:rsidRPr="008509CD" w:rsidRDefault="0006302B" w:rsidP="0006302B">
      <w:pPr>
        <w:rPr>
          <w:rFonts w:ascii="Bookman Old Style" w:hAnsi="Bookman Old Style"/>
          <w:b/>
          <w:bCs/>
        </w:rPr>
      </w:pPr>
    </w:p>
    <w:p w14:paraId="70E01606" w14:textId="58BA4691" w:rsidR="0006302B" w:rsidRPr="008509CD" w:rsidRDefault="0006302B" w:rsidP="00A4790E">
      <w:pPr>
        <w:pStyle w:val="Prrafodelista"/>
        <w:numPr>
          <w:ilvl w:val="0"/>
          <w:numId w:val="44"/>
        </w:numPr>
        <w:ind w:left="426" w:hanging="426"/>
        <w:rPr>
          <w:rFonts w:ascii="Bookman Old Style" w:hAnsi="Bookman Old Style"/>
          <w:b/>
          <w:bCs/>
          <w:sz w:val="24"/>
          <w:szCs w:val="24"/>
        </w:rPr>
      </w:pPr>
      <w:r w:rsidRPr="008509CD">
        <w:rPr>
          <w:rFonts w:ascii="Bookman Old Style" w:hAnsi="Bookman Old Style"/>
          <w:b/>
          <w:bCs/>
          <w:sz w:val="24"/>
          <w:szCs w:val="24"/>
        </w:rPr>
        <w:t xml:space="preserve">Información sobre </w:t>
      </w:r>
      <w:proofErr w:type="spellStart"/>
      <w:r w:rsidRPr="008509CD">
        <w:rPr>
          <w:rFonts w:ascii="Bookman Old Style" w:hAnsi="Bookman Old Style"/>
          <w:b/>
          <w:bCs/>
          <w:sz w:val="24"/>
          <w:szCs w:val="24"/>
        </w:rPr>
        <w:t>renominaciones</w:t>
      </w:r>
      <w:proofErr w:type="spellEnd"/>
      <w:r w:rsidRPr="008509CD">
        <w:rPr>
          <w:rFonts w:ascii="Bookman Old Style" w:hAnsi="Bookman Old Style"/>
          <w:b/>
          <w:bCs/>
          <w:sz w:val="24"/>
          <w:szCs w:val="24"/>
        </w:rPr>
        <w:t xml:space="preserve"> de suministro de gas</w:t>
      </w:r>
      <w:r w:rsidR="008C4E2A">
        <w:rPr>
          <w:rFonts w:ascii="Bookman Old Style" w:hAnsi="Bookman Old Style"/>
          <w:b/>
          <w:bCs/>
          <w:sz w:val="24"/>
          <w:szCs w:val="24"/>
        </w:rPr>
        <w:t>:</w:t>
      </w:r>
    </w:p>
    <w:p w14:paraId="5FB9C9B5" w14:textId="77777777" w:rsidR="0006302B" w:rsidRPr="008509CD" w:rsidRDefault="0006302B" w:rsidP="0006302B">
      <w:pPr>
        <w:ind w:left="360"/>
        <w:rPr>
          <w:rFonts w:ascii="Bookman Old Style" w:hAnsi="Bookman Old Style"/>
          <w:b/>
          <w:bCs/>
        </w:rPr>
      </w:pPr>
    </w:p>
    <w:p w14:paraId="757C0363" w14:textId="04256331" w:rsidR="0006302B" w:rsidRDefault="0006302B" w:rsidP="0006302B">
      <w:pPr>
        <w:spacing w:after="160" w:line="259" w:lineRule="auto"/>
        <w:ind w:left="360"/>
        <w:contextualSpacing/>
        <w:jc w:val="both"/>
        <w:rPr>
          <w:rFonts w:ascii="Bookman Old Style" w:hAnsi="Bookman Old Style"/>
          <w:b/>
          <w:bCs/>
        </w:rPr>
      </w:pPr>
      <w:r w:rsidRPr="008509CD">
        <w:rPr>
          <w:rFonts w:ascii="Bookman Old Style" w:hAnsi="Bookman Old Style"/>
          <w:b/>
          <w:bCs/>
        </w:rPr>
        <w:t xml:space="preserve">Los </w:t>
      </w:r>
      <w:r w:rsidR="00B8161D">
        <w:rPr>
          <w:rFonts w:ascii="Bookman Old Style" w:hAnsi="Bookman Old Style"/>
          <w:b/>
          <w:bCs/>
        </w:rPr>
        <w:t>compradores del mercado primario</w:t>
      </w:r>
      <w:r w:rsidRPr="008509CD">
        <w:rPr>
          <w:rFonts w:ascii="Bookman Old Style" w:hAnsi="Bookman Old Style"/>
          <w:b/>
          <w:bCs/>
        </w:rPr>
        <w:t xml:space="preserve"> que adquieren suministro de gas </w:t>
      </w:r>
      <w:r w:rsidR="00B8161D">
        <w:rPr>
          <w:rFonts w:ascii="Bookman Old Style" w:hAnsi="Bookman Old Style"/>
          <w:b/>
          <w:bCs/>
        </w:rPr>
        <w:t xml:space="preserve">o vendan derechos de suministro </w:t>
      </w:r>
      <w:r w:rsidRPr="008509CD">
        <w:rPr>
          <w:rFonts w:ascii="Bookman Old Style" w:hAnsi="Bookman Old Style"/>
          <w:b/>
          <w:bCs/>
        </w:rPr>
        <w:t xml:space="preserve">en el mercado </w:t>
      </w:r>
      <w:r w:rsidR="00B8161D">
        <w:rPr>
          <w:rFonts w:ascii="Bookman Old Style" w:hAnsi="Bookman Old Style"/>
          <w:b/>
          <w:bCs/>
        </w:rPr>
        <w:t>mayorista</w:t>
      </w:r>
      <w:r w:rsidR="000B7E61">
        <w:rPr>
          <w:rFonts w:ascii="Bookman Old Style" w:hAnsi="Bookman Old Style"/>
          <w:b/>
          <w:bCs/>
        </w:rPr>
        <w:t>,</w:t>
      </w:r>
      <w:r w:rsidRPr="008509CD">
        <w:rPr>
          <w:rFonts w:ascii="Bookman Old Style" w:hAnsi="Bookman Old Style"/>
          <w:b/>
          <w:bCs/>
        </w:rPr>
        <w:t xml:space="preserve"> deberán declarar</w:t>
      </w:r>
      <w:r>
        <w:rPr>
          <w:rFonts w:ascii="Bookman Old Style" w:hAnsi="Bookman Old Style"/>
          <w:b/>
          <w:bCs/>
        </w:rPr>
        <w:t xml:space="preserve"> </w:t>
      </w:r>
      <w:r w:rsidR="008C4E2A">
        <w:rPr>
          <w:rFonts w:ascii="Bookman Old Style" w:hAnsi="Bookman Old Style"/>
          <w:b/>
          <w:bCs/>
        </w:rPr>
        <w:t xml:space="preserve">mensualmente </w:t>
      </w:r>
      <w:r>
        <w:rPr>
          <w:rFonts w:ascii="Bookman Old Style" w:hAnsi="Bookman Old Style"/>
          <w:b/>
          <w:bCs/>
        </w:rPr>
        <w:t xml:space="preserve">la información sobre </w:t>
      </w:r>
      <w:proofErr w:type="spellStart"/>
      <w:r>
        <w:rPr>
          <w:rFonts w:ascii="Bookman Old Style" w:hAnsi="Bookman Old Style"/>
          <w:b/>
          <w:bCs/>
        </w:rPr>
        <w:t>renominaciones</w:t>
      </w:r>
      <w:proofErr w:type="spellEnd"/>
      <w:r>
        <w:rPr>
          <w:rFonts w:ascii="Bookman Old Style" w:hAnsi="Bookman Old Style"/>
          <w:b/>
          <w:bCs/>
        </w:rPr>
        <w:t xml:space="preserve"> de gas</w:t>
      </w:r>
      <w:r w:rsidR="001218E8">
        <w:rPr>
          <w:rFonts w:ascii="Bookman Old Style" w:hAnsi="Bookman Old Style"/>
          <w:b/>
          <w:bCs/>
        </w:rPr>
        <w:t>. Lo anterior</w:t>
      </w:r>
      <w:r>
        <w:rPr>
          <w:rFonts w:ascii="Bookman Old Style" w:hAnsi="Bookman Old Style"/>
          <w:b/>
          <w:bCs/>
        </w:rPr>
        <w:t xml:space="preserve"> de acuerdo con la propuesta que para el efecto presente el </w:t>
      </w:r>
      <w:r w:rsidR="0022131A" w:rsidRPr="002D5416">
        <w:rPr>
          <w:rFonts w:ascii="Bookman Old Style" w:hAnsi="Bookman Old Style"/>
          <w:b/>
          <w:u w:color="FF0000"/>
        </w:rPr>
        <w:t>Gestor</w:t>
      </w:r>
      <w:r>
        <w:rPr>
          <w:rFonts w:ascii="Bookman Old Style" w:hAnsi="Bookman Old Style"/>
          <w:b/>
          <w:bCs/>
        </w:rPr>
        <w:t xml:space="preserve"> del Mercado dentro del mes siguiente a la entrada en vigor de la presente Resolución, la cual debe ser adoptada por la CREG mediante resolución aparte.</w:t>
      </w:r>
    </w:p>
    <w:p w14:paraId="79ED64AE" w14:textId="77777777" w:rsidR="0015455C" w:rsidRDefault="0015455C" w:rsidP="0015455C">
      <w:pPr>
        <w:widowControl w:val="0"/>
        <w:adjustRightInd w:val="0"/>
        <w:ind w:left="0"/>
        <w:jc w:val="both"/>
        <w:textAlignment w:val="baseline"/>
        <w:rPr>
          <w:rFonts w:ascii="Bookman Old Style" w:hAnsi="Bookman Old Style"/>
          <w:b/>
          <w:lang w:val="es-CO" w:eastAsia="x-none"/>
        </w:rPr>
      </w:pPr>
    </w:p>
    <w:p w14:paraId="1C28235F" w14:textId="094BDC5A" w:rsidR="0006302B" w:rsidRPr="00DE566B" w:rsidRDefault="0006302B" w:rsidP="0015455C">
      <w:pPr>
        <w:widowControl w:val="0"/>
        <w:adjustRightInd w:val="0"/>
        <w:ind w:left="360"/>
        <w:jc w:val="both"/>
        <w:textAlignment w:val="baseline"/>
        <w:rPr>
          <w:rFonts w:ascii="Bookman Old Style" w:hAnsi="Bookman Old Style" w:cs="Arial"/>
          <w:b/>
          <w:color w:val="000000" w:themeColor="text1"/>
          <w:lang w:val="es-CO" w:eastAsia="x-none"/>
        </w:rPr>
      </w:pPr>
      <w:r w:rsidRPr="00DE566B">
        <w:rPr>
          <w:rFonts w:ascii="Bookman Old Style" w:hAnsi="Bookman Old Style"/>
          <w:b/>
          <w:lang w:val="es-CO" w:eastAsia="x-none"/>
        </w:rPr>
        <w:t xml:space="preserve">Cuando los vendedores del mercado primario no dispongan de la información para declarar al </w:t>
      </w:r>
      <w:r w:rsidR="0022131A" w:rsidRPr="002D5416">
        <w:rPr>
          <w:rFonts w:ascii="Bookman Old Style" w:hAnsi="Bookman Old Style"/>
          <w:b/>
          <w:bCs/>
          <w:u w:color="FF0000"/>
          <w:lang w:val="es-CO" w:eastAsia="x-none"/>
        </w:rPr>
        <w:t>Gestor</w:t>
      </w:r>
      <w:r w:rsidRPr="009F7684">
        <w:rPr>
          <w:rFonts w:ascii="Bookman Old Style" w:hAnsi="Bookman Old Style"/>
          <w:b/>
          <w:bCs/>
          <w:lang w:val="es-CO" w:eastAsia="x-none"/>
        </w:rPr>
        <w:t xml:space="preserve"> la energía por sectores, en los Puntos de Entrega, exigirán que en la nominación de suministro, los compradores del mercado primario,  les señale la desagregación por tipo de demanda, es decir, </w:t>
      </w:r>
      <w:r w:rsidRPr="002D5416">
        <w:rPr>
          <w:rFonts w:ascii="Bookman Old Style" w:hAnsi="Bookman Old Style" w:cs="Arial"/>
          <w:b/>
          <w:bCs/>
          <w:lang w:val="es-CO"/>
        </w:rPr>
        <w:t>si corresponde a Demanda Esencial o no, si corresponde a usuarios regulados o no regulados, si corresponde a demanda de gas natural para la operación de las estaciones de compresión del SNT, la demanda de gas natural de usuarios residenciales y pequeños usuarios comerciales inmersos en la red de distribución, la demanda de GNCV, y la demanda de gas natural de las refinerías, excluyendo aquella con destino a autogeneración de energía eléctrica que pueda ser reemplazada con energía del sistema interconectado nacional, comercial, industrial, petroquímica, generación térmica, exportaciones u otros</w:t>
      </w:r>
      <w:r w:rsidR="000B7E61" w:rsidRPr="002D5416">
        <w:rPr>
          <w:rFonts w:ascii="Bookman Old Style" w:hAnsi="Bookman Old Style" w:cs="Arial"/>
          <w:b/>
          <w:bCs/>
          <w:lang w:val="es-CO"/>
        </w:rPr>
        <w:t xml:space="preserve">, </w:t>
      </w:r>
      <w:r w:rsidRPr="009F7684">
        <w:rPr>
          <w:rFonts w:ascii="Bookman Old Style" w:hAnsi="Bookman Old Style"/>
          <w:b/>
          <w:bCs/>
          <w:lang w:val="es-CO" w:eastAsia="x-none"/>
        </w:rPr>
        <w:t xml:space="preserve">de la energía nominada para el día de gas. </w:t>
      </w:r>
      <w:r w:rsidRPr="009F7684">
        <w:rPr>
          <w:rFonts w:ascii="Bookman Old Style" w:hAnsi="Bookman Old Style"/>
          <w:b/>
          <w:bCs/>
          <w:lang w:val="es-CO"/>
        </w:rPr>
        <w:t xml:space="preserve">El </w:t>
      </w:r>
      <w:r w:rsidR="002E5A86" w:rsidRPr="009F7684">
        <w:rPr>
          <w:rFonts w:ascii="Bookman Old Style" w:hAnsi="Bookman Old Style"/>
          <w:b/>
          <w:bCs/>
          <w:lang w:val="es-CO"/>
        </w:rPr>
        <w:t>responsable</w:t>
      </w:r>
      <w:r w:rsidR="00B8161D" w:rsidRPr="009F7684">
        <w:rPr>
          <w:rFonts w:ascii="Bookman Old Style" w:hAnsi="Bookman Old Style"/>
          <w:b/>
          <w:bCs/>
          <w:lang w:val="es-CO"/>
        </w:rPr>
        <w:t xml:space="preserve"> de la nominación </w:t>
      </w:r>
      <w:r w:rsidRPr="009F7684">
        <w:rPr>
          <w:rFonts w:ascii="Bookman Old Style" w:hAnsi="Bookman Old Style"/>
          <w:b/>
          <w:bCs/>
          <w:lang w:val="es-CO"/>
        </w:rPr>
        <w:t>deberá entregar la desagregación el mismo día de la nominación</w:t>
      </w:r>
      <w:r w:rsidR="000B7E61" w:rsidRPr="009F7684">
        <w:rPr>
          <w:rFonts w:ascii="Bookman Old Style" w:hAnsi="Bookman Old Style"/>
          <w:b/>
          <w:bCs/>
          <w:lang w:val="es-CO"/>
        </w:rPr>
        <w:t>,</w:t>
      </w:r>
      <w:r w:rsidRPr="009F7684">
        <w:rPr>
          <w:rFonts w:ascii="Bookman Old Style" w:hAnsi="Bookman Old Style"/>
          <w:b/>
          <w:bCs/>
          <w:lang w:val="es-CO"/>
        </w:rPr>
        <w:t xml:space="preserve"> en el formato que para el efecto presente el </w:t>
      </w:r>
      <w:r w:rsidR="0022131A" w:rsidRPr="002D5416">
        <w:rPr>
          <w:rFonts w:ascii="Bookman Old Style" w:hAnsi="Bookman Old Style"/>
          <w:b/>
          <w:bCs/>
          <w:u w:color="FF0000"/>
          <w:lang w:val="es-CO"/>
        </w:rPr>
        <w:t>Gestor</w:t>
      </w:r>
      <w:r w:rsidRPr="009F7684">
        <w:rPr>
          <w:rFonts w:ascii="Bookman Old Style" w:hAnsi="Bookman Old Style"/>
          <w:b/>
          <w:lang w:val="es-CO"/>
        </w:rPr>
        <w:t xml:space="preserve"> </w:t>
      </w:r>
      <w:r>
        <w:rPr>
          <w:rFonts w:ascii="Bookman Old Style" w:hAnsi="Bookman Old Style"/>
          <w:b/>
          <w:lang w:val="es-CO"/>
        </w:rPr>
        <w:t xml:space="preserve">del Mercado para aprobación de CREG en resolución aparte dentro del mes siguiente a la entrada en vigor de la presente resolución. </w:t>
      </w:r>
    </w:p>
    <w:p w14:paraId="4AE1C149" w14:textId="77777777" w:rsidR="0006302B" w:rsidRPr="00DE566B" w:rsidRDefault="0006302B" w:rsidP="0006302B">
      <w:pPr>
        <w:widowControl w:val="0"/>
        <w:adjustRightInd w:val="0"/>
        <w:ind w:left="1134"/>
        <w:jc w:val="both"/>
        <w:textAlignment w:val="baseline"/>
        <w:rPr>
          <w:rFonts w:ascii="Bookman Old Style" w:hAnsi="Bookman Old Style" w:cs="Arial"/>
          <w:b/>
          <w:color w:val="000000" w:themeColor="text1"/>
          <w:lang w:val="es-CO" w:eastAsia="x-none"/>
        </w:rPr>
      </w:pPr>
    </w:p>
    <w:p w14:paraId="7397A223" w14:textId="68C68220" w:rsidR="0006302B" w:rsidRPr="00DF61DC" w:rsidRDefault="0006302B" w:rsidP="0015455C">
      <w:pPr>
        <w:widowControl w:val="0"/>
        <w:adjustRightInd w:val="0"/>
        <w:ind w:left="360"/>
        <w:jc w:val="both"/>
        <w:textAlignment w:val="baseline"/>
        <w:rPr>
          <w:rFonts w:ascii="Bookman Old Style" w:hAnsi="Bookman Old Style"/>
          <w:bCs/>
          <w:color w:val="000000" w:themeColor="text1"/>
          <w:sz w:val="28"/>
          <w:lang w:val="es-CO"/>
        </w:rPr>
      </w:pPr>
      <w:r w:rsidRPr="00DF61DC">
        <w:rPr>
          <w:rFonts w:ascii="Bookman Old Style" w:hAnsi="Bookman Old Style" w:cs="Arial"/>
          <w:bCs/>
          <w:color w:val="000000" w:themeColor="text1"/>
          <w:lang w:val="es-CO" w:eastAsia="x-none"/>
        </w:rPr>
        <w:t xml:space="preserve">El </w:t>
      </w:r>
      <w:r w:rsidR="009F7684" w:rsidRPr="00956510">
        <w:rPr>
          <w:rFonts w:ascii="Bookman Old Style" w:hAnsi="Bookman Old Style"/>
          <w:u w:color="FF0000"/>
          <w:lang w:val="es-CO"/>
        </w:rPr>
        <w:t>Gesto</w:t>
      </w:r>
      <w:r w:rsidR="009F7684" w:rsidRPr="00E53E99">
        <w:rPr>
          <w:rFonts w:ascii="Bookman Old Style" w:hAnsi="Bookman Old Style"/>
          <w:u w:color="FF0000"/>
          <w:lang w:val="es-CO"/>
        </w:rPr>
        <w:t>r</w:t>
      </w:r>
      <w:r w:rsidR="009F7684" w:rsidRPr="00956510" w:rsidDel="00E53E99">
        <w:rPr>
          <w:color w:val="FF0000"/>
          <w:sz w:val="28"/>
          <w:u w:color="FF0000"/>
          <w:lang w:val="es-CO"/>
        </w:rPr>
        <w:t xml:space="preserve"> </w:t>
      </w:r>
      <w:r w:rsidRPr="00DF61DC">
        <w:rPr>
          <w:rFonts w:ascii="Bookman Old Style" w:hAnsi="Bookman Old Style" w:cs="Arial"/>
          <w:bCs/>
          <w:color w:val="000000" w:themeColor="text1"/>
          <w:lang w:val="es-CO" w:eastAsia="x-none"/>
        </w:rPr>
        <w:t>del Mercado definirá el medio y los formatos para la declaración de la información señalada en este literal.</w:t>
      </w:r>
    </w:p>
    <w:p w14:paraId="1B341DB7" w14:textId="77777777" w:rsidR="0006302B" w:rsidRPr="00DF61DC" w:rsidRDefault="0006302B" w:rsidP="0006302B">
      <w:pPr>
        <w:autoSpaceDE w:val="0"/>
        <w:autoSpaceDN w:val="0"/>
        <w:adjustRightInd w:val="0"/>
        <w:ind w:left="0"/>
        <w:jc w:val="both"/>
        <w:rPr>
          <w:rFonts w:ascii="Bookman Old Style" w:hAnsi="Bookman Old Style"/>
          <w:bCs/>
          <w:color w:val="000000" w:themeColor="text1"/>
          <w:sz w:val="28"/>
          <w:lang w:val="es-CO" w:eastAsia="x-none"/>
        </w:rPr>
      </w:pPr>
    </w:p>
    <w:p w14:paraId="3964B8D7" w14:textId="0468FEAE" w:rsidR="0006302B" w:rsidRPr="00DF61DC" w:rsidRDefault="0006302B" w:rsidP="008C4E2A">
      <w:pPr>
        <w:numPr>
          <w:ilvl w:val="0"/>
          <w:numId w:val="44"/>
        </w:numPr>
        <w:autoSpaceDE w:val="0"/>
        <w:autoSpaceDN w:val="0"/>
        <w:adjustRightInd w:val="0"/>
        <w:ind w:left="426" w:hanging="568"/>
        <w:jc w:val="both"/>
        <w:rPr>
          <w:rFonts w:ascii="Bookman Old Style" w:hAnsi="Bookman Old Style" w:cs="Arial"/>
          <w:color w:val="000000" w:themeColor="text1"/>
          <w:lang w:val="es-CO"/>
        </w:rPr>
      </w:pPr>
      <w:r w:rsidRPr="00DF61DC">
        <w:rPr>
          <w:rFonts w:ascii="Bookman Old Style" w:hAnsi="Bookman Old Style" w:cs="Arial"/>
          <w:color w:val="000000"/>
          <w:lang w:val="es-CO"/>
        </w:rPr>
        <w:t>Otra información operativa</w:t>
      </w:r>
      <w:r w:rsidR="008C4E2A">
        <w:rPr>
          <w:rFonts w:ascii="Bookman Old Style" w:hAnsi="Bookman Old Style" w:cs="Arial"/>
          <w:color w:val="000000"/>
          <w:lang w:val="es-CO"/>
        </w:rPr>
        <w:t>:</w:t>
      </w:r>
    </w:p>
    <w:p w14:paraId="6813F542" w14:textId="77777777" w:rsidR="0006302B" w:rsidRPr="00DF61DC" w:rsidRDefault="0006302B" w:rsidP="0006302B">
      <w:pPr>
        <w:pStyle w:val="ARTICULOS"/>
        <w:numPr>
          <w:ilvl w:val="0"/>
          <w:numId w:val="0"/>
        </w:numPr>
        <w:rPr>
          <w:bCs w:val="0"/>
          <w:color w:val="000000" w:themeColor="text1"/>
          <w:lang w:val="es-CO"/>
        </w:rPr>
      </w:pPr>
    </w:p>
    <w:p w14:paraId="60B4C70E" w14:textId="59E819DD" w:rsidR="0006302B" w:rsidRPr="00DF61DC" w:rsidRDefault="0006302B" w:rsidP="004F0CFD">
      <w:pPr>
        <w:autoSpaceDE w:val="0"/>
        <w:autoSpaceDN w:val="0"/>
        <w:adjustRightInd w:val="0"/>
        <w:ind w:left="426"/>
        <w:jc w:val="both"/>
        <w:rPr>
          <w:rFonts w:ascii="Bookman Old Style" w:hAnsi="Bookman Old Style"/>
          <w:bCs/>
          <w:color w:val="000000" w:themeColor="text1"/>
          <w:lang w:val="es-CO"/>
        </w:rPr>
      </w:pPr>
      <w:r w:rsidRPr="00DF61DC">
        <w:rPr>
          <w:rFonts w:ascii="Bookman Old Style" w:hAnsi="Bookman Old Style"/>
          <w:bCs/>
          <w:color w:val="000000" w:themeColor="text1"/>
          <w:lang w:val="es-CO"/>
        </w:rPr>
        <w:t xml:space="preserve">Los </w:t>
      </w:r>
      <w:r>
        <w:rPr>
          <w:rFonts w:ascii="Bookman Old Style" w:hAnsi="Bookman Old Style"/>
          <w:b/>
        </w:rPr>
        <w:t>Vendedores del Mercado Primario</w:t>
      </w:r>
      <w:r w:rsidRPr="00DF61DC">
        <w:rPr>
          <w:rFonts w:ascii="Bookman Old Style" w:hAnsi="Bookman Old Style"/>
          <w:bCs/>
          <w:color w:val="000000" w:themeColor="text1"/>
          <w:lang w:val="es-CO"/>
        </w:rPr>
        <w:t xml:space="preserve"> deberán declarar al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sidRPr="00DF61DC">
        <w:rPr>
          <w:rFonts w:ascii="Bookman Old Style" w:hAnsi="Bookman Old Style"/>
          <w:bCs/>
          <w:color w:val="000000" w:themeColor="text1"/>
          <w:lang w:val="es-CO"/>
        </w:rPr>
        <w:t>del Mercado la siguiente información, cada vez que sea necesario para mantenerla actualizada, por</w:t>
      </w:r>
      <w:r w:rsidR="00B3785C">
        <w:rPr>
          <w:rFonts w:ascii="Bookman Old Style" w:hAnsi="Bookman Old Style"/>
          <w:bCs/>
          <w:color w:val="000000" w:themeColor="text1"/>
          <w:lang w:val="es-CO"/>
        </w:rPr>
        <w:t xml:space="preserve"> Punto de Entrega</w:t>
      </w:r>
      <w:r>
        <w:rPr>
          <w:rFonts w:ascii="Bookman Old Style" w:hAnsi="Bookman Old Style"/>
          <w:bCs/>
          <w:color w:val="000000" w:themeColor="text1"/>
          <w:lang w:val="es-CO"/>
        </w:rPr>
        <w:t xml:space="preserve"> </w:t>
      </w:r>
      <w:r>
        <w:rPr>
          <w:rFonts w:ascii="Bookman Old Style" w:hAnsi="Bookman Old Style"/>
          <w:b/>
          <w:color w:val="000000" w:themeColor="text1"/>
          <w:lang w:val="es-CO"/>
        </w:rPr>
        <w:t xml:space="preserve">y </w:t>
      </w:r>
      <w:r w:rsidRPr="00DF61DC">
        <w:rPr>
          <w:rFonts w:ascii="Bookman Old Style" w:hAnsi="Bookman Old Style"/>
          <w:bCs/>
          <w:color w:val="000000" w:themeColor="text1"/>
          <w:lang w:val="es-CO"/>
        </w:rPr>
        <w:t xml:space="preserve">cada </w:t>
      </w:r>
      <w:r>
        <w:rPr>
          <w:rFonts w:ascii="Bookman Old Style" w:hAnsi="Bookman Old Style"/>
          <w:bCs/>
          <w:color w:val="000000" w:themeColor="text1"/>
          <w:lang w:val="es-CO"/>
        </w:rPr>
        <w:t>Fuente de Suministro</w:t>
      </w:r>
      <w:r w:rsidRPr="00DF61DC">
        <w:rPr>
          <w:rFonts w:ascii="Bookman Old Style" w:hAnsi="Bookman Old Style"/>
          <w:bCs/>
          <w:color w:val="000000" w:themeColor="text1"/>
          <w:lang w:val="es-CO"/>
        </w:rPr>
        <w:t xml:space="preserve"> que debe corresponder al código que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sidRPr="00DF61DC">
        <w:rPr>
          <w:rFonts w:ascii="Bookman Old Style" w:hAnsi="Bookman Old Style"/>
          <w:bCs/>
          <w:color w:val="000000" w:themeColor="text1"/>
          <w:lang w:val="es-CO"/>
        </w:rPr>
        <w:t>asign</w:t>
      </w:r>
      <w:r>
        <w:rPr>
          <w:rFonts w:ascii="Bookman Old Style" w:hAnsi="Bookman Old Style"/>
          <w:bCs/>
          <w:color w:val="000000" w:themeColor="text1"/>
          <w:lang w:val="es-CO"/>
        </w:rPr>
        <w:t>e</w:t>
      </w:r>
      <w:r w:rsidRPr="00DF61DC">
        <w:rPr>
          <w:rFonts w:ascii="Bookman Old Style" w:hAnsi="Bookman Old Style"/>
          <w:bCs/>
          <w:color w:val="000000" w:themeColor="text1"/>
          <w:lang w:val="es-CO"/>
        </w:rPr>
        <w:t xml:space="preserve"> al </w:t>
      </w:r>
      <w:r w:rsidR="00B3785C">
        <w:rPr>
          <w:rFonts w:ascii="Bookman Old Style" w:hAnsi="Bookman Old Style"/>
          <w:bCs/>
          <w:color w:val="000000" w:themeColor="text1"/>
          <w:lang w:val="es-CO"/>
        </w:rPr>
        <w:t>Punto de Entrega</w:t>
      </w:r>
      <w:r w:rsidRPr="00DF61DC">
        <w:rPr>
          <w:rFonts w:ascii="Bookman Old Style" w:hAnsi="Bookman Old Style"/>
          <w:bCs/>
          <w:color w:val="000000" w:themeColor="text1"/>
          <w:lang w:val="es-CO"/>
        </w:rPr>
        <w:t xml:space="preserve"> donde el </w:t>
      </w:r>
      <w:r w:rsidRPr="00206650">
        <w:rPr>
          <w:rFonts w:ascii="Bookman Old Style" w:hAnsi="Bookman Old Style"/>
          <w:b/>
          <w:color w:val="000000" w:themeColor="text1"/>
          <w:lang w:val="es-CO"/>
        </w:rPr>
        <w:t>Productor entrega el gas a sus compradores</w:t>
      </w:r>
      <w:r w:rsidRPr="00DF61DC">
        <w:rPr>
          <w:rFonts w:ascii="Bookman Old Style" w:hAnsi="Bookman Old Style"/>
          <w:bCs/>
          <w:color w:val="000000" w:themeColor="text1"/>
          <w:lang w:val="es-CO"/>
        </w:rPr>
        <w:t>:</w:t>
      </w:r>
    </w:p>
    <w:p w14:paraId="12455B60" w14:textId="77777777" w:rsidR="0006302B" w:rsidRPr="00DF61DC" w:rsidRDefault="0006302B" w:rsidP="004F0CFD">
      <w:pPr>
        <w:autoSpaceDE w:val="0"/>
        <w:autoSpaceDN w:val="0"/>
        <w:adjustRightInd w:val="0"/>
        <w:ind w:left="709"/>
        <w:jc w:val="both"/>
        <w:rPr>
          <w:rFonts w:ascii="Bookman Old Style" w:hAnsi="Bookman Old Style"/>
          <w:bCs/>
          <w:color w:val="000000" w:themeColor="text1"/>
          <w:lang w:val="es-CO"/>
        </w:rPr>
      </w:pPr>
    </w:p>
    <w:p w14:paraId="09CF2BF3" w14:textId="2661D4B7" w:rsidR="0006302B" w:rsidRPr="00DF61DC" w:rsidRDefault="0006302B" w:rsidP="004F0CFD">
      <w:pPr>
        <w:numPr>
          <w:ilvl w:val="0"/>
          <w:numId w:val="68"/>
        </w:numPr>
        <w:autoSpaceDE w:val="0"/>
        <w:autoSpaceDN w:val="0"/>
        <w:adjustRightInd w:val="0"/>
        <w:ind w:left="709" w:hanging="284"/>
        <w:jc w:val="both"/>
        <w:rPr>
          <w:rFonts w:ascii="Bookman Old Style" w:hAnsi="Bookman Old Style"/>
          <w:bCs/>
          <w:color w:val="000000" w:themeColor="text1"/>
          <w:lang w:val="es-CO"/>
        </w:rPr>
      </w:pPr>
      <w:r w:rsidRPr="00DF61DC">
        <w:rPr>
          <w:rFonts w:ascii="Bookman Old Style" w:hAnsi="Bookman Old Style"/>
          <w:bCs/>
          <w:color w:val="000000" w:themeColor="text1"/>
          <w:lang w:val="es-CO"/>
        </w:rPr>
        <w:t xml:space="preserve">Tipo de </w:t>
      </w:r>
      <w:r>
        <w:rPr>
          <w:rFonts w:ascii="Bookman Old Style" w:hAnsi="Bookman Old Style"/>
          <w:bCs/>
          <w:color w:val="000000" w:themeColor="text1"/>
          <w:lang w:val="es-CO"/>
        </w:rPr>
        <w:t>Fuente de Suministro</w:t>
      </w:r>
      <w:r w:rsidRPr="00DF61DC">
        <w:rPr>
          <w:rFonts w:ascii="Bookman Old Style" w:hAnsi="Bookman Old Style"/>
          <w:bCs/>
          <w:color w:val="000000" w:themeColor="text1"/>
          <w:lang w:val="es-CO"/>
        </w:rPr>
        <w:t xml:space="preserve">: </w:t>
      </w:r>
      <w:r w:rsidRPr="00CC637B">
        <w:rPr>
          <w:rFonts w:ascii="Bookman Old Style" w:hAnsi="Bookman Old Style"/>
          <w:b/>
          <w:color w:val="000000" w:themeColor="text1"/>
          <w:lang w:val="es-CO"/>
        </w:rPr>
        <w:t>Nacional o Externa, si es infraestructura de importación de gas</w:t>
      </w:r>
      <w:r w:rsidR="00B3785C">
        <w:rPr>
          <w:rFonts w:ascii="Bookman Old Style" w:hAnsi="Bookman Old Style"/>
          <w:b/>
          <w:color w:val="000000" w:themeColor="text1"/>
          <w:lang w:val="es-CO"/>
        </w:rPr>
        <w:t xml:space="preserve"> </w:t>
      </w:r>
      <w:r w:rsidRPr="00CC637B">
        <w:rPr>
          <w:rFonts w:ascii="Bookman Old Style" w:hAnsi="Bookman Old Style"/>
          <w:b/>
          <w:color w:val="000000" w:themeColor="text1"/>
          <w:lang w:val="es-CO"/>
        </w:rPr>
        <w:t>o campo de producción</w:t>
      </w:r>
      <w:r w:rsidR="000B7E61">
        <w:rPr>
          <w:rFonts w:ascii="Bookman Old Style" w:hAnsi="Bookman Old Style"/>
          <w:b/>
          <w:color w:val="000000" w:themeColor="text1"/>
          <w:lang w:val="es-CO"/>
        </w:rPr>
        <w:t>,</w:t>
      </w:r>
      <w:r w:rsidRPr="00CC637B">
        <w:rPr>
          <w:rFonts w:ascii="Bookman Old Style" w:hAnsi="Bookman Old Style"/>
          <w:b/>
          <w:color w:val="000000" w:themeColor="text1"/>
          <w:lang w:val="es-CO"/>
        </w:rPr>
        <w:t xml:space="preserve"> especificando si se </w:t>
      </w:r>
      <w:r w:rsidRPr="00CC637B">
        <w:rPr>
          <w:rFonts w:ascii="Bookman Old Style" w:hAnsi="Bookman Old Style"/>
          <w:b/>
          <w:color w:val="000000" w:themeColor="text1"/>
          <w:lang w:val="es-CO"/>
        </w:rPr>
        <w:lastRenderedPageBreak/>
        <w:t>trata de un campo menor, aislado, en pruebas extensas, costa afuera, yacimiento no convencional</w:t>
      </w:r>
      <w:r w:rsidR="00B3785C">
        <w:rPr>
          <w:rFonts w:ascii="Bookman Old Style" w:hAnsi="Bookman Old Style"/>
          <w:b/>
          <w:color w:val="000000" w:themeColor="text1"/>
          <w:lang w:val="es-CO"/>
        </w:rPr>
        <w:t>.</w:t>
      </w:r>
      <w:r w:rsidRPr="00CC637B">
        <w:rPr>
          <w:rFonts w:ascii="Bookman Old Style" w:hAnsi="Bookman Old Style"/>
          <w:b/>
          <w:color w:val="000000" w:themeColor="text1"/>
          <w:lang w:val="es-CO"/>
        </w:rPr>
        <w:t xml:space="preserve"> </w:t>
      </w:r>
    </w:p>
    <w:p w14:paraId="0066B8EC" w14:textId="77777777" w:rsidR="0006302B" w:rsidRPr="00DF61DC" w:rsidRDefault="0006302B" w:rsidP="004F0CFD">
      <w:pPr>
        <w:autoSpaceDE w:val="0"/>
        <w:autoSpaceDN w:val="0"/>
        <w:adjustRightInd w:val="0"/>
        <w:ind w:left="709" w:hanging="284"/>
        <w:jc w:val="both"/>
        <w:rPr>
          <w:rFonts w:ascii="Bookman Old Style" w:hAnsi="Bookman Old Style"/>
          <w:bCs/>
          <w:lang w:val="es-CO"/>
        </w:rPr>
      </w:pPr>
    </w:p>
    <w:p w14:paraId="7FD0D846" w14:textId="7FC1C554" w:rsidR="0006302B" w:rsidRPr="00D450F7" w:rsidRDefault="0006302B" w:rsidP="004F0CFD">
      <w:pPr>
        <w:numPr>
          <w:ilvl w:val="0"/>
          <w:numId w:val="68"/>
        </w:numPr>
        <w:autoSpaceDE w:val="0"/>
        <w:autoSpaceDN w:val="0"/>
        <w:adjustRightInd w:val="0"/>
        <w:ind w:left="709" w:hanging="284"/>
        <w:jc w:val="both"/>
        <w:rPr>
          <w:rFonts w:ascii="Bookman Old Style" w:hAnsi="Bookman Old Style"/>
          <w:b/>
          <w:color w:val="000000" w:themeColor="text1"/>
          <w:lang w:val="es-CO"/>
        </w:rPr>
      </w:pPr>
      <w:r w:rsidRPr="00D450F7">
        <w:rPr>
          <w:rFonts w:ascii="Bookman Old Style" w:hAnsi="Bookman Old Style"/>
          <w:bCs/>
          <w:lang w:val="es-CO"/>
        </w:rPr>
        <w:t>Nombre del</w:t>
      </w:r>
      <w:r w:rsidR="00B3785C">
        <w:rPr>
          <w:rFonts w:ascii="Bookman Old Style" w:hAnsi="Bookman Old Style"/>
          <w:bCs/>
          <w:lang w:val="es-CO"/>
        </w:rPr>
        <w:t xml:space="preserve"> Punto de Entrega, Punto Estándar de Entrega y su codificación</w:t>
      </w:r>
      <w:r w:rsidRPr="00D450F7">
        <w:rPr>
          <w:rFonts w:ascii="Bookman Old Style" w:hAnsi="Bookman Old Style"/>
          <w:b/>
          <w:lang w:val="es-CO"/>
        </w:rPr>
        <w:t>: se le deberá determinar un nombre</w:t>
      </w:r>
      <w:r w:rsidR="00B3785C">
        <w:rPr>
          <w:rFonts w:ascii="Bookman Old Style" w:hAnsi="Bookman Old Style"/>
          <w:b/>
          <w:lang w:val="es-CO"/>
        </w:rPr>
        <w:t xml:space="preserve"> al Punto de entrega</w:t>
      </w:r>
      <w:r w:rsidRPr="00D450F7">
        <w:rPr>
          <w:rFonts w:ascii="Bookman Old Style" w:hAnsi="Bookman Old Style"/>
          <w:b/>
          <w:lang w:val="es-CO"/>
        </w:rPr>
        <w:t>,</w:t>
      </w:r>
      <w:r w:rsidR="00B3785C">
        <w:rPr>
          <w:rFonts w:ascii="Bookman Old Style" w:hAnsi="Bookman Old Style"/>
          <w:b/>
          <w:lang w:val="es-CO"/>
        </w:rPr>
        <w:t xml:space="preserve"> un Punto estándar de Entrega,</w:t>
      </w:r>
      <w:r w:rsidRPr="00D450F7">
        <w:rPr>
          <w:rFonts w:ascii="Bookman Old Style" w:hAnsi="Bookman Old Style"/>
          <w:b/>
          <w:lang w:val="es-CO"/>
        </w:rPr>
        <w:t xml:space="preserve"> conforme a los contratos de suministro</w:t>
      </w:r>
      <w:r w:rsidR="00B3785C">
        <w:rPr>
          <w:rFonts w:ascii="Bookman Old Style" w:hAnsi="Bookman Old Style"/>
          <w:b/>
          <w:lang w:val="es-CO"/>
        </w:rPr>
        <w:t xml:space="preserve"> o derechos de suministro, según corresponda, </w:t>
      </w:r>
      <w:r w:rsidRPr="00D450F7">
        <w:rPr>
          <w:rFonts w:ascii="Bookman Old Style" w:hAnsi="Bookman Old Style"/>
          <w:b/>
          <w:lang w:val="es-CO"/>
        </w:rPr>
        <w:t xml:space="preserve">y asignarle un código por parte del </w:t>
      </w:r>
      <w:r w:rsidR="0022131A" w:rsidRPr="002D5416">
        <w:rPr>
          <w:rFonts w:ascii="Bookman Old Style" w:hAnsi="Bookman Old Style"/>
          <w:b/>
          <w:bCs/>
          <w:u w:color="FF0000"/>
          <w:lang w:val="es-CO"/>
        </w:rPr>
        <w:t>Gestor</w:t>
      </w:r>
      <w:r w:rsidRPr="003F3A91">
        <w:rPr>
          <w:rFonts w:ascii="Bookman Old Style" w:hAnsi="Bookman Old Style"/>
          <w:b/>
          <w:bCs/>
          <w:lang w:val="es-CO"/>
        </w:rPr>
        <w:t xml:space="preserve"> </w:t>
      </w:r>
      <w:r w:rsidRPr="00D450F7">
        <w:rPr>
          <w:rFonts w:ascii="Bookman Old Style" w:hAnsi="Bookman Old Style"/>
          <w:b/>
          <w:lang w:val="es-CO"/>
        </w:rPr>
        <w:t xml:space="preserve">del Mercado. En caso de que el </w:t>
      </w:r>
      <w:r w:rsidR="00B3785C">
        <w:rPr>
          <w:rFonts w:ascii="Bookman Old Style" w:hAnsi="Bookman Old Style"/>
          <w:b/>
          <w:lang w:val="es-CO"/>
        </w:rPr>
        <w:t xml:space="preserve">Punto Estándar de Entrega </w:t>
      </w:r>
      <w:r w:rsidRPr="00D450F7">
        <w:rPr>
          <w:rFonts w:ascii="Bookman Old Style" w:hAnsi="Bookman Old Style"/>
          <w:b/>
          <w:lang w:val="es-CO"/>
        </w:rPr>
        <w:t>esté en e</w:t>
      </w:r>
      <w:r w:rsidR="00B3785C">
        <w:rPr>
          <w:rFonts w:ascii="Bookman Old Style" w:hAnsi="Bookman Old Style"/>
          <w:b/>
          <w:lang w:val="es-CO"/>
        </w:rPr>
        <w:t>l</w:t>
      </w:r>
      <w:r w:rsidRPr="00D450F7">
        <w:rPr>
          <w:rFonts w:ascii="Bookman Old Style" w:hAnsi="Bookman Old Style"/>
          <w:b/>
          <w:lang w:val="es-CO"/>
        </w:rPr>
        <w:t xml:space="preserve"> sistema de distribución</w:t>
      </w:r>
      <w:r w:rsidR="000B7E61">
        <w:rPr>
          <w:rFonts w:ascii="Bookman Old Style" w:hAnsi="Bookman Old Style"/>
          <w:b/>
          <w:lang w:val="es-CO"/>
        </w:rPr>
        <w:t>,</w:t>
      </w:r>
      <w:r w:rsidRPr="00D450F7">
        <w:rPr>
          <w:rFonts w:ascii="Bookman Old Style" w:hAnsi="Bookman Old Style"/>
          <w:b/>
          <w:lang w:val="es-CO"/>
        </w:rPr>
        <w:t xml:space="preserve"> se deberá indicar el nombre del mercado relevante de comercialización y del municipio donde está ubicado el</w:t>
      </w:r>
      <w:r w:rsidR="00B3785C">
        <w:rPr>
          <w:rFonts w:ascii="Bookman Old Style" w:hAnsi="Bookman Old Style"/>
          <w:b/>
          <w:lang w:val="es-CO"/>
        </w:rPr>
        <w:t xml:space="preserve"> Punto estándar de Entrega</w:t>
      </w:r>
      <w:r w:rsidRPr="00D450F7">
        <w:rPr>
          <w:rFonts w:ascii="Bookman Old Style" w:hAnsi="Bookman Old Style"/>
          <w:b/>
          <w:lang w:val="es-CO"/>
        </w:rPr>
        <w:t xml:space="preserve">. Si se trata de una fuente de suministro </w:t>
      </w:r>
      <w:r w:rsidR="00B3785C" w:rsidRPr="00D450F7">
        <w:rPr>
          <w:rFonts w:ascii="Bookman Old Style" w:hAnsi="Bookman Old Style"/>
          <w:b/>
          <w:lang w:val="es-CO"/>
        </w:rPr>
        <w:t>aislada,</w:t>
      </w:r>
      <w:r w:rsidRPr="00D450F7">
        <w:rPr>
          <w:rFonts w:ascii="Bookman Old Style" w:hAnsi="Bookman Old Style"/>
          <w:b/>
          <w:lang w:val="es-CO"/>
        </w:rPr>
        <w:t xml:space="preserve"> el nombre del</w:t>
      </w:r>
      <w:r w:rsidR="00B3785C">
        <w:rPr>
          <w:rFonts w:ascii="Bookman Old Style" w:hAnsi="Bookman Old Style"/>
          <w:b/>
          <w:lang w:val="es-CO"/>
        </w:rPr>
        <w:t xml:space="preserve"> Punto de Entrega</w:t>
      </w:r>
      <w:r w:rsidRPr="00D450F7">
        <w:rPr>
          <w:rFonts w:ascii="Bookman Old Style" w:hAnsi="Bookman Old Style"/>
          <w:b/>
          <w:lang w:val="es-CO"/>
        </w:rPr>
        <w:t xml:space="preserve"> será igual al nombre de la fuente de suministro pactada en el o los contratos</w:t>
      </w:r>
      <w:r w:rsidR="00B3785C">
        <w:rPr>
          <w:rFonts w:ascii="Bookman Old Style" w:hAnsi="Bookman Old Style"/>
          <w:b/>
          <w:lang w:val="es-CO"/>
        </w:rPr>
        <w:t xml:space="preserve"> de sum</w:t>
      </w:r>
      <w:r w:rsidR="00565685">
        <w:rPr>
          <w:rFonts w:ascii="Bookman Old Style" w:hAnsi="Bookman Old Style"/>
          <w:b/>
          <w:lang w:val="es-CO"/>
        </w:rPr>
        <w:t>i</w:t>
      </w:r>
      <w:r w:rsidR="00B3785C">
        <w:rPr>
          <w:rFonts w:ascii="Bookman Old Style" w:hAnsi="Bookman Old Style"/>
          <w:b/>
          <w:lang w:val="es-CO"/>
        </w:rPr>
        <w:t>nistro</w:t>
      </w:r>
      <w:r w:rsidRPr="00D450F7">
        <w:rPr>
          <w:rFonts w:ascii="Bookman Old Style" w:hAnsi="Bookman Old Style"/>
          <w:b/>
          <w:lang w:val="es-CO"/>
        </w:rPr>
        <w:t>.</w:t>
      </w:r>
    </w:p>
    <w:p w14:paraId="0A05EB86" w14:textId="77777777" w:rsidR="0006302B" w:rsidRPr="00D450F7" w:rsidRDefault="0006302B" w:rsidP="0006302B">
      <w:pPr>
        <w:autoSpaceDE w:val="0"/>
        <w:autoSpaceDN w:val="0"/>
        <w:adjustRightInd w:val="0"/>
        <w:ind w:left="0"/>
        <w:jc w:val="both"/>
        <w:rPr>
          <w:color w:val="000000" w:themeColor="text1"/>
          <w:lang w:val="es-CO"/>
        </w:rPr>
      </w:pPr>
    </w:p>
    <w:p w14:paraId="2029195F" w14:textId="77777777" w:rsidR="0006302B" w:rsidRPr="0013707D" w:rsidRDefault="0006302B" w:rsidP="00A4790E">
      <w:pPr>
        <w:pStyle w:val="ARTICULOS"/>
        <w:numPr>
          <w:ilvl w:val="1"/>
          <w:numId w:val="32"/>
        </w:numPr>
        <w:ind w:left="567" w:hanging="567"/>
        <w:rPr>
          <w:bCs w:val="0"/>
          <w:color w:val="000000" w:themeColor="text1"/>
          <w:lang w:val="es-CO"/>
        </w:rPr>
      </w:pPr>
      <w:r w:rsidRPr="0013707D">
        <w:rPr>
          <w:bCs w:val="0"/>
          <w:color w:val="000000" w:themeColor="text1"/>
          <w:lang w:val="es-CO"/>
        </w:rPr>
        <w:t>Verificación y publicación de la información operativa</w:t>
      </w:r>
    </w:p>
    <w:p w14:paraId="63BF12FF" w14:textId="77777777" w:rsidR="0006302B" w:rsidRPr="0013707D" w:rsidRDefault="0006302B" w:rsidP="0006302B">
      <w:pPr>
        <w:ind w:left="360"/>
        <w:jc w:val="both"/>
        <w:rPr>
          <w:rFonts w:ascii="Bookman Old Style" w:hAnsi="Bookman Old Style"/>
          <w:bCs/>
          <w:color w:val="000000" w:themeColor="text1"/>
          <w:lang w:val="es-CO" w:eastAsia="x-none"/>
        </w:rPr>
      </w:pPr>
    </w:p>
    <w:p w14:paraId="3448B766" w14:textId="77777777" w:rsidR="0006302B" w:rsidRPr="0013707D" w:rsidRDefault="0006302B" w:rsidP="00A4790E">
      <w:pPr>
        <w:numPr>
          <w:ilvl w:val="0"/>
          <w:numId w:val="45"/>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Verificación</w:t>
      </w:r>
    </w:p>
    <w:p w14:paraId="64B09A12" w14:textId="77777777"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66139275" w14:textId="4DEF10EB"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r w:rsidRPr="00AD781B">
        <w:rPr>
          <w:rFonts w:ascii="Bookman Old Style" w:hAnsi="Bookman Old Style"/>
          <w:bCs/>
          <w:color w:val="000000" w:themeColor="text1"/>
          <w:lang w:val="es-CO" w:eastAsia="x-none"/>
        </w:rPr>
        <w:t xml:space="preserve">A partir de la información operativa </w:t>
      </w:r>
      <w:r w:rsidRPr="001602FF">
        <w:rPr>
          <w:rFonts w:ascii="Bookman Old Style" w:hAnsi="Bookman Old Style"/>
          <w:bCs/>
          <w:color w:val="000000" w:themeColor="text1"/>
          <w:lang w:val="es-CO" w:eastAsia="x-none"/>
        </w:rPr>
        <w:t xml:space="preserve">recolectada con base en el presente Anexo y </w:t>
      </w:r>
      <w:r w:rsidRPr="00D66B65">
        <w:rPr>
          <w:rFonts w:ascii="Bookman Old Style" w:hAnsi="Bookman Old Style"/>
          <w:bCs/>
          <w:color w:val="000000" w:themeColor="text1"/>
          <w:lang w:val="es-CO" w:eastAsia="x-none"/>
        </w:rPr>
        <w:t xml:space="preserve">en el Anexo 2 de la Resolución </w:t>
      </w:r>
      <w:r w:rsidRPr="00D66B65">
        <w:rPr>
          <w:rFonts w:ascii="Bookman Old Style" w:hAnsi="Bookman Old Style" w:cs="Arial"/>
          <w:color w:val="000000" w:themeColor="text1"/>
          <w:lang w:val="es-CO"/>
        </w:rPr>
        <w:t>185</w:t>
      </w:r>
      <w:r w:rsidRPr="00D66B65">
        <w:rPr>
          <w:rFonts w:ascii="Bookman Old Style" w:hAnsi="Bookman Old Style"/>
          <w:bCs/>
          <w:color w:val="000000" w:themeColor="text1"/>
          <w:lang w:val="es-CO" w:eastAsia="x-none"/>
        </w:rPr>
        <w:t xml:space="preserve"> de 2020</w:t>
      </w:r>
      <w:r w:rsidRPr="001602FF">
        <w:rPr>
          <w:rFonts w:ascii="Bookman Old Style" w:hAnsi="Bookman Old Style"/>
          <w:bCs/>
          <w:color w:val="000000" w:themeColor="text1"/>
          <w:lang w:val="es-CO" w:eastAsia="x-none"/>
        </w:rPr>
        <w:t xml:space="preserve">,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sidRPr="001602FF">
        <w:rPr>
          <w:rFonts w:ascii="Bookman Old Style" w:hAnsi="Bookman Old Style"/>
          <w:bCs/>
          <w:color w:val="000000" w:themeColor="text1"/>
          <w:lang w:val="es-CO" w:eastAsia="x-none"/>
        </w:rPr>
        <w:t xml:space="preserve">del Mercado verificará </w:t>
      </w:r>
      <w:r w:rsidR="00FF32B7" w:rsidRPr="00FF32B7">
        <w:rPr>
          <w:rFonts w:ascii="Bookman Old Style" w:hAnsi="Bookman Old Style"/>
          <w:b/>
          <w:color w:val="000000" w:themeColor="text1"/>
          <w:lang w:val="es-CO" w:eastAsia="x-none"/>
        </w:rPr>
        <w:t>mensualmente</w:t>
      </w:r>
      <w:r w:rsidR="00FF32B7">
        <w:rPr>
          <w:rFonts w:ascii="Bookman Old Style" w:hAnsi="Bookman Old Style"/>
          <w:bCs/>
          <w:color w:val="000000" w:themeColor="text1"/>
          <w:lang w:val="es-CO" w:eastAsia="x-none"/>
        </w:rPr>
        <w:t xml:space="preserve"> </w:t>
      </w:r>
      <w:r w:rsidRPr="001602FF">
        <w:rPr>
          <w:rFonts w:ascii="Bookman Old Style" w:hAnsi="Bookman Old Style"/>
          <w:bCs/>
          <w:color w:val="000000" w:themeColor="text1"/>
          <w:lang w:val="es-CO" w:eastAsia="x-none"/>
        </w:rPr>
        <w:t>la consistencia de la información</w:t>
      </w:r>
      <w:r w:rsidRPr="0013707D">
        <w:rPr>
          <w:rFonts w:ascii="Bookman Old Style" w:hAnsi="Bookman Old Style"/>
          <w:bCs/>
          <w:color w:val="000000" w:themeColor="text1"/>
          <w:lang w:val="es-CO" w:eastAsia="x-none"/>
        </w:rPr>
        <w:t xml:space="preserve"> operativa declarada por las partes que intervienen en los contratos</w:t>
      </w:r>
      <w:r w:rsidR="004A1E51">
        <w:rPr>
          <w:rFonts w:ascii="Bookman Old Style" w:hAnsi="Bookman Old Style"/>
          <w:bCs/>
          <w:color w:val="000000" w:themeColor="text1"/>
          <w:lang w:val="es-CO" w:eastAsia="x-none"/>
        </w:rPr>
        <w:t xml:space="preserve">. </w:t>
      </w:r>
      <w:r w:rsidRPr="0013707D">
        <w:rPr>
          <w:rFonts w:ascii="Bookman Old Style" w:hAnsi="Bookman Old Style"/>
          <w:bCs/>
          <w:color w:val="000000" w:themeColor="text1"/>
          <w:lang w:val="es-CO" w:eastAsia="x-none"/>
        </w:rPr>
        <w:t>En particular, verificará que:</w:t>
      </w:r>
    </w:p>
    <w:p w14:paraId="17E67E41" w14:textId="77777777"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00863EBC" w14:textId="7F0C97AD" w:rsidR="0006302B" w:rsidRPr="004F0CFD" w:rsidRDefault="0006302B" w:rsidP="00A4790E">
      <w:pPr>
        <w:pStyle w:val="Prrafodelista"/>
        <w:numPr>
          <w:ilvl w:val="0"/>
          <w:numId w:val="53"/>
        </w:numPr>
        <w:ind w:left="1701" w:hanging="567"/>
        <w:contextualSpacing/>
        <w:jc w:val="both"/>
        <w:rPr>
          <w:rFonts w:ascii="Bookman Old Style" w:hAnsi="Bookman Old Style" w:cs="Arial"/>
          <w:color w:val="000000" w:themeColor="text1"/>
          <w:sz w:val="24"/>
          <w:szCs w:val="24"/>
          <w:lang w:eastAsia="es-ES"/>
        </w:rPr>
      </w:pPr>
      <w:bookmarkStart w:id="129" w:name="_Ref357085661"/>
      <w:r w:rsidRPr="0013707D">
        <w:rPr>
          <w:rFonts w:ascii="Bookman Old Style" w:hAnsi="Bookman Old Style" w:cs="Arial"/>
          <w:color w:val="000000" w:themeColor="text1"/>
          <w:sz w:val="24"/>
          <w:szCs w:val="24"/>
          <w:lang w:eastAsia="es-ES"/>
        </w:rPr>
        <w:t xml:space="preserve">Las cantidades de energía inyectadas en cada punto de entrada al SNT, declaradas por los </w:t>
      </w:r>
      <w:r>
        <w:rPr>
          <w:rFonts w:ascii="Bookman Old Style" w:hAnsi="Bookman Old Style" w:cs="Arial"/>
          <w:b/>
          <w:bCs/>
          <w:color w:val="000000" w:themeColor="text1"/>
          <w:sz w:val="24"/>
          <w:szCs w:val="24"/>
          <w:lang w:eastAsia="es-ES"/>
        </w:rPr>
        <w:t>Vendedores del Mercado Primario</w:t>
      </w:r>
      <w:r w:rsidRPr="0013707D">
        <w:rPr>
          <w:rFonts w:ascii="Bookman Old Style" w:hAnsi="Bookman Old Style" w:cs="Arial"/>
          <w:color w:val="000000" w:themeColor="text1"/>
          <w:sz w:val="24"/>
          <w:szCs w:val="24"/>
          <w:lang w:eastAsia="es-ES"/>
        </w:rPr>
        <w:t>, coincidan con las cantidades de energía recibidas</w:t>
      </w:r>
      <w:r>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en cada punto de entrada al SNT, declaradas por los transportadores.</w:t>
      </w:r>
      <w:bookmarkEnd w:id="129"/>
    </w:p>
    <w:p w14:paraId="392171D6" w14:textId="77777777" w:rsidR="0006302B" w:rsidRPr="004F0CFD" w:rsidRDefault="0006302B" w:rsidP="0006302B">
      <w:pPr>
        <w:contextualSpacing/>
        <w:jc w:val="both"/>
        <w:rPr>
          <w:rFonts w:ascii="Bookman Old Style" w:hAnsi="Bookman Old Style" w:cs="Arial"/>
          <w:color w:val="000000" w:themeColor="text1"/>
          <w:lang w:val="es-CO"/>
        </w:rPr>
      </w:pPr>
    </w:p>
    <w:p w14:paraId="5318F9C8" w14:textId="46A110AB" w:rsidR="0006302B" w:rsidRPr="004F0CFD" w:rsidRDefault="0006302B" w:rsidP="00A4790E">
      <w:pPr>
        <w:pStyle w:val="Prrafodelista"/>
        <w:numPr>
          <w:ilvl w:val="0"/>
          <w:numId w:val="53"/>
        </w:numPr>
        <w:ind w:left="1701" w:hanging="567"/>
        <w:contextualSpacing/>
        <w:jc w:val="both"/>
        <w:rPr>
          <w:rFonts w:ascii="Bookman Old Style" w:hAnsi="Bookman Old Style" w:cs="Arial"/>
          <w:color w:val="000000" w:themeColor="text1"/>
          <w:sz w:val="24"/>
          <w:szCs w:val="24"/>
          <w:lang w:eastAsia="es-ES"/>
        </w:rPr>
      </w:pPr>
      <w:bookmarkStart w:id="130" w:name="_Ref357085667"/>
      <w:r w:rsidRPr="004F0CFD">
        <w:rPr>
          <w:rFonts w:ascii="Bookman Old Style" w:hAnsi="Bookman Old Style" w:cs="Arial"/>
          <w:color w:val="000000" w:themeColor="text1"/>
          <w:sz w:val="24"/>
          <w:szCs w:val="24"/>
          <w:lang w:eastAsia="es-ES"/>
        </w:rPr>
        <w:t>Las cantidades de energía que cada remitente tomó en cada punto de salida del SNT, declaradas por los transportadores, coincidan con las cantidades de energía tomadas en cada punto de salida del SNT, declaradas por los</w:t>
      </w:r>
      <w:r w:rsidR="009C5008" w:rsidRPr="004F0CFD">
        <w:rPr>
          <w:rFonts w:ascii="Bookman Old Style" w:hAnsi="Bookman Old Style" w:cs="Arial"/>
          <w:color w:val="000000" w:themeColor="text1"/>
          <w:sz w:val="24"/>
          <w:szCs w:val="24"/>
          <w:lang w:eastAsia="es-ES"/>
        </w:rPr>
        <w:t xml:space="preserve"> </w:t>
      </w:r>
      <w:r w:rsidR="009C5008" w:rsidRPr="004F0CFD">
        <w:rPr>
          <w:rFonts w:ascii="Bookman Old Style" w:hAnsi="Bookman Old Style" w:cs="Arial"/>
          <w:b/>
          <w:bCs/>
          <w:color w:val="000000" w:themeColor="text1"/>
          <w:sz w:val="24"/>
          <w:szCs w:val="24"/>
          <w:lang w:eastAsia="es-ES"/>
        </w:rPr>
        <w:t>remitentes</w:t>
      </w:r>
      <w:r w:rsidRPr="004F0CFD">
        <w:rPr>
          <w:rFonts w:ascii="Bookman Old Style" w:hAnsi="Bookman Old Style" w:cs="Arial"/>
          <w:color w:val="000000" w:themeColor="text1"/>
          <w:sz w:val="24"/>
          <w:szCs w:val="24"/>
          <w:lang w:eastAsia="es-ES"/>
        </w:rPr>
        <w:t>.</w:t>
      </w:r>
      <w:bookmarkEnd w:id="130"/>
    </w:p>
    <w:p w14:paraId="00334733" w14:textId="77777777" w:rsidR="0006302B" w:rsidRPr="004F0CFD" w:rsidRDefault="0006302B" w:rsidP="0006302B">
      <w:pPr>
        <w:pStyle w:val="Prrafodelista"/>
        <w:rPr>
          <w:rFonts w:ascii="Bookman Old Style" w:hAnsi="Bookman Old Style" w:cs="Arial"/>
          <w:color w:val="000000" w:themeColor="text1"/>
          <w:sz w:val="24"/>
          <w:szCs w:val="24"/>
          <w:lang w:eastAsia="es-ES"/>
        </w:rPr>
      </w:pPr>
    </w:p>
    <w:p w14:paraId="4A3F2553" w14:textId="71430E81" w:rsidR="0006302B" w:rsidRPr="004F0CFD" w:rsidRDefault="0006302B" w:rsidP="00A4790E">
      <w:pPr>
        <w:pStyle w:val="Prrafodelista"/>
        <w:numPr>
          <w:ilvl w:val="0"/>
          <w:numId w:val="53"/>
        </w:numPr>
        <w:ind w:left="1701" w:hanging="567"/>
        <w:contextualSpacing/>
        <w:jc w:val="both"/>
        <w:rPr>
          <w:rFonts w:ascii="Bookman Old Style" w:hAnsi="Bookman Old Style" w:cs="Arial"/>
          <w:color w:val="000000" w:themeColor="text1"/>
          <w:sz w:val="24"/>
          <w:szCs w:val="24"/>
          <w:lang w:eastAsia="es-ES"/>
        </w:rPr>
      </w:pPr>
      <w:bookmarkStart w:id="131" w:name="_Ref357088986"/>
      <w:r w:rsidRPr="004F0CFD">
        <w:rPr>
          <w:rFonts w:ascii="Bookman Old Style" w:hAnsi="Bookman Old Style" w:cs="Arial"/>
          <w:color w:val="000000" w:themeColor="text1"/>
          <w:sz w:val="24"/>
          <w:szCs w:val="24"/>
          <w:lang w:eastAsia="es-ES"/>
        </w:rPr>
        <w:t xml:space="preserve">El número del contrato bajo el cual se transportó el gas que cada remitente tomó en cada punto de salida del SNT, declarado por el transportador, coincida con el número del contrato bajo el cual se transportó el gas tomado en cada punto de salida del SNT, declarado </w:t>
      </w:r>
      <w:r w:rsidRPr="004F0CFD">
        <w:rPr>
          <w:rFonts w:ascii="Bookman Old Style" w:hAnsi="Bookman Old Style" w:cs="Arial"/>
          <w:b/>
          <w:bCs/>
          <w:color w:val="000000" w:themeColor="text1"/>
          <w:sz w:val="24"/>
          <w:szCs w:val="24"/>
          <w:lang w:eastAsia="es-ES"/>
        </w:rPr>
        <w:t xml:space="preserve">por </w:t>
      </w:r>
      <w:r w:rsidR="005F3009" w:rsidRPr="004F0CFD">
        <w:rPr>
          <w:rFonts w:ascii="Bookman Old Style" w:hAnsi="Bookman Old Style" w:cs="Arial"/>
          <w:b/>
          <w:bCs/>
          <w:color w:val="000000" w:themeColor="text1"/>
          <w:sz w:val="24"/>
          <w:szCs w:val="24"/>
          <w:lang w:eastAsia="es-ES"/>
        </w:rPr>
        <w:t>cada remitente</w:t>
      </w:r>
      <w:r w:rsidRPr="004F0CFD">
        <w:rPr>
          <w:rFonts w:ascii="Bookman Old Style" w:hAnsi="Bookman Old Style" w:cs="Arial"/>
          <w:color w:val="000000" w:themeColor="text1"/>
          <w:sz w:val="24"/>
          <w:szCs w:val="24"/>
          <w:lang w:eastAsia="es-ES"/>
        </w:rPr>
        <w:t>.</w:t>
      </w:r>
      <w:bookmarkEnd w:id="131"/>
    </w:p>
    <w:p w14:paraId="7387CB06" w14:textId="77777777" w:rsidR="0006302B" w:rsidRPr="004F0CF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3B84A6A8" w14:textId="39C197AE" w:rsidR="0006302B" w:rsidRPr="004F0CFD" w:rsidRDefault="0006302B" w:rsidP="00A4790E">
      <w:pPr>
        <w:pStyle w:val="Prrafodelista"/>
        <w:numPr>
          <w:ilvl w:val="0"/>
          <w:numId w:val="53"/>
        </w:numPr>
        <w:ind w:left="1701" w:hanging="567"/>
        <w:contextualSpacing/>
        <w:jc w:val="both"/>
        <w:rPr>
          <w:rFonts w:ascii="Bookman Old Style" w:hAnsi="Bookman Old Style" w:cs="Arial"/>
          <w:color w:val="000000" w:themeColor="text1"/>
          <w:sz w:val="24"/>
          <w:szCs w:val="24"/>
          <w:lang w:eastAsia="es-ES"/>
        </w:rPr>
      </w:pPr>
      <w:bookmarkStart w:id="132" w:name="_Ref357088991"/>
      <w:r w:rsidRPr="004F0CFD">
        <w:rPr>
          <w:rFonts w:ascii="Bookman Old Style" w:hAnsi="Bookman Old Style" w:cs="Arial"/>
          <w:color w:val="000000" w:themeColor="text1"/>
          <w:sz w:val="24"/>
          <w:szCs w:val="24"/>
          <w:lang w:eastAsia="es-ES"/>
        </w:rPr>
        <w:t xml:space="preserve">Los contratos bajo los cuales se transportó gas natural, declarados por los transportadores, los comercializadores </w:t>
      </w:r>
      <w:r w:rsidR="00986B8E" w:rsidRPr="004F0CFD">
        <w:rPr>
          <w:rFonts w:ascii="Bookman Old Style" w:hAnsi="Bookman Old Style" w:cs="Arial"/>
          <w:b/>
          <w:bCs/>
          <w:color w:val="000000" w:themeColor="text1"/>
          <w:sz w:val="24"/>
          <w:szCs w:val="24"/>
          <w:lang w:eastAsia="es-ES"/>
        </w:rPr>
        <w:t xml:space="preserve">Mayoristas </w:t>
      </w:r>
      <w:r w:rsidRPr="004F0CFD">
        <w:rPr>
          <w:rFonts w:ascii="Bookman Old Style" w:hAnsi="Bookman Old Style" w:cs="Arial"/>
          <w:color w:val="000000" w:themeColor="text1"/>
          <w:sz w:val="24"/>
          <w:szCs w:val="24"/>
        </w:rPr>
        <w:t xml:space="preserve">los distribuidores y los usuarios no regulados, estén debidamente registrados ante el </w:t>
      </w:r>
      <w:r w:rsidR="003F3A91" w:rsidRPr="004F0CFD">
        <w:rPr>
          <w:rFonts w:ascii="Bookman Old Style" w:hAnsi="Bookman Old Style"/>
          <w:sz w:val="24"/>
          <w:szCs w:val="24"/>
        </w:rPr>
        <w:t>Gestor</w:t>
      </w:r>
      <w:r w:rsidR="003F3A91" w:rsidRPr="004F0CFD" w:rsidDel="00E53E99">
        <w:rPr>
          <w:color w:val="FF0000"/>
          <w:sz w:val="28"/>
        </w:rPr>
        <w:t xml:space="preserve"> </w:t>
      </w:r>
      <w:r w:rsidRPr="004F0CFD">
        <w:rPr>
          <w:rFonts w:ascii="Bookman Old Style" w:hAnsi="Bookman Old Style" w:cs="Arial"/>
          <w:color w:val="000000" w:themeColor="text1"/>
          <w:sz w:val="24"/>
          <w:szCs w:val="24"/>
        </w:rPr>
        <w:t>del Mercado.</w:t>
      </w:r>
      <w:bookmarkEnd w:id="132"/>
    </w:p>
    <w:p w14:paraId="6AFA5013" w14:textId="77777777" w:rsidR="0006302B" w:rsidRPr="004F0CF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1FDEC8F6" w14:textId="4BE94CC1" w:rsidR="0006302B" w:rsidRPr="0013707D" w:rsidRDefault="0006302B" w:rsidP="0006302B">
      <w:pPr>
        <w:autoSpaceDE w:val="0"/>
        <w:autoSpaceDN w:val="0"/>
        <w:adjustRightInd w:val="0"/>
        <w:ind w:left="1134"/>
        <w:jc w:val="both"/>
        <w:rPr>
          <w:rFonts w:ascii="Bookman Old Style" w:hAnsi="Bookman Old Style"/>
          <w:color w:val="000000" w:themeColor="text1"/>
          <w:lang w:val="es-CO"/>
        </w:rPr>
      </w:pPr>
      <w:r>
        <w:rPr>
          <w:rFonts w:ascii="Bookman Old Style" w:hAnsi="Bookman Old Style"/>
          <w:color w:val="000000" w:themeColor="text1"/>
          <w:lang w:val="es-CO"/>
        </w:rPr>
        <w:t xml:space="preserve">Si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 xml:space="preserve">del Mercado encuentra discrepancias como resultado de las verificaciones de que tratan los numerales i, ii y iii anteriores,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 xml:space="preserve">del Mercado deberá informárselo a las partes, durante el día calendario siguiente al día de gas, para que ellas rectifiquen las diferencias a más tardar el segundo día calendario siguiente al día de gas. Cuando no sea posible la rectificación dentro de este término el </w:t>
      </w:r>
      <w:r w:rsidR="003F3A91" w:rsidRPr="00956510">
        <w:rPr>
          <w:rFonts w:ascii="Bookman Old Style" w:hAnsi="Bookman Old Style"/>
          <w:u w:color="FF0000"/>
          <w:lang w:val="es-CO"/>
        </w:rPr>
        <w:lastRenderedPageBreak/>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 xml:space="preserve">del Mercado no podrá tenerlo en cuenta para efectos de publicación. En este caso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del Mercado deberá informar esta situación a las partes involucradas y a los órganos responsables de la inspección, vigilancia y control</w:t>
      </w:r>
      <w:r w:rsidRPr="0013707D">
        <w:rPr>
          <w:rFonts w:ascii="Bookman Old Style" w:hAnsi="Bookman Old Style"/>
          <w:color w:val="000000" w:themeColor="text1"/>
          <w:lang w:val="es-CO"/>
        </w:rPr>
        <w:t>.</w:t>
      </w:r>
    </w:p>
    <w:p w14:paraId="40D05A1D" w14:textId="77777777"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141DCEB9" w14:textId="40098916"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r w:rsidRPr="0013707D">
        <w:rPr>
          <w:rFonts w:ascii="Bookman Old Style" w:hAnsi="Bookman Old Style"/>
          <w:color w:val="000000" w:themeColor="text1"/>
          <w:lang w:val="es-CO"/>
        </w:rPr>
        <w:t xml:space="preserve">Si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encuentra discrepancias como resultado de las verificaciones de que trata el numeral </w:t>
      </w:r>
      <w:r w:rsidRPr="0013707D">
        <w:rPr>
          <w:rFonts w:ascii="Bookman Old Style" w:hAnsi="Bookman Old Style"/>
          <w:color w:val="000000" w:themeColor="text1"/>
          <w:lang w:val="es-CO"/>
        </w:rPr>
        <w:fldChar w:fldCharType="begin"/>
      </w:r>
      <w:r w:rsidRPr="0013707D">
        <w:rPr>
          <w:rFonts w:ascii="Bookman Old Style" w:hAnsi="Bookman Old Style"/>
          <w:color w:val="000000" w:themeColor="text1"/>
          <w:lang w:val="es-CO"/>
        </w:rPr>
        <w:instrText xml:space="preserve"> REF _Ref357088991 \r \h  \* MERGEFORMAT </w:instrText>
      </w:r>
      <w:r w:rsidRPr="0013707D">
        <w:rPr>
          <w:rFonts w:ascii="Bookman Old Style" w:hAnsi="Bookman Old Style"/>
          <w:color w:val="000000" w:themeColor="text1"/>
          <w:lang w:val="es-CO"/>
        </w:rPr>
      </w:r>
      <w:r w:rsidRPr="0013707D">
        <w:rPr>
          <w:rFonts w:ascii="Bookman Old Style" w:hAnsi="Bookman Old Style"/>
          <w:color w:val="000000" w:themeColor="text1"/>
          <w:lang w:val="es-CO"/>
        </w:rPr>
        <w:fldChar w:fldCharType="separate"/>
      </w:r>
      <w:proofErr w:type="spellStart"/>
      <w:r w:rsidR="00636B6A">
        <w:rPr>
          <w:rFonts w:ascii="Bookman Old Style" w:hAnsi="Bookman Old Style"/>
          <w:color w:val="000000" w:themeColor="text1"/>
          <w:lang w:val="es-CO"/>
        </w:rPr>
        <w:t>iv</w:t>
      </w:r>
      <w:proofErr w:type="spellEnd"/>
      <w:r w:rsidRPr="0013707D">
        <w:rPr>
          <w:rFonts w:ascii="Bookman Old Style" w:hAnsi="Bookman Old Style"/>
          <w:color w:val="000000" w:themeColor="text1"/>
          <w:lang w:val="es-CO"/>
        </w:rPr>
        <w:fldChar w:fldCharType="end"/>
      </w:r>
      <w:r w:rsidRPr="0013707D">
        <w:rPr>
          <w:rFonts w:ascii="Bookman Old Style" w:hAnsi="Bookman Old Style"/>
          <w:color w:val="000000" w:themeColor="text1"/>
          <w:lang w:val="es-CO"/>
        </w:rPr>
        <w:t xml:space="preserve"> anterior,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themeColor="text1"/>
          <w:lang w:val="es-CO"/>
        </w:rPr>
        <w:t>del Mercado</w:t>
      </w:r>
      <w:r w:rsidRPr="0013707D">
        <w:rPr>
          <w:rFonts w:ascii="Bookman Old Style" w:hAnsi="Bookman Old Style"/>
          <w:color w:val="000000" w:themeColor="text1"/>
          <w:lang w:val="es-CO"/>
        </w:rPr>
        <w:t xml:space="preserve"> deberá </w:t>
      </w:r>
      <w:proofErr w:type="gramStart"/>
      <w:r w:rsidRPr="0013707D">
        <w:rPr>
          <w:rFonts w:ascii="Bookman Old Style" w:hAnsi="Bookman Old Style"/>
          <w:color w:val="000000" w:themeColor="text1"/>
          <w:lang w:val="es-CO"/>
        </w:rPr>
        <w:t>informarle</w:t>
      </w:r>
      <w:proofErr w:type="gramEnd"/>
      <w:r w:rsidRPr="0013707D">
        <w:rPr>
          <w:rFonts w:ascii="Bookman Old Style" w:hAnsi="Bookman Old Style"/>
          <w:color w:val="000000" w:themeColor="text1"/>
          <w:lang w:val="es-CO"/>
        </w:rPr>
        <w:t xml:space="preserve"> esta situación a las partes responsables de declarar la respectiva información y a los órganos responsables de la inspección, vigilancia y control.</w:t>
      </w:r>
    </w:p>
    <w:p w14:paraId="56904DEC" w14:textId="77777777"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790A31D8" w14:textId="77777777" w:rsidR="0006302B" w:rsidRPr="001602FF" w:rsidRDefault="0006302B" w:rsidP="00A4790E">
      <w:pPr>
        <w:keepNext/>
        <w:numPr>
          <w:ilvl w:val="0"/>
          <w:numId w:val="45"/>
        </w:numPr>
        <w:autoSpaceDE w:val="0"/>
        <w:autoSpaceDN w:val="0"/>
        <w:adjustRightInd w:val="0"/>
        <w:ind w:left="1134" w:hanging="567"/>
        <w:jc w:val="both"/>
        <w:rPr>
          <w:rFonts w:ascii="Bookman Old Style" w:hAnsi="Bookman Old Style" w:cs="Arial"/>
          <w:color w:val="000000" w:themeColor="text1"/>
          <w:lang w:val="es-CO"/>
        </w:rPr>
      </w:pPr>
      <w:r w:rsidRPr="001602FF">
        <w:rPr>
          <w:rFonts w:ascii="Bookman Old Style" w:hAnsi="Bookman Old Style" w:cs="Arial"/>
          <w:color w:val="000000" w:themeColor="text1"/>
          <w:lang w:val="es-CO"/>
        </w:rPr>
        <w:t>Publicación</w:t>
      </w:r>
    </w:p>
    <w:p w14:paraId="172726E1" w14:textId="77777777" w:rsidR="0006302B" w:rsidRPr="001602FF" w:rsidRDefault="0006302B" w:rsidP="0006302B">
      <w:pPr>
        <w:keepNext/>
        <w:autoSpaceDE w:val="0"/>
        <w:autoSpaceDN w:val="0"/>
        <w:adjustRightInd w:val="0"/>
        <w:ind w:left="1134"/>
        <w:jc w:val="both"/>
        <w:rPr>
          <w:rFonts w:ascii="Bookman Old Style" w:hAnsi="Bookman Old Style"/>
          <w:bCs/>
          <w:color w:val="000000" w:themeColor="text1"/>
          <w:lang w:val="es-CO" w:eastAsia="x-none"/>
        </w:rPr>
      </w:pPr>
    </w:p>
    <w:p w14:paraId="540B3F82" w14:textId="142B50EF"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r w:rsidRPr="001602FF">
        <w:rPr>
          <w:rFonts w:ascii="Bookman Old Style" w:hAnsi="Bookman Old Style"/>
          <w:bCs/>
          <w:color w:val="000000" w:themeColor="text1"/>
          <w:lang w:val="es-CO" w:eastAsia="x-none"/>
        </w:rPr>
        <w:t xml:space="preserve">A partir de la información operativa recolectada con base en el presente Anexo y </w:t>
      </w:r>
      <w:r w:rsidRPr="00D66B65">
        <w:rPr>
          <w:rFonts w:ascii="Bookman Old Style" w:hAnsi="Bookman Old Style"/>
          <w:bCs/>
          <w:color w:val="000000" w:themeColor="text1"/>
          <w:lang w:val="es-CO" w:eastAsia="x-none"/>
        </w:rPr>
        <w:t xml:space="preserve">en el Anexo 2 de la Resolución </w:t>
      </w:r>
      <w:r w:rsidRPr="00D66B65">
        <w:rPr>
          <w:rFonts w:ascii="Bookman Old Style" w:hAnsi="Bookman Old Style" w:cs="Arial"/>
          <w:color w:val="000000" w:themeColor="text1"/>
          <w:lang w:val="es-CO"/>
        </w:rPr>
        <w:t>185</w:t>
      </w:r>
      <w:r w:rsidRPr="00D66B65">
        <w:rPr>
          <w:rFonts w:ascii="Bookman Old Style" w:hAnsi="Bookman Old Style"/>
          <w:bCs/>
          <w:color w:val="000000" w:themeColor="text1"/>
          <w:lang w:val="es-CO" w:eastAsia="x-none"/>
        </w:rPr>
        <w:t xml:space="preserve"> de 2020</w:t>
      </w:r>
      <w:r w:rsidRPr="001602FF">
        <w:rPr>
          <w:rFonts w:ascii="Bookman Old Style" w:hAnsi="Bookman Old Style"/>
          <w:bCs/>
          <w:color w:val="000000" w:themeColor="text1"/>
          <w:lang w:val="es-CO" w:eastAsia="x-none"/>
        </w:rPr>
        <w:t xml:space="preserve">, 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sidRPr="001602FF">
        <w:rPr>
          <w:rFonts w:ascii="Bookman Old Style" w:hAnsi="Bookman Old Style"/>
          <w:bCs/>
          <w:color w:val="000000" w:themeColor="text1"/>
          <w:lang w:val="es-CO" w:eastAsia="x-none"/>
        </w:rPr>
        <w:t>del Mercado publicará la siguiente información en el</w:t>
      </w:r>
      <w:r w:rsidRPr="00AD781B">
        <w:rPr>
          <w:rFonts w:ascii="Bookman Old Style" w:hAnsi="Bookman Old Style"/>
          <w:bCs/>
          <w:color w:val="000000" w:themeColor="text1"/>
          <w:lang w:val="es-CO" w:eastAsia="x-none"/>
        </w:rPr>
        <w:t xml:space="preserve"> BEC, con la periodicidad aquí establecida:</w:t>
      </w:r>
    </w:p>
    <w:p w14:paraId="4E9039CA" w14:textId="77777777" w:rsidR="0006302B" w:rsidRPr="0013707D" w:rsidRDefault="0006302B" w:rsidP="0006302B">
      <w:pPr>
        <w:autoSpaceDE w:val="0"/>
        <w:autoSpaceDN w:val="0"/>
        <w:adjustRightInd w:val="0"/>
        <w:ind w:left="1134"/>
        <w:jc w:val="both"/>
        <w:rPr>
          <w:rFonts w:ascii="Bookman Old Style" w:hAnsi="Bookman Old Style"/>
          <w:bCs/>
          <w:color w:val="000000" w:themeColor="text1"/>
          <w:lang w:val="es-CO" w:eastAsia="x-none"/>
        </w:rPr>
      </w:pPr>
    </w:p>
    <w:p w14:paraId="0E05D2E0" w14:textId="64C0D047" w:rsidR="0006302B" w:rsidRPr="00AD781B"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Las cantidades totales de energía inyectadas diariamente en cada punto de entrada al SNT y las cantidades totales provenientes de campos aislados, desagregadas en </w:t>
      </w:r>
      <w:r>
        <w:rPr>
          <w:rFonts w:ascii="Bookman Old Style" w:hAnsi="Bookman Old Style" w:cs="Arial"/>
          <w:b/>
          <w:bCs/>
          <w:color w:val="000000" w:themeColor="text1"/>
          <w:sz w:val="24"/>
          <w:szCs w:val="24"/>
          <w:lang w:eastAsia="es-ES"/>
        </w:rPr>
        <w:t xml:space="preserve">Fuentes de Suministro de </w:t>
      </w:r>
      <w:r w:rsidRPr="0013707D">
        <w:rPr>
          <w:rFonts w:ascii="Bookman Old Style" w:hAnsi="Bookman Old Style" w:cs="Arial"/>
          <w:color w:val="000000" w:themeColor="text1"/>
          <w:sz w:val="24"/>
          <w:szCs w:val="24"/>
          <w:lang w:eastAsia="es-ES"/>
        </w:rPr>
        <w:t xml:space="preserve">producción nacional </w:t>
      </w:r>
      <w:r>
        <w:rPr>
          <w:rFonts w:ascii="Bookman Old Style" w:hAnsi="Bookman Old Style" w:cs="Arial"/>
          <w:b/>
          <w:bCs/>
          <w:color w:val="000000" w:themeColor="text1"/>
          <w:sz w:val="24"/>
          <w:szCs w:val="24"/>
          <w:lang w:eastAsia="es-ES"/>
        </w:rPr>
        <w:t>o Fuentes de Suministro Externas</w:t>
      </w:r>
      <w:r w:rsidRPr="0013707D">
        <w:rPr>
          <w:rFonts w:ascii="Bookman Old Style" w:hAnsi="Bookman Old Style" w:cs="Arial"/>
          <w:color w:val="000000" w:themeColor="text1"/>
          <w:sz w:val="24"/>
          <w:szCs w:val="24"/>
          <w:lang w:eastAsia="es-ES"/>
        </w:rPr>
        <w:t xml:space="preserve"> expresadas en MBTU. Esta información se actualizará dentro de los primeros </w:t>
      </w:r>
      <w:r w:rsidR="006A4289" w:rsidRPr="006A4289">
        <w:rPr>
          <w:rFonts w:ascii="Bookman Old Style" w:hAnsi="Bookman Old Style" w:cs="Arial"/>
          <w:b/>
          <w:bCs/>
          <w:color w:val="000000" w:themeColor="text1"/>
          <w:sz w:val="24"/>
          <w:szCs w:val="24"/>
          <w:lang w:eastAsia="es-ES"/>
        </w:rPr>
        <w:t>quince (15)</w:t>
      </w:r>
      <w:r w:rsidRPr="0013707D">
        <w:rPr>
          <w:rFonts w:ascii="Bookman Old Style" w:hAnsi="Bookman Old Style" w:cs="Arial"/>
          <w:color w:val="000000" w:themeColor="text1"/>
          <w:sz w:val="24"/>
          <w:szCs w:val="24"/>
          <w:lang w:eastAsia="es-ES"/>
        </w:rPr>
        <w:t xml:space="preserve"> días hábiles de cada mes y deberá mostrar el </w:t>
      </w:r>
      <w:r w:rsidRPr="00AD781B">
        <w:rPr>
          <w:rFonts w:ascii="Bookman Old Style" w:hAnsi="Bookman Old Style" w:cs="Arial"/>
          <w:color w:val="000000" w:themeColor="text1"/>
          <w:sz w:val="24"/>
          <w:szCs w:val="24"/>
          <w:lang w:eastAsia="es-ES"/>
        </w:rPr>
        <w:t xml:space="preserve">histórico de los últimos doce (12) meses por </w:t>
      </w:r>
      <w:r w:rsidR="00790F6D">
        <w:rPr>
          <w:rFonts w:ascii="Bookman Old Style" w:hAnsi="Bookman Old Style" w:cs="Arial"/>
          <w:b/>
          <w:bCs/>
          <w:color w:val="000000" w:themeColor="text1"/>
          <w:sz w:val="24"/>
          <w:szCs w:val="24"/>
          <w:lang w:eastAsia="es-ES"/>
        </w:rPr>
        <w:t>Punto de Entrega</w:t>
      </w:r>
      <w:r w:rsidRPr="00AD781B">
        <w:rPr>
          <w:rFonts w:ascii="Bookman Old Style" w:hAnsi="Bookman Old Style" w:cs="Arial"/>
          <w:color w:val="000000" w:themeColor="text1"/>
          <w:sz w:val="24"/>
          <w:szCs w:val="24"/>
          <w:lang w:eastAsia="es-ES"/>
        </w:rPr>
        <w:t>.</w:t>
      </w:r>
    </w:p>
    <w:p w14:paraId="1077A2B6" w14:textId="77777777" w:rsidR="0006302B" w:rsidRPr="00AD781B"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58A9D098" w14:textId="79DC6EBA" w:rsidR="0006302B" w:rsidRPr="0013707D"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AD781B">
        <w:rPr>
          <w:rFonts w:ascii="Bookman Old Style" w:hAnsi="Bookman Old Style" w:cs="Arial"/>
          <w:color w:val="000000" w:themeColor="text1"/>
          <w:sz w:val="24"/>
          <w:szCs w:val="24"/>
          <w:lang w:eastAsia="es-ES"/>
        </w:rPr>
        <w:t>La cantidad total de energía tomada</w:t>
      </w:r>
      <w:r w:rsidRPr="0013707D">
        <w:rPr>
          <w:rFonts w:ascii="Bookman Old Style" w:hAnsi="Bookman Old Style" w:cs="Arial"/>
          <w:color w:val="000000" w:themeColor="text1"/>
          <w:sz w:val="24"/>
          <w:szCs w:val="24"/>
          <w:lang w:eastAsia="es-ES"/>
        </w:rPr>
        <w:t xml:space="preserve"> diariamente </w:t>
      </w:r>
      <w:r>
        <w:rPr>
          <w:rFonts w:ascii="Bookman Old Style" w:hAnsi="Bookman Old Style" w:cs="Arial"/>
          <w:b/>
          <w:bCs/>
          <w:color w:val="000000" w:themeColor="text1"/>
          <w:sz w:val="24"/>
          <w:szCs w:val="24"/>
          <w:lang w:eastAsia="es-ES"/>
        </w:rPr>
        <w:t xml:space="preserve">en los Puntos de Salida </w:t>
      </w:r>
      <w:r w:rsidR="00C9134D">
        <w:rPr>
          <w:rFonts w:ascii="Bookman Old Style" w:hAnsi="Bookman Old Style" w:cs="Arial"/>
          <w:color w:val="000000" w:themeColor="text1"/>
          <w:sz w:val="24"/>
          <w:szCs w:val="24"/>
          <w:lang w:eastAsia="es-ES"/>
        </w:rPr>
        <w:t>del</w:t>
      </w:r>
      <w:r w:rsidRPr="0013707D">
        <w:rPr>
          <w:rFonts w:ascii="Bookman Old Style" w:hAnsi="Bookman Old Style" w:cs="Arial"/>
          <w:color w:val="000000" w:themeColor="text1"/>
          <w:sz w:val="24"/>
          <w:szCs w:val="24"/>
          <w:lang w:eastAsia="es-ES"/>
        </w:rPr>
        <w:t xml:space="preserve"> sistema de transporte, expresada en MBTU. Esta información se actualizará dentro de los primeros </w:t>
      </w:r>
      <w:r w:rsidR="006A4289" w:rsidRPr="006A4289">
        <w:rPr>
          <w:rFonts w:ascii="Bookman Old Style" w:hAnsi="Bookman Old Style" w:cs="Arial"/>
          <w:b/>
          <w:bCs/>
          <w:color w:val="000000" w:themeColor="text1"/>
          <w:sz w:val="24"/>
          <w:szCs w:val="24"/>
          <w:lang w:eastAsia="es-ES"/>
        </w:rPr>
        <w:t>quince (15)</w:t>
      </w:r>
      <w:r w:rsidR="006A4289" w:rsidRPr="0013707D">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 xml:space="preserve">días hábiles de cada mes y deberá mostrar el histórico de los últimos doce (12) meses por tipo de demanda (i.e. </w:t>
      </w:r>
      <w:r>
        <w:rPr>
          <w:rFonts w:ascii="Bookman Old Style" w:hAnsi="Bookman Old Style" w:cs="Arial"/>
          <w:b/>
          <w:bCs/>
          <w:color w:val="000000" w:themeColor="text1"/>
          <w:sz w:val="24"/>
          <w:szCs w:val="24"/>
          <w:lang w:eastAsia="es-ES"/>
        </w:rPr>
        <w:t xml:space="preserve">esencial, </w:t>
      </w:r>
      <w:r w:rsidRPr="0013707D">
        <w:rPr>
          <w:rFonts w:ascii="Bookman Old Style" w:hAnsi="Bookman Old Style" w:cs="Arial"/>
          <w:color w:val="000000" w:themeColor="text1"/>
          <w:sz w:val="24"/>
          <w:szCs w:val="24"/>
          <w:lang w:eastAsia="es-ES"/>
        </w:rPr>
        <w:t xml:space="preserve">regulada, no regulada o tomada por otro transportador; la demanda regulada y no regulada deberá ser desagregada en residencial, </w:t>
      </w:r>
      <w:r w:rsidRPr="002C252E">
        <w:rPr>
          <w:rFonts w:ascii="Bookman Old Style" w:hAnsi="Bookman Old Style" w:cs="Arial"/>
          <w:b/>
          <w:bCs/>
          <w:color w:val="000000" w:themeColor="text1"/>
          <w:sz w:val="24"/>
          <w:szCs w:val="24"/>
          <w:lang w:eastAsia="es-ES"/>
        </w:rPr>
        <w:t>y pequeños usuarios comerciales inmersos en la red de distribución</w:t>
      </w:r>
      <w:r>
        <w:rPr>
          <w:rFonts w:ascii="Bookman Old Style" w:hAnsi="Bookman Old Style" w:cs="Arial"/>
          <w:b/>
          <w:bCs/>
          <w:color w:val="000000" w:themeColor="text1"/>
          <w:sz w:val="24"/>
          <w:szCs w:val="24"/>
          <w:lang w:eastAsia="es-ES"/>
        </w:rPr>
        <w:t>,</w:t>
      </w:r>
      <w:r w:rsidRPr="002C252E">
        <w:rPr>
          <w:rFonts w:ascii="Bookman Old Style" w:hAnsi="Bookman Old Style" w:cs="Arial"/>
          <w:b/>
          <w:bCs/>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 xml:space="preserve">comercial, industrial, gas para transportadores, petroquímica, gas natural </w:t>
      </w:r>
      <w:r>
        <w:rPr>
          <w:rFonts w:ascii="Bookman Old Style" w:hAnsi="Bookman Old Style" w:cs="Arial"/>
          <w:color w:val="000000" w:themeColor="text1"/>
          <w:sz w:val="24"/>
          <w:szCs w:val="24"/>
          <w:lang w:eastAsia="es-ES"/>
        </w:rPr>
        <w:t xml:space="preserve">comprimido </w:t>
      </w:r>
      <w:r w:rsidRPr="0013707D">
        <w:rPr>
          <w:rFonts w:ascii="Bookman Old Style" w:hAnsi="Bookman Old Style" w:cs="Arial"/>
          <w:color w:val="000000" w:themeColor="text1"/>
          <w:sz w:val="24"/>
          <w:szCs w:val="24"/>
          <w:lang w:eastAsia="es-ES"/>
        </w:rPr>
        <w:t>vehicular, plantas de generación térmica u otros).</w:t>
      </w:r>
    </w:p>
    <w:p w14:paraId="05B44511" w14:textId="77777777" w:rsidR="0006302B" w:rsidRPr="0013707D"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6FCA5B97" w14:textId="3E75A02A" w:rsidR="0006302B" w:rsidRPr="001602FF"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La cantidad total de energía tomada</w:t>
      </w:r>
      <w:r>
        <w:rPr>
          <w:rFonts w:ascii="Bookman Old Style" w:hAnsi="Bookman Old Style" w:cs="Arial"/>
          <w:color w:val="000000" w:themeColor="text1"/>
          <w:sz w:val="24"/>
          <w:szCs w:val="24"/>
          <w:lang w:eastAsia="es-ES"/>
        </w:rPr>
        <w:t xml:space="preserve"> </w:t>
      </w:r>
      <w:r>
        <w:rPr>
          <w:rFonts w:ascii="Bookman Old Style" w:hAnsi="Bookman Old Style" w:cs="Arial"/>
          <w:b/>
          <w:bCs/>
          <w:color w:val="000000" w:themeColor="text1"/>
          <w:sz w:val="24"/>
          <w:szCs w:val="24"/>
          <w:lang w:eastAsia="es-ES"/>
        </w:rPr>
        <w:t>en los Puntos de Salida</w:t>
      </w:r>
      <w:r w:rsidRPr="0013707D">
        <w:rPr>
          <w:rFonts w:ascii="Bookman Old Style" w:hAnsi="Bookman Old Style" w:cs="Arial"/>
          <w:color w:val="000000" w:themeColor="text1"/>
          <w:sz w:val="24"/>
          <w:szCs w:val="24"/>
          <w:lang w:eastAsia="es-ES"/>
        </w:rPr>
        <w:t xml:space="preserve"> diariamente del SNT, expresada en MBTU. Esta información se actualizará dentro de los primeros </w:t>
      </w:r>
      <w:r w:rsidR="006A4289" w:rsidRPr="006A4289">
        <w:rPr>
          <w:rFonts w:ascii="Bookman Old Style" w:hAnsi="Bookman Old Style" w:cs="Arial"/>
          <w:b/>
          <w:bCs/>
          <w:color w:val="000000" w:themeColor="text1"/>
          <w:sz w:val="24"/>
          <w:szCs w:val="24"/>
          <w:lang w:eastAsia="es-ES"/>
        </w:rPr>
        <w:t>quince (15)</w:t>
      </w:r>
      <w:r w:rsidR="006A4289" w:rsidRPr="0013707D">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 xml:space="preserve">días hábiles de cada mes y deberá mostrar el histórico de los últimos doce (12) meses por tipo de demanda (i.e. regulada y no regulada, desagregada en residencial, </w:t>
      </w:r>
      <w:r w:rsidRPr="00F63E2B">
        <w:rPr>
          <w:rFonts w:ascii="Bookman Old Style" w:hAnsi="Bookman Old Style" w:cs="Arial"/>
          <w:b/>
          <w:bCs/>
          <w:color w:val="000000" w:themeColor="text1"/>
          <w:sz w:val="24"/>
          <w:szCs w:val="24"/>
          <w:lang w:eastAsia="es-ES"/>
        </w:rPr>
        <w:t>y pequeños usuarios comerciales inmensos en la red de distribución</w:t>
      </w:r>
      <w:r w:rsidRPr="0013707D">
        <w:rPr>
          <w:rFonts w:ascii="Bookman Old Style" w:hAnsi="Bookman Old Style" w:cs="Arial"/>
          <w:color w:val="000000" w:themeColor="text1"/>
          <w:sz w:val="24"/>
          <w:szCs w:val="24"/>
          <w:lang w:eastAsia="es-ES"/>
        </w:rPr>
        <w:t xml:space="preserve">, </w:t>
      </w:r>
      <w:r w:rsidRPr="001602FF">
        <w:rPr>
          <w:rFonts w:ascii="Bookman Old Style" w:hAnsi="Bookman Old Style" w:cs="Arial"/>
          <w:color w:val="000000" w:themeColor="text1"/>
          <w:sz w:val="24"/>
          <w:szCs w:val="24"/>
          <w:lang w:eastAsia="es-ES"/>
        </w:rPr>
        <w:t xml:space="preserve">comercial, industrial, gas para transportadores, petroquímica, gas natural </w:t>
      </w:r>
      <w:r>
        <w:rPr>
          <w:rFonts w:ascii="Bookman Old Style" w:hAnsi="Bookman Old Style" w:cs="Arial"/>
          <w:color w:val="000000" w:themeColor="text1"/>
          <w:sz w:val="24"/>
          <w:szCs w:val="24"/>
          <w:lang w:eastAsia="es-ES"/>
        </w:rPr>
        <w:t xml:space="preserve">comprimido </w:t>
      </w:r>
      <w:r w:rsidRPr="001602FF">
        <w:rPr>
          <w:rFonts w:ascii="Bookman Old Style" w:hAnsi="Bookman Old Style" w:cs="Arial"/>
          <w:color w:val="000000" w:themeColor="text1"/>
          <w:sz w:val="24"/>
          <w:szCs w:val="24"/>
          <w:lang w:eastAsia="es-ES"/>
        </w:rPr>
        <w:t>vehicular generación térmica u otros y por las modalidades contractuales establecidas en el en el</w:t>
      </w:r>
      <w:r w:rsidR="00210424">
        <w:rPr>
          <w:rFonts w:ascii="Bookman Old Style" w:hAnsi="Bookman Old Style" w:cs="Arial"/>
          <w:color w:val="000000" w:themeColor="text1"/>
          <w:sz w:val="24"/>
          <w:szCs w:val="24"/>
          <w:lang w:eastAsia="es-ES"/>
        </w:rPr>
        <w:t xml:space="preserve"> artículo 8</w:t>
      </w:r>
      <w:r w:rsidR="00A6541A">
        <w:rPr>
          <w:rFonts w:ascii="Bookman Old Style" w:hAnsi="Bookman Old Style" w:cs="Arial"/>
          <w:color w:val="000000" w:themeColor="text1"/>
          <w:sz w:val="24"/>
          <w:szCs w:val="24"/>
          <w:lang w:eastAsia="es-ES"/>
        </w:rPr>
        <w:t xml:space="preserve"> </w:t>
      </w:r>
      <w:r w:rsidRPr="001602FF">
        <w:rPr>
          <w:rFonts w:ascii="Bookman Old Style" w:hAnsi="Bookman Old Style" w:cs="Arial"/>
          <w:color w:val="000000" w:themeColor="text1"/>
          <w:sz w:val="24"/>
          <w:szCs w:val="24"/>
          <w:lang w:eastAsia="es-ES"/>
        </w:rPr>
        <w:t>de esta Resolución.</w:t>
      </w:r>
    </w:p>
    <w:p w14:paraId="41289575" w14:textId="77777777" w:rsidR="0006302B" w:rsidRPr="00AD781B" w:rsidRDefault="0006302B" w:rsidP="0006302B">
      <w:pPr>
        <w:ind w:left="1134"/>
        <w:jc w:val="both"/>
        <w:rPr>
          <w:rFonts w:ascii="Bookman Old Style" w:hAnsi="Bookman Old Style"/>
          <w:bCs/>
          <w:color w:val="000000" w:themeColor="text1"/>
          <w:lang w:val="es-CO" w:eastAsia="x-none"/>
        </w:rPr>
      </w:pPr>
    </w:p>
    <w:p w14:paraId="4CFA8F08" w14:textId="0B4B12C1" w:rsidR="0006302B" w:rsidRPr="00AD781B"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AD781B">
        <w:rPr>
          <w:rFonts w:ascii="Bookman Old Style" w:hAnsi="Bookman Old Style" w:cs="Arial"/>
          <w:color w:val="000000" w:themeColor="text1"/>
          <w:sz w:val="24"/>
          <w:szCs w:val="24"/>
          <w:lang w:eastAsia="es-ES"/>
        </w:rPr>
        <w:lastRenderedPageBreak/>
        <w:t>La cantidad</w:t>
      </w:r>
      <w:r w:rsidRPr="0013707D">
        <w:rPr>
          <w:rFonts w:ascii="Bookman Old Style" w:hAnsi="Bookman Old Style" w:cs="Arial"/>
          <w:color w:val="000000" w:themeColor="text1"/>
          <w:sz w:val="24"/>
          <w:szCs w:val="24"/>
          <w:lang w:eastAsia="es-ES"/>
        </w:rPr>
        <w:t xml:space="preserve"> total de energía declarada por los comercializadores de gas importado resultante de adicionar aquella inyectada al SNT más aquella consumida en el territorio nacional sin haber ingresado al SNT, expresada en MBTU. Esta información se actualizará dentro de los primeros </w:t>
      </w:r>
      <w:r w:rsidR="002C7791" w:rsidRPr="006A4289">
        <w:rPr>
          <w:rFonts w:ascii="Bookman Old Style" w:hAnsi="Bookman Old Style" w:cs="Arial"/>
          <w:b/>
          <w:bCs/>
          <w:color w:val="000000" w:themeColor="text1"/>
          <w:sz w:val="24"/>
          <w:szCs w:val="24"/>
          <w:lang w:eastAsia="es-ES"/>
        </w:rPr>
        <w:t>quince (15)</w:t>
      </w:r>
      <w:r w:rsidR="002C7791" w:rsidRPr="0013707D">
        <w:rPr>
          <w:rFonts w:ascii="Bookman Old Style" w:hAnsi="Bookman Old Style" w:cs="Arial"/>
          <w:color w:val="000000" w:themeColor="text1"/>
          <w:sz w:val="24"/>
          <w:szCs w:val="24"/>
          <w:lang w:eastAsia="es-ES"/>
        </w:rPr>
        <w:t xml:space="preserve"> </w:t>
      </w:r>
      <w:r w:rsidRPr="00AD781B">
        <w:rPr>
          <w:rFonts w:ascii="Bookman Old Style" w:hAnsi="Bookman Old Style" w:cs="Arial"/>
          <w:color w:val="000000" w:themeColor="text1"/>
          <w:sz w:val="24"/>
          <w:szCs w:val="24"/>
          <w:lang w:eastAsia="es-ES"/>
        </w:rPr>
        <w:t>días hábiles de cada mes y deberá mostrar el histórico de los últimos doce (12) meses por</w:t>
      </w:r>
      <w:r w:rsidR="002C7791">
        <w:rPr>
          <w:rFonts w:ascii="Bookman Old Style" w:hAnsi="Bookman Old Style" w:cs="Arial"/>
          <w:color w:val="000000" w:themeColor="text1"/>
          <w:sz w:val="24"/>
          <w:szCs w:val="24"/>
          <w:lang w:eastAsia="es-ES"/>
        </w:rPr>
        <w:t xml:space="preserve"> </w:t>
      </w:r>
      <w:r w:rsidRPr="00AD781B">
        <w:rPr>
          <w:rFonts w:ascii="Bookman Old Style" w:hAnsi="Bookman Old Style" w:cs="Arial"/>
          <w:color w:val="000000" w:themeColor="text1"/>
          <w:sz w:val="24"/>
          <w:szCs w:val="24"/>
          <w:lang w:eastAsia="es-ES"/>
        </w:rPr>
        <w:t>las modalidades contractuales establecidas en el</w:t>
      </w:r>
      <w:r w:rsidR="00210424">
        <w:rPr>
          <w:rFonts w:ascii="Bookman Old Style" w:hAnsi="Bookman Old Style" w:cs="Arial"/>
          <w:color w:val="000000" w:themeColor="text1"/>
          <w:sz w:val="24"/>
          <w:szCs w:val="24"/>
          <w:lang w:eastAsia="es-ES"/>
        </w:rPr>
        <w:t xml:space="preserve"> artículo 8</w:t>
      </w:r>
      <w:r w:rsidRPr="00AD781B">
        <w:rPr>
          <w:rFonts w:ascii="Bookman Old Style" w:hAnsi="Bookman Old Style" w:cs="Arial"/>
          <w:color w:val="000000" w:themeColor="text1"/>
          <w:sz w:val="24"/>
          <w:szCs w:val="24"/>
          <w:lang w:eastAsia="es-ES"/>
        </w:rPr>
        <w:t xml:space="preserve"> de esta Resolución.</w:t>
      </w:r>
    </w:p>
    <w:p w14:paraId="434E0477" w14:textId="77777777" w:rsidR="0006302B" w:rsidRPr="0013707D" w:rsidRDefault="0006302B" w:rsidP="0006302B">
      <w:pPr>
        <w:pStyle w:val="Prrafodelista"/>
        <w:rPr>
          <w:rFonts w:ascii="Bookman Old Style" w:hAnsi="Bookman Old Style" w:cs="Arial"/>
          <w:color w:val="000000" w:themeColor="text1"/>
          <w:sz w:val="24"/>
          <w:szCs w:val="24"/>
          <w:lang w:eastAsia="es-ES"/>
        </w:rPr>
      </w:pPr>
    </w:p>
    <w:p w14:paraId="230E2BEA" w14:textId="77777777" w:rsidR="0006302B" w:rsidRPr="0013707D"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Cantidad total de energía tomada diariamente en los puntos de salida de cada sistema de transporte, o entregada en los puntos de transferencia entre</w:t>
      </w:r>
      <w:r>
        <w:rPr>
          <w:rFonts w:ascii="Bookman Old Style" w:hAnsi="Bookman Old Style" w:cs="Arial"/>
          <w:color w:val="000000" w:themeColor="text1"/>
          <w:sz w:val="24"/>
          <w:szCs w:val="24"/>
          <w:lang w:eastAsia="es-ES"/>
        </w:rPr>
        <w:t xml:space="preserve"> los</w:t>
      </w:r>
      <w:r w:rsidRPr="0013707D">
        <w:rPr>
          <w:rFonts w:ascii="Bookman Old Style" w:hAnsi="Bookman Old Style" w:cs="Arial"/>
          <w:color w:val="000000" w:themeColor="text1"/>
          <w:sz w:val="24"/>
          <w:szCs w:val="24"/>
          <w:lang w:eastAsia="es-ES"/>
        </w:rPr>
        <w:t xml:space="preserve"> </w:t>
      </w:r>
      <w:r>
        <w:rPr>
          <w:rFonts w:ascii="Bookman Old Style" w:hAnsi="Bookman Old Style" w:cs="Arial"/>
          <w:color w:val="000000" w:themeColor="text1"/>
          <w:sz w:val="24"/>
          <w:szCs w:val="24"/>
          <w:lang w:eastAsia="es-ES"/>
        </w:rPr>
        <w:t>tr</w:t>
      </w:r>
      <w:r w:rsidRPr="0013707D">
        <w:rPr>
          <w:rFonts w:ascii="Bookman Old Style" w:hAnsi="Bookman Old Style" w:cs="Arial"/>
          <w:color w:val="000000" w:themeColor="text1"/>
          <w:sz w:val="24"/>
          <w:szCs w:val="24"/>
          <w:lang w:eastAsia="es-ES"/>
        </w:rPr>
        <w:t>ansportadores, correspondiente a contratos de parqueo, expresada en MBTU.</w:t>
      </w:r>
    </w:p>
    <w:p w14:paraId="71B76BF3" w14:textId="77777777" w:rsidR="0006302B" w:rsidRPr="0013707D" w:rsidRDefault="0006302B" w:rsidP="0006302B">
      <w:pPr>
        <w:pStyle w:val="Prrafodelista"/>
        <w:ind w:left="1701"/>
        <w:contextualSpacing/>
        <w:jc w:val="both"/>
        <w:rPr>
          <w:rFonts w:ascii="Bookman Old Style" w:hAnsi="Bookman Old Style" w:cs="Arial"/>
          <w:color w:val="000000" w:themeColor="text1"/>
          <w:sz w:val="24"/>
          <w:szCs w:val="24"/>
          <w:lang w:eastAsia="es-ES"/>
        </w:rPr>
      </w:pPr>
    </w:p>
    <w:p w14:paraId="24B52F1B" w14:textId="18EADA5C" w:rsidR="0006302B" w:rsidRPr="0013707D"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Las cantidades totales de energía a suministrar diariamente, según las nominaciones de suministro, en cada </w:t>
      </w:r>
      <w:r w:rsidR="00790F6D">
        <w:rPr>
          <w:rFonts w:ascii="Bookman Old Style" w:hAnsi="Bookman Old Style" w:cs="Arial"/>
          <w:color w:val="000000" w:themeColor="text1"/>
          <w:sz w:val="24"/>
          <w:szCs w:val="24"/>
          <w:lang w:eastAsia="es-ES"/>
        </w:rPr>
        <w:t>Punto de Entrega</w:t>
      </w:r>
      <w:r w:rsidRPr="0013707D">
        <w:rPr>
          <w:rFonts w:ascii="Bookman Old Style" w:hAnsi="Bookman Old Style" w:cs="Arial"/>
          <w:color w:val="000000" w:themeColor="text1"/>
          <w:sz w:val="24"/>
          <w:szCs w:val="24"/>
          <w:lang w:eastAsia="es-ES"/>
        </w:rPr>
        <w:t xml:space="preserve"> al SNT, expresadas en MBTU. Esta información se actualizará dentro de los primeros </w:t>
      </w:r>
      <w:r w:rsidR="002C7791" w:rsidRPr="006A4289">
        <w:rPr>
          <w:rFonts w:ascii="Bookman Old Style" w:hAnsi="Bookman Old Style" w:cs="Arial"/>
          <w:b/>
          <w:bCs/>
          <w:color w:val="000000" w:themeColor="text1"/>
          <w:sz w:val="24"/>
          <w:szCs w:val="24"/>
          <w:lang w:eastAsia="es-ES"/>
        </w:rPr>
        <w:t>quince (15)</w:t>
      </w:r>
      <w:r w:rsidR="002C7791" w:rsidRPr="0013707D">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días hábiles de cada mes y deberá mostrar el histórico de los últimos doce (12) meses.</w:t>
      </w:r>
    </w:p>
    <w:p w14:paraId="55DCF2F4" w14:textId="77777777" w:rsidR="0006302B" w:rsidRPr="0013707D" w:rsidRDefault="0006302B" w:rsidP="0006302B">
      <w:pPr>
        <w:pStyle w:val="Prrafodelista"/>
        <w:rPr>
          <w:rFonts w:ascii="Bookman Old Style" w:hAnsi="Bookman Old Style" w:cs="Arial"/>
          <w:color w:val="000000" w:themeColor="text1"/>
          <w:sz w:val="24"/>
          <w:szCs w:val="24"/>
          <w:lang w:eastAsia="es-ES"/>
        </w:rPr>
      </w:pPr>
    </w:p>
    <w:p w14:paraId="186153CF" w14:textId="7ED1F997" w:rsidR="0006302B" w:rsidRPr="0013707D"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 xml:space="preserve">Las cantidades totales de energía autorizada diariamente, según las nominaciones de transporte, por </w:t>
      </w:r>
      <w:r>
        <w:rPr>
          <w:rFonts w:ascii="Bookman Old Style" w:hAnsi="Bookman Old Style" w:cs="Arial"/>
          <w:color w:val="000000" w:themeColor="text1"/>
          <w:sz w:val="24"/>
          <w:szCs w:val="24"/>
          <w:lang w:eastAsia="es-ES"/>
        </w:rPr>
        <w:t xml:space="preserve">Punto de Entrada y Puntos de Salida, de </w:t>
      </w:r>
      <w:r w:rsidRPr="0013707D">
        <w:rPr>
          <w:rFonts w:ascii="Bookman Old Style" w:hAnsi="Bookman Old Style" w:cs="Arial"/>
          <w:color w:val="000000" w:themeColor="text1"/>
          <w:sz w:val="24"/>
          <w:szCs w:val="24"/>
          <w:lang w:eastAsia="es-ES"/>
        </w:rPr>
        <w:t xml:space="preserve">cada sistema de transporte, expresadas en MBTU. Esta información se actualizará dentro de los primeros </w:t>
      </w:r>
      <w:r w:rsidR="002C7791" w:rsidRPr="006A4289">
        <w:rPr>
          <w:rFonts w:ascii="Bookman Old Style" w:hAnsi="Bookman Old Style" w:cs="Arial"/>
          <w:b/>
          <w:bCs/>
          <w:color w:val="000000" w:themeColor="text1"/>
          <w:sz w:val="24"/>
          <w:szCs w:val="24"/>
          <w:lang w:eastAsia="es-ES"/>
        </w:rPr>
        <w:t>quince (15)</w:t>
      </w:r>
      <w:r w:rsidR="002C7791" w:rsidRPr="0013707D">
        <w:rPr>
          <w:rFonts w:ascii="Bookman Old Style" w:hAnsi="Bookman Old Style" w:cs="Arial"/>
          <w:color w:val="000000" w:themeColor="text1"/>
          <w:sz w:val="24"/>
          <w:szCs w:val="24"/>
          <w:lang w:eastAsia="es-ES"/>
        </w:rPr>
        <w:t xml:space="preserve"> </w:t>
      </w:r>
      <w:r w:rsidRPr="0013707D">
        <w:rPr>
          <w:rFonts w:ascii="Bookman Old Style" w:hAnsi="Bookman Old Style" w:cs="Arial"/>
          <w:color w:val="000000" w:themeColor="text1"/>
          <w:sz w:val="24"/>
          <w:szCs w:val="24"/>
          <w:lang w:eastAsia="es-ES"/>
        </w:rPr>
        <w:t>días hábiles de cada mes y deberá mostrar el histórico de los últimos doce (12) meses.</w:t>
      </w:r>
    </w:p>
    <w:p w14:paraId="68D8E584" w14:textId="77777777" w:rsidR="0006302B" w:rsidRPr="0013707D" w:rsidRDefault="0006302B" w:rsidP="0006302B">
      <w:pPr>
        <w:ind w:left="1134"/>
        <w:jc w:val="both"/>
        <w:rPr>
          <w:rFonts w:ascii="Bookman Old Style" w:hAnsi="Bookman Old Style" w:cs="Arial"/>
          <w:color w:val="000000" w:themeColor="text1"/>
          <w:lang w:val="es-CO"/>
        </w:rPr>
      </w:pPr>
    </w:p>
    <w:p w14:paraId="63E9F76E" w14:textId="77777777" w:rsidR="0006302B" w:rsidRPr="0013707D" w:rsidRDefault="0006302B" w:rsidP="00A4790E">
      <w:pPr>
        <w:pStyle w:val="Prrafodelista"/>
        <w:numPr>
          <w:ilvl w:val="0"/>
          <w:numId w:val="35"/>
        </w:numPr>
        <w:ind w:left="1701" w:hanging="567"/>
        <w:contextualSpacing/>
        <w:jc w:val="both"/>
        <w:rPr>
          <w:rFonts w:ascii="Bookman Old Style" w:hAnsi="Bookman Old Style" w:cs="Arial"/>
          <w:color w:val="000000" w:themeColor="text1"/>
          <w:sz w:val="24"/>
          <w:szCs w:val="24"/>
          <w:lang w:eastAsia="es-ES"/>
        </w:rPr>
      </w:pPr>
      <w:r w:rsidRPr="0013707D">
        <w:rPr>
          <w:rFonts w:ascii="Bookman Old Style" w:hAnsi="Bookman Old Style" w:cs="Arial"/>
          <w:color w:val="000000" w:themeColor="text1"/>
          <w:sz w:val="24"/>
          <w:szCs w:val="24"/>
          <w:lang w:eastAsia="es-ES"/>
        </w:rPr>
        <w:t>La demás que determine la CREG.</w:t>
      </w:r>
    </w:p>
    <w:p w14:paraId="21C6282E" w14:textId="77777777" w:rsidR="0006302B" w:rsidRPr="0013707D" w:rsidRDefault="0006302B" w:rsidP="0006302B">
      <w:pPr>
        <w:ind w:left="0"/>
        <w:jc w:val="both"/>
        <w:rPr>
          <w:rFonts w:ascii="Bookman Old Style" w:hAnsi="Bookman Old Style"/>
          <w:bCs/>
          <w:color w:val="000000" w:themeColor="text1"/>
          <w:lang w:val="es-CO" w:eastAsia="x-none"/>
        </w:rPr>
      </w:pPr>
    </w:p>
    <w:p w14:paraId="4A0031CB" w14:textId="77777777" w:rsidR="0006302B" w:rsidRPr="0013707D" w:rsidRDefault="0006302B" w:rsidP="00A4790E">
      <w:pPr>
        <w:pStyle w:val="ARTICULOS"/>
        <w:numPr>
          <w:ilvl w:val="1"/>
          <w:numId w:val="36"/>
        </w:numPr>
        <w:ind w:left="567" w:hanging="567"/>
        <w:rPr>
          <w:b/>
          <w:color w:val="000000" w:themeColor="text1"/>
          <w:lang w:val="es-CO"/>
        </w:rPr>
      </w:pPr>
      <w:r w:rsidRPr="0013707D">
        <w:rPr>
          <w:b/>
          <w:color w:val="000000" w:themeColor="text1"/>
          <w:lang w:val="es-CO"/>
        </w:rPr>
        <w:t>Conservación de información</w:t>
      </w:r>
    </w:p>
    <w:p w14:paraId="048324B9" w14:textId="77777777" w:rsidR="0006302B" w:rsidRPr="0013707D" w:rsidRDefault="0006302B" w:rsidP="0006302B">
      <w:pPr>
        <w:autoSpaceDE w:val="0"/>
        <w:autoSpaceDN w:val="0"/>
        <w:adjustRightInd w:val="0"/>
        <w:ind w:left="0"/>
        <w:jc w:val="both"/>
        <w:rPr>
          <w:rFonts w:ascii="Bookman Old Style" w:hAnsi="Bookman Old Style"/>
          <w:color w:val="000000" w:themeColor="text1"/>
          <w:lang w:val="es-CO"/>
        </w:rPr>
      </w:pPr>
    </w:p>
    <w:p w14:paraId="362476DE" w14:textId="024ADB3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bCs/>
          <w:color w:val="000000" w:themeColor="text1"/>
          <w:lang w:val="es-CO" w:eastAsia="x-none"/>
        </w:rPr>
        <w:t>del Mercado</w:t>
      </w:r>
      <w:r w:rsidRPr="0013707D">
        <w:rPr>
          <w:rFonts w:ascii="Bookman Old Style" w:hAnsi="Bookman Old Style"/>
          <w:bCs/>
          <w:color w:val="000000" w:themeColor="text1"/>
          <w:lang w:val="es-CO" w:eastAsia="x-none"/>
        </w:rPr>
        <w:t xml:space="preserve"> deberá conservar toda la información que recopile. En desarrollo de esta labor deberá:</w:t>
      </w:r>
    </w:p>
    <w:p w14:paraId="2FF0FC3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B079999" w14:textId="77777777" w:rsidR="0006302B" w:rsidRPr="0013707D" w:rsidRDefault="0006302B" w:rsidP="00A4790E">
      <w:pPr>
        <w:numPr>
          <w:ilvl w:val="0"/>
          <w:numId w:val="46"/>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Conservar toda la información declarada a él durante el período de vigencia de la obligación de prestación del servicio. Los datos deberán tener el correspondiente </w:t>
      </w:r>
      <w:r w:rsidRPr="0013707D">
        <w:rPr>
          <w:rFonts w:ascii="Bookman Old Style" w:hAnsi="Bookman Old Style" w:cs="Arial"/>
          <w:i/>
          <w:color w:val="000000" w:themeColor="text1"/>
          <w:lang w:val="es-CO"/>
        </w:rPr>
        <w:t>back-up</w:t>
      </w:r>
      <w:r w:rsidRPr="0013707D">
        <w:rPr>
          <w:rFonts w:ascii="Bookman Old Style" w:hAnsi="Bookman Old Style" w:cs="Arial"/>
          <w:color w:val="000000" w:themeColor="text1"/>
          <w:lang w:val="es-CO"/>
        </w:rPr>
        <w:t xml:space="preserve"> por fuera de su aplicativo web.</w:t>
      </w:r>
    </w:p>
    <w:p w14:paraId="7D9C6C74" w14:textId="77777777" w:rsidR="0006302B" w:rsidRPr="0013707D" w:rsidRDefault="0006302B" w:rsidP="0006302B">
      <w:pPr>
        <w:autoSpaceDE w:val="0"/>
        <w:autoSpaceDN w:val="0"/>
        <w:adjustRightInd w:val="0"/>
        <w:ind w:left="993"/>
        <w:jc w:val="both"/>
        <w:rPr>
          <w:rFonts w:ascii="Bookman Old Style" w:hAnsi="Bookman Old Style" w:cs="Arial"/>
          <w:color w:val="000000" w:themeColor="text1"/>
          <w:lang w:val="es-CO"/>
        </w:rPr>
      </w:pPr>
    </w:p>
    <w:p w14:paraId="74F9913A" w14:textId="7FD5BE21" w:rsidR="0006302B" w:rsidRPr="0013707D" w:rsidRDefault="0006302B" w:rsidP="00A4790E">
      <w:pPr>
        <w:numPr>
          <w:ilvl w:val="0"/>
          <w:numId w:val="46"/>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Asegurar que todos los datos y registros se mantengan en un formato convencional para su entrega a quien eventualmente lo sustituya como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 según lo determine la CREG.</w:t>
      </w:r>
    </w:p>
    <w:p w14:paraId="25455E46" w14:textId="77777777" w:rsidR="0006302B" w:rsidRPr="0013707D" w:rsidRDefault="0006302B" w:rsidP="0006302B">
      <w:pPr>
        <w:rPr>
          <w:rFonts w:ascii="Bookman Old Style" w:hAnsi="Bookman Old Style"/>
          <w:bCs/>
          <w:color w:val="000000" w:themeColor="text1"/>
          <w:lang w:val="es-CO" w:eastAsia="x-none"/>
        </w:rPr>
      </w:pPr>
    </w:p>
    <w:p w14:paraId="713E752C" w14:textId="77777777" w:rsidR="0006302B" w:rsidRPr="0013707D" w:rsidRDefault="0006302B" w:rsidP="00A4790E">
      <w:pPr>
        <w:numPr>
          <w:ilvl w:val="0"/>
          <w:numId w:val="46"/>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Asegurar que la información histórica agregada esté disponible para ser descargada del BEC en un formato convencional, y de alta compatibilidad con diferentes plataformas informáticas.</w:t>
      </w:r>
    </w:p>
    <w:p w14:paraId="04221FB6" w14:textId="77777777" w:rsidR="0006302B" w:rsidRDefault="0006302B" w:rsidP="0006302B">
      <w:pPr>
        <w:ind w:left="0"/>
        <w:jc w:val="both"/>
        <w:rPr>
          <w:rFonts w:ascii="Bookman Old Style" w:hAnsi="Bookman Old Style" w:cs="Arial"/>
          <w:color w:val="000000" w:themeColor="text1"/>
          <w:lang w:val="es-CO"/>
        </w:rPr>
      </w:pPr>
      <w:bookmarkStart w:id="133" w:name="_Ref327521928"/>
    </w:p>
    <w:p w14:paraId="2C272D02" w14:textId="0EF708A3" w:rsidR="0006302B" w:rsidRPr="00F64404" w:rsidRDefault="0006302B" w:rsidP="0006302B">
      <w:pPr>
        <w:ind w:left="0"/>
        <w:jc w:val="both"/>
        <w:rPr>
          <w:rFonts w:ascii="Bookman Old Style" w:hAnsi="Bookman Old Style" w:cs="Arial"/>
          <w:b/>
          <w:bCs/>
          <w:color w:val="000000" w:themeColor="text1"/>
          <w:lang w:val="es-CO"/>
        </w:rPr>
      </w:pPr>
      <w:r w:rsidRPr="00F64404">
        <w:rPr>
          <w:rFonts w:ascii="Bookman Old Style" w:hAnsi="Bookman Old Style" w:cs="Arial"/>
          <w:b/>
          <w:bCs/>
          <w:color w:val="000000" w:themeColor="text1"/>
          <w:lang w:val="es-CO"/>
        </w:rPr>
        <w:t xml:space="preserve">El sistema contará con las soluciones tecnológicas adecuadas y seguras que son requeridas para la conservación de la información recopilada por el </w:t>
      </w:r>
      <w:r w:rsidR="0022131A" w:rsidRPr="002D5416">
        <w:rPr>
          <w:rFonts w:ascii="Bookman Old Style" w:hAnsi="Bookman Old Style" w:cs="Arial"/>
          <w:b/>
          <w:u w:color="FF0000"/>
          <w:lang w:val="es-CO"/>
        </w:rPr>
        <w:t>Gestor</w:t>
      </w:r>
      <w:r w:rsidRPr="002D5416">
        <w:rPr>
          <w:rFonts w:ascii="Bookman Old Style" w:hAnsi="Bookman Old Style" w:cs="Arial"/>
          <w:b/>
          <w:lang w:val="es-CO"/>
        </w:rPr>
        <w:t xml:space="preserve"> </w:t>
      </w:r>
      <w:r w:rsidRPr="00F64404">
        <w:rPr>
          <w:rFonts w:ascii="Bookman Old Style" w:hAnsi="Bookman Old Style" w:cs="Arial"/>
          <w:b/>
          <w:bCs/>
          <w:color w:val="000000" w:themeColor="text1"/>
          <w:lang w:val="es-CO"/>
        </w:rPr>
        <w:t>del mercado en sistemas de almacenamiento externo. Esta solución deberá contar con las capacidades de redundancia y respaldo requeridas para toda la información. Se deberá incluir facilidades</w:t>
      </w:r>
      <w:r w:rsidR="007242AD">
        <w:rPr>
          <w:rFonts w:ascii="Bookman Old Style" w:hAnsi="Bookman Old Style" w:cs="Arial"/>
          <w:b/>
          <w:bCs/>
          <w:color w:val="000000" w:themeColor="text1"/>
          <w:lang w:val="es-CO"/>
        </w:rPr>
        <w:t>,</w:t>
      </w:r>
      <w:r w:rsidRPr="00F64404">
        <w:rPr>
          <w:rFonts w:ascii="Bookman Old Style" w:hAnsi="Bookman Old Style" w:cs="Arial"/>
          <w:b/>
          <w:bCs/>
          <w:color w:val="000000" w:themeColor="text1"/>
          <w:lang w:val="es-CO"/>
        </w:rPr>
        <w:t xml:space="preserve"> tanto de copiado</w:t>
      </w:r>
      <w:r w:rsidR="007242AD">
        <w:rPr>
          <w:rFonts w:ascii="Bookman Old Style" w:hAnsi="Bookman Old Style" w:cs="Arial"/>
          <w:b/>
          <w:bCs/>
          <w:color w:val="000000" w:themeColor="text1"/>
          <w:lang w:val="es-CO"/>
        </w:rPr>
        <w:t>,</w:t>
      </w:r>
      <w:r w:rsidRPr="00F64404">
        <w:rPr>
          <w:rFonts w:ascii="Bookman Old Style" w:hAnsi="Bookman Old Style" w:cs="Arial"/>
          <w:b/>
          <w:bCs/>
          <w:color w:val="000000" w:themeColor="text1"/>
          <w:lang w:val="es-CO"/>
        </w:rPr>
        <w:t xml:space="preserve"> como de recuperación y archivo a largo plazo de la información. </w:t>
      </w:r>
    </w:p>
    <w:p w14:paraId="75F67FCA" w14:textId="77777777" w:rsidR="0006302B" w:rsidRDefault="0006302B" w:rsidP="0006302B">
      <w:pPr>
        <w:ind w:left="0"/>
        <w:jc w:val="both"/>
        <w:rPr>
          <w:rFonts w:ascii="Bookman Old Style" w:hAnsi="Bookman Old Style" w:cs="Arial"/>
          <w:b/>
          <w:bCs/>
          <w:color w:val="000000" w:themeColor="text1"/>
          <w:lang w:val="es-CO"/>
        </w:rPr>
      </w:pPr>
    </w:p>
    <w:p w14:paraId="0C914EF7" w14:textId="77777777" w:rsidR="0006302B" w:rsidRPr="00F64404" w:rsidRDefault="0006302B" w:rsidP="0006302B">
      <w:pPr>
        <w:ind w:left="0"/>
        <w:jc w:val="both"/>
        <w:rPr>
          <w:rFonts w:ascii="Bookman Old Style" w:hAnsi="Bookman Old Style" w:cs="Arial"/>
          <w:b/>
          <w:bCs/>
          <w:color w:val="000000" w:themeColor="text1"/>
          <w:lang w:val="es-CO"/>
        </w:rPr>
      </w:pPr>
      <w:r w:rsidRPr="00F64404">
        <w:rPr>
          <w:rFonts w:ascii="Bookman Old Style" w:hAnsi="Bookman Old Style" w:cs="Arial"/>
          <w:b/>
          <w:bCs/>
          <w:color w:val="000000" w:themeColor="text1"/>
          <w:lang w:val="es-CO"/>
        </w:rPr>
        <w:t>Adicionalmente</w:t>
      </w:r>
      <w:r>
        <w:rPr>
          <w:rFonts w:ascii="Bookman Old Style" w:hAnsi="Bookman Old Style" w:cs="Arial"/>
          <w:b/>
          <w:bCs/>
          <w:color w:val="000000" w:themeColor="text1"/>
          <w:lang w:val="es-CO"/>
        </w:rPr>
        <w:t>, e</w:t>
      </w:r>
      <w:r w:rsidRPr="00F64404">
        <w:rPr>
          <w:rFonts w:ascii="Bookman Old Style" w:hAnsi="Bookman Old Style" w:cs="Arial"/>
          <w:b/>
          <w:bCs/>
          <w:color w:val="000000" w:themeColor="text1"/>
          <w:lang w:val="es-CO"/>
        </w:rPr>
        <w:t xml:space="preserve">ste sistema de almacenamiento de la información deberá contar con registro de eventos y cambios con el fin de hacer seguimientos para propósitos de auditoría. </w:t>
      </w:r>
    </w:p>
    <w:p w14:paraId="3D8F0078" w14:textId="77777777" w:rsidR="0006302B" w:rsidRPr="0013707D" w:rsidRDefault="0006302B" w:rsidP="0006302B">
      <w:pPr>
        <w:ind w:left="0"/>
        <w:jc w:val="both"/>
        <w:rPr>
          <w:rFonts w:ascii="Bookman Old Style" w:hAnsi="Bookman Old Style"/>
          <w:bCs/>
          <w:color w:val="000000" w:themeColor="text1"/>
          <w:lang w:val="es-CO" w:eastAsia="x-none"/>
        </w:rPr>
      </w:pPr>
    </w:p>
    <w:p w14:paraId="3211D1EA" w14:textId="77777777" w:rsidR="0006302B" w:rsidRPr="0013707D" w:rsidRDefault="0006302B" w:rsidP="00A4790E">
      <w:pPr>
        <w:pStyle w:val="ARTICULOS"/>
        <w:keepNext/>
        <w:numPr>
          <w:ilvl w:val="1"/>
          <w:numId w:val="36"/>
        </w:numPr>
        <w:ind w:left="567" w:hanging="567"/>
        <w:rPr>
          <w:b/>
          <w:color w:val="000000" w:themeColor="text1"/>
          <w:lang w:val="es-CO"/>
        </w:rPr>
      </w:pPr>
      <w:r w:rsidRPr="0013707D">
        <w:rPr>
          <w:b/>
          <w:color w:val="000000" w:themeColor="text1"/>
          <w:lang w:val="es-CO"/>
        </w:rPr>
        <w:t>Divulgación anual de información</w:t>
      </w:r>
    </w:p>
    <w:p w14:paraId="70AEBB12" w14:textId="77777777" w:rsidR="0006302B" w:rsidRPr="0013707D" w:rsidRDefault="0006302B" w:rsidP="0006302B">
      <w:pPr>
        <w:keepNext/>
        <w:autoSpaceDE w:val="0"/>
        <w:autoSpaceDN w:val="0"/>
        <w:adjustRightInd w:val="0"/>
        <w:ind w:left="0"/>
        <w:jc w:val="both"/>
        <w:rPr>
          <w:rFonts w:ascii="Bookman Old Style" w:hAnsi="Bookman Old Style"/>
          <w:color w:val="000000" w:themeColor="text1"/>
          <w:lang w:val="es-CO"/>
        </w:rPr>
      </w:pPr>
    </w:p>
    <w:p w14:paraId="7A4BA329" w14:textId="4B71267F" w:rsidR="0006302B"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13707D">
        <w:rPr>
          <w:rFonts w:ascii="Bookman Old Style" w:hAnsi="Bookman Old Style" w:cs="Arial"/>
          <w:color w:val="000000" w:themeColor="text1"/>
          <w:lang w:val="es-CO"/>
        </w:rPr>
        <w:t xml:space="preserve"> deberá publicar un informe anual en el BEC en el que se presente la siguiente información agregada del mercado primario, del mercado secundario y </w:t>
      </w:r>
      <w:r w:rsidR="001C785A">
        <w:rPr>
          <w:rFonts w:ascii="Bookman Old Style" w:hAnsi="Bookman Old Style" w:cs="Arial"/>
          <w:color w:val="000000" w:themeColor="text1"/>
          <w:lang w:val="es-CO"/>
        </w:rPr>
        <w:t xml:space="preserve">de los </w:t>
      </w:r>
      <w:r w:rsidR="001C785A" w:rsidRPr="002D5416">
        <w:rPr>
          <w:rFonts w:ascii="Bookman Old Style" w:hAnsi="Bookman Old Style" w:cs="Arial"/>
          <w:color w:val="000000" w:themeColor="text1"/>
          <w:lang w:val="es-CO"/>
        </w:rPr>
        <w:t>usuarios no regulados</w:t>
      </w:r>
      <w:r w:rsidRPr="0013707D">
        <w:rPr>
          <w:rFonts w:ascii="Bookman Old Style" w:hAnsi="Bookman Old Style" w:cs="Arial"/>
          <w:color w:val="000000" w:themeColor="text1"/>
          <w:lang w:val="es-CO"/>
        </w:rPr>
        <w:t>:</w:t>
      </w:r>
    </w:p>
    <w:p w14:paraId="20EAE5A3" w14:textId="77777777" w:rsidR="00A22D80" w:rsidRPr="004F0CFD" w:rsidRDefault="00A22D80" w:rsidP="0006302B">
      <w:pPr>
        <w:ind w:left="0"/>
        <w:jc w:val="both"/>
        <w:rPr>
          <w:rFonts w:ascii="Bookman Old Style" w:hAnsi="Bookman Old Style" w:cs="Arial"/>
          <w:color w:val="000000" w:themeColor="text1"/>
          <w:lang w:val="es-CO"/>
        </w:rPr>
      </w:pPr>
    </w:p>
    <w:p w14:paraId="22D77BD1" w14:textId="51BE2839" w:rsidR="0006302B" w:rsidRPr="004F0CF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color w:val="000000" w:themeColor="text1"/>
          <w:lang w:val="es-CO"/>
        </w:rPr>
        <w:t>Promedio de las cantidades de energía negociadas</w:t>
      </w:r>
      <w:r w:rsidRPr="004F0CFD">
        <w:rPr>
          <w:rFonts w:ascii="Bookman Old Style" w:hAnsi="Bookman Old Style" w:cs="Arial"/>
          <w:b/>
          <w:bCs/>
          <w:color w:val="000000" w:themeColor="text1"/>
          <w:lang w:val="es-CO"/>
        </w:rPr>
        <w:t xml:space="preserve"> en el mercado mayorista, contratadas, nominadas y entregadas, por </w:t>
      </w:r>
      <w:r w:rsidR="002E236F" w:rsidRPr="004F0CFD">
        <w:rPr>
          <w:rFonts w:ascii="Bookman Old Style" w:hAnsi="Bookman Old Style" w:cs="Arial"/>
          <w:b/>
          <w:bCs/>
          <w:color w:val="000000" w:themeColor="text1"/>
          <w:lang w:val="es-CO"/>
        </w:rPr>
        <w:t>Punto de Entrega</w:t>
      </w:r>
      <w:r w:rsidRPr="004F0CFD">
        <w:rPr>
          <w:rFonts w:ascii="Bookman Old Style" w:hAnsi="Bookman Old Style" w:cs="Arial"/>
          <w:b/>
          <w:bCs/>
          <w:color w:val="000000" w:themeColor="text1"/>
          <w:lang w:val="es-CO"/>
        </w:rPr>
        <w:t xml:space="preserve">, fuente de suministro y </w:t>
      </w:r>
      <w:r w:rsidR="00525780" w:rsidRPr="004F0CFD">
        <w:rPr>
          <w:rFonts w:ascii="Bookman Old Style" w:hAnsi="Bookman Old Style" w:cs="Arial"/>
          <w:b/>
          <w:bCs/>
          <w:color w:val="000000" w:themeColor="text1"/>
          <w:lang w:val="es-CO"/>
        </w:rPr>
        <w:t xml:space="preserve">modalidad </w:t>
      </w:r>
      <w:r w:rsidRPr="004F0CFD">
        <w:rPr>
          <w:rFonts w:ascii="Bookman Old Style" w:hAnsi="Bookman Old Style" w:cs="Arial"/>
          <w:b/>
          <w:bCs/>
          <w:color w:val="000000" w:themeColor="text1"/>
          <w:lang w:val="es-CO"/>
        </w:rPr>
        <w:t xml:space="preserve">de los contratos </w:t>
      </w:r>
      <w:r w:rsidRPr="004F0CFD">
        <w:rPr>
          <w:rFonts w:ascii="Bookman Old Style" w:hAnsi="Bookman Old Style" w:cs="Arial"/>
          <w:color w:val="000000" w:themeColor="text1"/>
          <w:lang w:val="es-CO"/>
        </w:rPr>
        <w:t>durante cada mes del año, expresada en MBTUD.</w:t>
      </w:r>
    </w:p>
    <w:p w14:paraId="3FB5D31F" w14:textId="77777777" w:rsidR="0006302B" w:rsidRPr="004F0CFD" w:rsidRDefault="0006302B" w:rsidP="0006302B">
      <w:pPr>
        <w:autoSpaceDE w:val="0"/>
        <w:autoSpaceDN w:val="0"/>
        <w:adjustRightInd w:val="0"/>
        <w:ind w:left="1134"/>
        <w:jc w:val="both"/>
        <w:rPr>
          <w:rFonts w:ascii="Bookman Old Style" w:hAnsi="Bookman Old Style" w:cs="Arial"/>
          <w:b/>
          <w:bCs/>
          <w:color w:val="000000" w:themeColor="text1"/>
          <w:lang w:val="es-CO"/>
        </w:rPr>
      </w:pPr>
    </w:p>
    <w:p w14:paraId="3D713011" w14:textId="087AA9B3" w:rsidR="0006302B" w:rsidRPr="004F0CF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color w:val="000000" w:themeColor="text1"/>
          <w:lang w:val="es-CO"/>
        </w:rPr>
        <w:t>Promedio de las cantidades de energía</w:t>
      </w:r>
      <w:r w:rsidR="002E236F" w:rsidRPr="004F0CFD">
        <w:rPr>
          <w:rFonts w:ascii="Bookman Old Style" w:hAnsi="Bookman Old Style" w:cs="Arial"/>
          <w:b/>
          <w:bCs/>
          <w:color w:val="000000" w:themeColor="text1"/>
          <w:lang w:val="es-CO"/>
        </w:rPr>
        <w:t xml:space="preserve"> correspondiente a derechos de suministro</w:t>
      </w:r>
      <w:r w:rsidRPr="004F0CFD">
        <w:rPr>
          <w:rFonts w:ascii="Bookman Old Style" w:hAnsi="Bookman Old Style" w:cs="Arial"/>
          <w:b/>
          <w:bCs/>
          <w:color w:val="000000" w:themeColor="text1"/>
          <w:lang w:val="es-CO"/>
        </w:rPr>
        <w:t xml:space="preserve"> negociadas en el mercado secundario </w:t>
      </w:r>
      <w:r w:rsidRPr="004F0CFD">
        <w:rPr>
          <w:rFonts w:ascii="Bookman Old Style" w:hAnsi="Bookman Old Style" w:cs="Arial"/>
          <w:color w:val="000000" w:themeColor="text1"/>
          <w:lang w:val="es-CO"/>
        </w:rPr>
        <w:t>diariamente,</w:t>
      </w:r>
      <w:r w:rsidRPr="004F0CFD">
        <w:rPr>
          <w:rFonts w:ascii="Bookman Old Style" w:hAnsi="Bookman Old Style" w:cs="Arial"/>
          <w:b/>
          <w:bCs/>
          <w:color w:val="000000" w:themeColor="text1"/>
          <w:lang w:val="es-CO"/>
        </w:rPr>
        <w:t xml:space="preserve"> por </w:t>
      </w:r>
      <w:r w:rsidR="002E236F" w:rsidRPr="004F0CFD">
        <w:rPr>
          <w:rFonts w:ascii="Bookman Old Style" w:hAnsi="Bookman Old Style" w:cs="Arial"/>
          <w:b/>
          <w:bCs/>
          <w:color w:val="000000" w:themeColor="text1"/>
          <w:lang w:val="es-CO"/>
        </w:rPr>
        <w:t>Punto de Entrega</w:t>
      </w:r>
      <w:r w:rsidRPr="004F0CFD">
        <w:rPr>
          <w:rFonts w:ascii="Bookman Old Style" w:hAnsi="Bookman Old Style" w:cs="Arial"/>
          <w:b/>
          <w:bCs/>
          <w:color w:val="000000" w:themeColor="text1"/>
          <w:lang w:val="es-CO"/>
        </w:rPr>
        <w:t xml:space="preserve"> y </w:t>
      </w:r>
      <w:r w:rsidR="008950E9" w:rsidRPr="004F0CFD">
        <w:rPr>
          <w:rFonts w:ascii="Bookman Old Style" w:hAnsi="Bookman Old Style" w:cs="Arial"/>
          <w:b/>
          <w:bCs/>
          <w:color w:val="000000" w:themeColor="text1"/>
          <w:lang w:val="es-CO"/>
        </w:rPr>
        <w:t xml:space="preserve">modalidad </w:t>
      </w:r>
      <w:r w:rsidRPr="004F0CFD">
        <w:rPr>
          <w:rFonts w:ascii="Bookman Old Style" w:hAnsi="Bookman Old Style" w:cs="Arial"/>
          <w:b/>
          <w:bCs/>
          <w:color w:val="000000" w:themeColor="text1"/>
          <w:lang w:val="es-CO"/>
        </w:rPr>
        <w:t xml:space="preserve">de los contratos, </w:t>
      </w:r>
      <w:r w:rsidRPr="004F0CFD">
        <w:rPr>
          <w:rFonts w:ascii="Bookman Old Style" w:hAnsi="Bookman Old Style" w:cs="Arial"/>
          <w:color w:val="000000" w:themeColor="text1"/>
          <w:lang w:val="es-CO"/>
        </w:rPr>
        <w:t>expresada en MBTUD.</w:t>
      </w:r>
    </w:p>
    <w:p w14:paraId="3A4DD3EB" w14:textId="77777777" w:rsidR="0006302B" w:rsidRPr="004F0CFD" w:rsidRDefault="0006302B" w:rsidP="0006302B">
      <w:pPr>
        <w:pStyle w:val="Prrafodelista"/>
        <w:rPr>
          <w:rFonts w:ascii="Bookman Old Style" w:hAnsi="Bookman Old Style" w:cs="Arial"/>
          <w:b/>
          <w:bCs/>
          <w:color w:val="000000" w:themeColor="text1"/>
          <w:sz w:val="24"/>
          <w:szCs w:val="24"/>
        </w:rPr>
      </w:pPr>
    </w:p>
    <w:p w14:paraId="56C7ACBF" w14:textId="0E8E2088" w:rsidR="0006302B" w:rsidRPr="004F0CF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color w:val="000000" w:themeColor="text1"/>
          <w:lang w:val="es-CO"/>
        </w:rPr>
        <w:t>Cantidad total de energía</w:t>
      </w:r>
      <w:r w:rsidRPr="004F0CFD">
        <w:rPr>
          <w:rFonts w:ascii="Bookman Old Style" w:hAnsi="Bookman Old Style" w:cs="Arial"/>
          <w:b/>
          <w:bCs/>
          <w:color w:val="000000" w:themeColor="text1"/>
          <w:lang w:val="es-CO"/>
        </w:rPr>
        <w:t xml:space="preserve"> contratada, nominada y entregada, por</w:t>
      </w:r>
      <w:r w:rsidR="00381106" w:rsidRPr="004F0CFD">
        <w:rPr>
          <w:rFonts w:ascii="Bookman Old Style" w:hAnsi="Bookman Old Style" w:cs="Arial"/>
          <w:b/>
          <w:bCs/>
          <w:color w:val="000000" w:themeColor="text1"/>
          <w:lang w:val="es-CO"/>
        </w:rPr>
        <w:t xml:space="preserve"> Punto de Entrega </w:t>
      </w:r>
      <w:r w:rsidRPr="004F0CFD">
        <w:rPr>
          <w:rFonts w:ascii="Bookman Old Style" w:hAnsi="Bookman Old Style" w:cs="Arial"/>
          <w:b/>
          <w:bCs/>
          <w:color w:val="000000" w:themeColor="text1"/>
          <w:lang w:val="es-CO"/>
        </w:rPr>
        <w:t xml:space="preserve">y </w:t>
      </w:r>
      <w:r w:rsidR="001C785A" w:rsidRPr="004F0CFD">
        <w:rPr>
          <w:rFonts w:ascii="Bookman Old Style" w:hAnsi="Bookman Old Style" w:cs="Arial"/>
          <w:b/>
          <w:bCs/>
          <w:color w:val="000000" w:themeColor="text1"/>
          <w:lang w:val="es-CO"/>
        </w:rPr>
        <w:t xml:space="preserve">modalidad </w:t>
      </w:r>
      <w:r w:rsidRPr="004F0CFD">
        <w:rPr>
          <w:rFonts w:ascii="Bookman Old Style" w:hAnsi="Bookman Old Style" w:cs="Arial"/>
          <w:b/>
          <w:bCs/>
          <w:color w:val="000000" w:themeColor="text1"/>
          <w:lang w:val="es-CO"/>
        </w:rPr>
        <w:t xml:space="preserve">de los contratos, durante el año, </w:t>
      </w:r>
      <w:r w:rsidRPr="004F0CFD">
        <w:rPr>
          <w:rFonts w:ascii="Bookman Old Style" w:hAnsi="Bookman Old Style" w:cs="Arial"/>
          <w:color w:val="000000" w:themeColor="text1"/>
          <w:lang w:val="es-CO"/>
        </w:rPr>
        <w:t>expresada en MBTU.</w:t>
      </w:r>
    </w:p>
    <w:p w14:paraId="453AF513" w14:textId="77777777" w:rsidR="0006302B" w:rsidRPr="004F0CFD" w:rsidRDefault="0006302B" w:rsidP="0006302B">
      <w:pPr>
        <w:autoSpaceDE w:val="0"/>
        <w:autoSpaceDN w:val="0"/>
        <w:adjustRightInd w:val="0"/>
        <w:ind w:left="1134"/>
        <w:jc w:val="both"/>
        <w:rPr>
          <w:rFonts w:ascii="Bookman Old Style" w:hAnsi="Bookman Old Style" w:cs="Arial"/>
          <w:b/>
          <w:bCs/>
          <w:color w:val="000000" w:themeColor="text1"/>
          <w:lang w:val="es-CO"/>
        </w:rPr>
      </w:pPr>
    </w:p>
    <w:p w14:paraId="01D8C401" w14:textId="7B251FAC" w:rsidR="0006302B" w:rsidRPr="004F0CF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color w:val="000000" w:themeColor="text1"/>
          <w:lang w:val="es-CO"/>
        </w:rPr>
        <w:t>Cantidad total de energía negociada</w:t>
      </w:r>
      <w:r w:rsidRPr="004F0CFD">
        <w:rPr>
          <w:rFonts w:ascii="Bookman Old Style" w:hAnsi="Bookman Old Style" w:cs="Arial"/>
          <w:b/>
          <w:bCs/>
          <w:color w:val="000000" w:themeColor="text1"/>
          <w:lang w:val="es-CO"/>
        </w:rPr>
        <w:t xml:space="preserve"> contratada, nominada y entregada, por fuente de suministro y </w:t>
      </w:r>
      <w:r w:rsidR="008950E9" w:rsidRPr="004F0CFD">
        <w:rPr>
          <w:rFonts w:ascii="Bookman Old Style" w:hAnsi="Bookman Old Style" w:cs="Arial"/>
          <w:b/>
          <w:bCs/>
          <w:color w:val="000000" w:themeColor="text1"/>
          <w:lang w:val="es-CO"/>
        </w:rPr>
        <w:t>modalidad</w:t>
      </w:r>
      <w:r w:rsidRPr="004F0CFD">
        <w:rPr>
          <w:rFonts w:ascii="Bookman Old Style" w:hAnsi="Bookman Old Style" w:cs="Arial"/>
          <w:b/>
          <w:bCs/>
          <w:color w:val="000000" w:themeColor="text1"/>
          <w:lang w:val="es-CO"/>
        </w:rPr>
        <w:t xml:space="preserve"> de los contratos durante cada mes del año, </w:t>
      </w:r>
      <w:r w:rsidRPr="004F0CFD">
        <w:rPr>
          <w:rFonts w:ascii="Bookman Old Style" w:hAnsi="Bookman Old Style" w:cs="Arial"/>
          <w:color w:val="000000" w:themeColor="text1"/>
          <w:lang w:val="es-CO"/>
        </w:rPr>
        <w:t xml:space="preserve">expresada en MBTU. </w:t>
      </w:r>
    </w:p>
    <w:p w14:paraId="73E415A1" w14:textId="77777777" w:rsidR="0006302B" w:rsidRPr="004F0CFD" w:rsidRDefault="0006302B" w:rsidP="0006302B">
      <w:pPr>
        <w:pStyle w:val="Prrafodelista"/>
        <w:rPr>
          <w:rFonts w:ascii="Bookman Old Style" w:hAnsi="Bookman Old Style" w:cs="Arial"/>
          <w:b/>
          <w:bCs/>
          <w:color w:val="000000" w:themeColor="text1"/>
          <w:sz w:val="24"/>
          <w:szCs w:val="24"/>
        </w:rPr>
      </w:pPr>
    </w:p>
    <w:p w14:paraId="101EB555" w14:textId="710E802E" w:rsidR="0006302B" w:rsidRPr="004F0CF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color w:val="000000" w:themeColor="text1"/>
          <w:lang w:val="es-CO"/>
        </w:rPr>
        <w:t>Precio promedio, ponderado por cantidades, de la energía negociada</w:t>
      </w:r>
      <w:r w:rsidRPr="004F0CFD">
        <w:rPr>
          <w:rFonts w:ascii="Bookman Old Style" w:hAnsi="Bookman Old Style" w:cs="Arial"/>
          <w:b/>
          <w:bCs/>
          <w:color w:val="000000" w:themeColor="text1"/>
          <w:lang w:val="es-CO"/>
        </w:rPr>
        <w:t xml:space="preserve"> en el Mercado primario, por</w:t>
      </w:r>
      <w:r w:rsidR="00451B62" w:rsidRPr="004F0CFD">
        <w:rPr>
          <w:rFonts w:ascii="Bookman Old Style" w:hAnsi="Bookman Old Style" w:cs="Arial"/>
          <w:b/>
          <w:bCs/>
          <w:color w:val="000000" w:themeColor="text1"/>
          <w:lang w:val="es-CO"/>
        </w:rPr>
        <w:t xml:space="preserve"> Punto de Entrega</w:t>
      </w:r>
      <w:r w:rsidRPr="004F0CFD">
        <w:rPr>
          <w:rFonts w:ascii="Bookman Old Style" w:hAnsi="Bookman Old Style" w:cs="Arial"/>
          <w:b/>
          <w:bCs/>
          <w:color w:val="000000" w:themeColor="text1"/>
          <w:lang w:val="es-CO"/>
        </w:rPr>
        <w:t xml:space="preserve"> y </w:t>
      </w:r>
      <w:r w:rsidR="008950E9" w:rsidRPr="004F0CFD">
        <w:rPr>
          <w:rFonts w:ascii="Bookman Old Style" w:hAnsi="Bookman Old Style" w:cs="Arial"/>
          <w:b/>
          <w:bCs/>
          <w:color w:val="000000" w:themeColor="text1"/>
          <w:lang w:val="es-CO"/>
        </w:rPr>
        <w:t>modalidad</w:t>
      </w:r>
      <w:r w:rsidRPr="004F0CFD">
        <w:rPr>
          <w:rFonts w:ascii="Bookman Old Style" w:hAnsi="Bookman Old Style" w:cs="Arial"/>
          <w:b/>
          <w:bCs/>
          <w:color w:val="000000" w:themeColor="text1"/>
          <w:lang w:val="es-CO"/>
        </w:rPr>
        <w:t xml:space="preserve"> de los contratos, durante el año y por cada mes,</w:t>
      </w:r>
      <w:r w:rsidRPr="004F0CFD">
        <w:rPr>
          <w:rFonts w:ascii="Bookman Old Style" w:hAnsi="Bookman Old Style" w:cs="Arial"/>
          <w:color w:val="000000" w:themeColor="text1"/>
          <w:lang w:val="es-CO"/>
        </w:rPr>
        <w:t xml:space="preserve"> expresado en dólares de los Estados Unidos de América por MBTU.</w:t>
      </w:r>
    </w:p>
    <w:p w14:paraId="051F4165" w14:textId="77777777" w:rsidR="0006302B" w:rsidRPr="004F0CFD" w:rsidRDefault="0006302B" w:rsidP="0006302B">
      <w:pPr>
        <w:pStyle w:val="Prrafodelista"/>
        <w:rPr>
          <w:rFonts w:ascii="Bookman Old Style" w:hAnsi="Bookman Old Style" w:cs="Arial"/>
          <w:b/>
          <w:bCs/>
          <w:color w:val="000000" w:themeColor="text1"/>
        </w:rPr>
      </w:pPr>
    </w:p>
    <w:p w14:paraId="1B1C660F" w14:textId="5A168584" w:rsidR="0006302B" w:rsidRPr="009E257D" w:rsidRDefault="0006302B" w:rsidP="00A4790E">
      <w:pPr>
        <w:numPr>
          <w:ilvl w:val="0"/>
          <w:numId w:val="57"/>
        </w:numPr>
        <w:autoSpaceDE w:val="0"/>
        <w:autoSpaceDN w:val="0"/>
        <w:adjustRightInd w:val="0"/>
        <w:ind w:left="1134" w:hanging="567"/>
        <w:jc w:val="both"/>
        <w:rPr>
          <w:rFonts w:ascii="Bookman Old Style" w:hAnsi="Bookman Old Style" w:cs="Arial"/>
          <w:b/>
          <w:bCs/>
          <w:color w:val="000000" w:themeColor="text1"/>
          <w:lang w:val="es-CO"/>
        </w:rPr>
      </w:pPr>
      <w:r w:rsidRPr="004F0CFD">
        <w:rPr>
          <w:rFonts w:ascii="Bookman Old Style" w:hAnsi="Bookman Old Style" w:cs="Arial"/>
          <w:b/>
          <w:bCs/>
          <w:color w:val="000000" w:themeColor="text1"/>
          <w:lang w:val="es-CO"/>
        </w:rPr>
        <w:t xml:space="preserve">Precio promedio de intermediación, ponderado por cantidades, de la energía </w:t>
      </w:r>
      <w:r w:rsidR="00451B62" w:rsidRPr="004F0CFD">
        <w:rPr>
          <w:rFonts w:ascii="Bookman Old Style" w:hAnsi="Bookman Old Style" w:cs="Arial"/>
          <w:b/>
          <w:bCs/>
          <w:color w:val="000000" w:themeColor="text1"/>
          <w:lang w:val="es-CO"/>
        </w:rPr>
        <w:t xml:space="preserve">correspondiente a derechos de suministro </w:t>
      </w:r>
      <w:r w:rsidRPr="004F0CFD">
        <w:rPr>
          <w:rFonts w:ascii="Bookman Old Style" w:hAnsi="Bookman Old Style" w:cs="Arial"/>
          <w:b/>
          <w:bCs/>
          <w:color w:val="000000" w:themeColor="text1"/>
          <w:lang w:val="es-CO"/>
        </w:rPr>
        <w:t xml:space="preserve">negociada en el mercado secundario, por Punto estándar de entrega, según corresponda, y </w:t>
      </w:r>
      <w:r w:rsidR="008950E9" w:rsidRPr="004F0CFD">
        <w:rPr>
          <w:rFonts w:ascii="Bookman Old Style" w:hAnsi="Bookman Old Style" w:cs="Arial"/>
          <w:b/>
          <w:bCs/>
          <w:color w:val="000000" w:themeColor="text1"/>
          <w:lang w:val="es-CO"/>
        </w:rPr>
        <w:t xml:space="preserve">modalidad </w:t>
      </w:r>
      <w:r w:rsidRPr="004F0CFD">
        <w:rPr>
          <w:rFonts w:ascii="Bookman Old Style" w:hAnsi="Bookman Old Style" w:cs="Arial"/>
          <w:b/>
          <w:bCs/>
          <w:color w:val="000000" w:themeColor="text1"/>
          <w:lang w:val="es-CO"/>
        </w:rPr>
        <w:t>de los contratos, durante el año y por cada mes, expresado en dólares de los Estados Unidos</w:t>
      </w:r>
      <w:r w:rsidRPr="009E257D">
        <w:rPr>
          <w:rFonts w:ascii="Bookman Old Style" w:hAnsi="Bookman Old Style" w:cs="Arial"/>
          <w:b/>
          <w:bCs/>
          <w:color w:val="000000" w:themeColor="text1"/>
          <w:lang w:val="es-CO"/>
        </w:rPr>
        <w:t xml:space="preserve"> de América por MBTU.</w:t>
      </w:r>
    </w:p>
    <w:p w14:paraId="022455C6"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6FB3FF5" w14:textId="77777777" w:rsidR="0006302B" w:rsidRPr="0013707D" w:rsidRDefault="0006302B" w:rsidP="00A4790E">
      <w:pPr>
        <w:numPr>
          <w:ilvl w:val="0"/>
          <w:numId w:val="5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Número de negociaciones durante el año.</w:t>
      </w:r>
    </w:p>
    <w:p w14:paraId="2FD1683C"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F988231" w14:textId="77777777" w:rsidR="0006302B" w:rsidRPr="0013707D" w:rsidRDefault="0006302B" w:rsidP="00A4790E">
      <w:pPr>
        <w:numPr>
          <w:ilvl w:val="0"/>
          <w:numId w:val="5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Número promedio de negociaciones diarias.</w:t>
      </w:r>
    </w:p>
    <w:p w14:paraId="68C754B6"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209ABD3" w14:textId="77777777" w:rsidR="0006302B" w:rsidRDefault="0006302B" w:rsidP="00A4790E">
      <w:pPr>
        <w:numPr>
          <w:ilvl w:val="0"/>
          <w:numId w:val="5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Índices del mercado.</w:t>
      </w:r>
    </w:p>
    <w:p w14:paraId="0811921A" w14:textId="77777777" w:rsidR="0006302B" w:rsidRDefault="0006302B" w:rsidP="0006302B">
      <w:pPr>
        <w:pStyle w:val="Prrafodelista"/>
        <w:rPr>
          <w:rFonts w:ascii="Bookman Old Style" w:hAnsi="Bookman Old Style" w:cs="Arial"/>
          <w:color w:val="000000" w:themeColor="text1"/>
        </w:rPr>
      </w:pPr>
    </w:p>
    <w:p w14:paraId="251E97C2" w14:textId="256FC144" w:rsidR="0006302B" w:rsidRPr="008E36BB" w:rsidRDefault="0006302B" w:rsidP="00A4790E">
      <w:pPr>
        <w:numPr>
          <w:ilvl w:val="0"/>
          <w:numId w:val="57"/>
        </w:numPr>
        <w:autoSpaceDE w:val="0"/>
        <w:autoSpaceDN w:val="0"/>
        <w:adjustRightInd w:val="0"/>
        <w:ind w:left="1134" w:hanging="567"/>
        <w:jc w:val="both"/>
        <w:rPr>
          <w:rFonts w:ascii="Bookman Old Style" w:hAnsi="Bookman Old Style" w:cs="Arial"/>
          <w:color w:val="000000" w:themeColor="text1"/>
          <w:lang w:val="es-CO"/>
        </w:rPr>
      </w:pPr>
      <w:r w:rsidRPr="008E36BB">
        <w:rPr>
          <w:rFonts w:ascii="Bookman Old Style" w:hAnsi="Bookman Old Style" w:cs="Arial"/>
          <w:color w:val="000000" w:themeColor="text1"/>
          <w:lang w:val="es-CO"/>
        </w:rPr>
        <w:t xml:space="preserve">Cualquier otra información relevante </w:t>
      </w:r>
      <w:r w:rsidRPr="008E36BB">
        <w:rPr>
          <w:rFonts w:ascii="Bookman Old Style" w:hAnsi="Bookman Old Style" w:cs="Arial"/>
          <w:b/>
          <w:bCs/>
          <w:color w:val="000000" w:themeColor="text1"/>
          <w:lang w:val="es-CO"/>
        </w:rPr>
        <w:t xml:space="preserve">para el Mercado mayorista y que sea necesaria para promover y gestionar la Liquidez del mercado y que requieran los </w:t>
      </w:r>
      <w:r w:rsidR="00616C92">
        <w:rPr>
          <w:rFonts w:ascii="Bookman Old Style" w:hAnsi="Bookman Old Style" w:cs="Arial"/>
          <w:b/>
          <w:bCs/>
          <w:color w:val="000000" w:themeColor="text1"/>
          <w:lang w:val="es-CO"/>
        </w:rPr>
        <w:t>Participante</w:t>
      </w:r>
      <w:r w:rsidRPr="008E36BB">
        <w:rPr>
          <w:rFonts w:ascii="Bookman Old Style" w:hAnsi="Bookman Old Style" w:cs="Arial"/>
          <w:b/>
          <w:bCs/>
          <w:color w:val="000000" w:themeColor="text1"/>
          <w:lang w:val="es-CO"/>
        </w:rPr>
        <w:t>s para su desempeño en el mercado mayorista.</w:t>
      </w:r>
      <w:r w:rsidRPr="008E36BB">
        <w:rPr>
          <w:rFonts w:ascii="Bookman Old Style" w:hAnsi="Bookman Old Style" w:cs="Arial"/>
          <w:color w:val="000000" w:themeColor="text1"/>
          <w:lang w:val="es-CO"/>
        </w:rPr>
        <w:t xml:space="preserve"> </w:t>
      </w:r>
    </w:p>
    <w:p w14:paraId="14431277" w14:textId="77777777" w:rsidR="0006302B" w:rsidRPr="008E36BB" w:rsidRDefault="0006302B" w:rsidP="0006302B">
      <w:pPr>
        <w:autoSpaceDE w:val="0"/>
        <w:autoSpaceDN w:val="0"/>
        <w:adjustRightInd w:val="0"/>
        <w:ind w:left="0"/>
        <w:jc w:val="both"/>
        <w:rPr>
          <w:rFonts w:ascii="Bookman Old Style" w:hAnsi="Bookman Old Style"/>
          <w:color w:val="000000" w:themeColor="text1"/>
          <w:lang w:val="es-CO"/>
        </w:rPr>
      </w:pPr>
    </w:p>
    <w:bookmarkEnd w:id="133"/>
    <w:p w14:paraId="6C281BFF" w14:textId="77777777" w:rsidR="0006302B" w:rsidRPr="0013707D" w:rsidRDefault="0006302B" w:rsidP="00A4790E">
      <w:pPr>
        <w:pStyle w:val="ARTICULOS"/>
        <w:keepNext/>
        <w:numPr>
          <w:ilvl w:val="1"/>
          <w:numId w:val="36"/>
        </w:numPr>
        <w:ind w:left="567" w:hanging="567"/>
        <w:rPr>
          <w:b/>
          <w:color w:val="000000" w:themeColor="text1"/>
          <w:lang w:val="es-CO"/>
        </w:rPr>
      </w:pPr>
      <w:r w:rsidRPr="0013707D">
        <w:rPr>
          <w:b/>
          <w:color w:val="000000" w:themeColor="text1"/>
          <w:lang w:val="es-CO"/>
        </w:rPr>
        <w:lastRenderedPageBreak/>
        <w:t>Indicadores del mercado primario (MP)</w:t>
      </w:r>
    </w:p>
    <w:p w14:paraId="59C6EB63" w14:textId="77777777" w:rsidR="0006302B" w:rsidRPr="0013707D" w:rsidRDefault="0006302B" w:rsidP="0006302B">
      <w:pPr>
        <w:autoSpaceDE w:val="0"/>
        <w:autoSpaceDN w:val="0"/>
        <w:adjustRightInd w:val="0"/>
        <w:ind w:left="0"/>
        <w:jc w:val="both"/>
        <w:rPr>
          <w:rFonts w:ascii="Bookman Old Style" w:hAnsi="Bookman Old Style"/>
          <w:color w:val="000000" w:themeColor="text1"/>
          <w:lang w:val="es-CO"/>
        </w:rPr>
      </w:pPr>
    </w:p>
    <w:p w14:paraId="3F412894" w14:textId="5A1B3DD2"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s="Arial"/>
          <w:color w:val="000000" w:themeColor="text1"/>
          <w:lang w:val="es-CO"/>
        </w:rPr>
        <w:t>del Mercado</w:t>
      </w:r>
      <w:r w:rsidRPr="005C7BEC">
        <w:rPr>
          <w:rFonts w:ascii="Bookman Old Style" w:hAnsi="Bookman Old Style" w:cs="Arial"/>
          <w:color w:val="000000" w:themeColor="text1"/>
          <w:lang w:val="es-CO"/>
        </w:rPr>
        <w:t xml:space="preserve"> deberá </w:t>
      </w:r>
      <w:r w:rsidRPr="005C7BEC">
        <w:rPr>
          <w:rFonts w:ascii="Bookman Old Style" w:hAnsi="Bookman Old Style" w:cs="Arial"/>
          <w:lang w:val="es-CO"/>
        </w:rPr>
        <w:t>calcular</w:t>
      </w:r>
      <w:r w:rsidR="00920585">
        <w:rPr>
          <w:rFonts w:ascii="Bookman Old Style" w:hAnsi="Bookman Old Style" w:cs="Arial"/>
          <w:lang w:val="es-CO"/>
        </w:rPr>
        <w:t xml:space="preserve"> </w:t>
      </w:r>
      <w:r w:rsidR="00920585" w:rsidRPr="00920585">
        <w:rPr>
          <w:rFonts w:ascii="Bookman Old Style" w:hAnsi="Bookman Old Style" w:cs="Arial"/>
          <w:b/>
          <w:bCs/>
          <w:lang w:val="es-CO"/>
        </w:rPr>
        <w:t xml:space="preserve">como </w:t>
      </w:r>
      <w:r w:rsidR="00920585" w:rsidRPr="00100888">
        <w:rPr>
          <w:rFonts w:ascii="Bookman Old Style" w:hAnsi="Bookman Old Style" w:cs="Arial"/>
          <w:b/>
          <w:bCs/>
          <w:lang w:val="es-CO"/>
        </w:rPr>
        <w:t>mínimo</w:t>
      </w:r>
      <w:r w:rsidRPr="005C7BEC">
        <w:rPr>
          <w:rFonts w:ascii="Bookman Old Style" w:hAnsi="Bookman Old Style" w:cs="Arial"/>
          <w:lang w:val="es-CO"/>
        </w:rPr>
        <w:t xml:space="preserve">, con la periodicidad que en cada caso se expone y a partir de la información recolectada con base en el presente Anexo y en el Anexo 2 de la Resolución CREG </w:t>
      </w:r>
      <w:r w:rsidRPr="005C7BEC">
        <w:rPr>
          <w:rFonts w:ascii="Bookman Old Style" w:hAnsi="Bookman Old Style" w:cs="Arial"/>
          <w:color w:val="000000" w:themeColor="text1"/>
          <w:lang w:val="es-CO"/>
        </w:rPr>
        <w:t>185</w:t>
      </w:r>
      <w:r w:rsidRPr="005C7BEC">
        <w:rPr>
          <w:rFonts w:ascii="Bookman Old Style" w:hAnsi="Bookman Old Style" w:cs="Arial"/>
          <w:lang w:val="es-CO"/>
        </w:rPr>
        <w:t xml:space="preserve"> de 2020, los indicadores del mercado primario que se describen a continuación</w:t>
      </w:r>
      <w:r w:rsidR="005D52CC">
        <w:rPr>
          <w:rFonts w:ascii="Bookman Old Style" w:hAnsi="Bookman Old Style" w:cs="Arial"/>
          <w:lang w:val="es-CO"/>
        </w:rPr>
        <w:t xml:space="preserve">. </w:t>
      </w:r>
      <w:r w:rsidR="005D52CC" w:rsidRPr="00CA02C6">
        <w:rPr>
          <w:rFonts w:ascii="Bookman Old Style" w:hAnsi="Bookman Old Style" w:cs="Arial"/>
          <w:b/>
          <w:bCs/>
          <w:lang w:val="es-CO"/>
        </w:rPr>
        <w:t>Para ello deberá tener en cuenta las declaraciones realizadas por lo</w:t>
      </w:r>
      <w:r w:rsidR="005D52CC" w:rsidRPr="005D52CC">
        <w:rPr>
          <w:rFonts w:ascii="Bookman Old Style" w:hAnsi="Bookman Old Style" w:cs="Arial"/>
          <w:b/>
          <w:bCs/>
          <w:lang w:val="es-CO"/>
        </w:rPr>
        <w:t xml:space="preserve">s productores y los productores-comercializadores de gas natural </w:t>
      </w:r>
      <w:r w:rsidR="005D52CC" w:rsidRPr="00CA02C6">
        <w:rPr>
          <w:rFonts w:ascii="Bookman Old Style" w:hAnsi="Bookman Old Style" w:cs="Arial"/>
          <w:b/>
          <w:bCs/>
          <w:lang w:val="es-CO"/>
        </w:rPr>
        <w:t>al Ministerio de Minas y Energía</w:t>
      </w:r>
      <w:r w:rsidR="005D52CC">
        <w:rPr>
          <w:rFonts w:ascii="Bookman Old Style" w:hAnsi="Bookman Old Style" w:cs="Arial"/>
          <w:b/>
          <w:bCs/>
          <w:lang w:val="es-CO"/>
        </w:rPr>
        <w:t>,</w:t>
      </w:r>
      <w:r w:rsidR="005D52CC" w:rsidRPr="00CA02C6">
        <w:rPr>
          <w:rFonts w:ascii="Bookman Old Style" w:hAnsi="Bookman Old Style" w:cs="Arial"/>
          <w:b/>
          <w:bCs/>
          <w:lang w:val="es-CO"/>
        </w:rPr>
        <w:t xml:space="preserve"> de acuerdo con </w:t>
      </w:r>
      <w:r w:rsidR="005D52CC">
        <w:rPr>
          <w:rFonts w:ascii="Bookman Old Style" w:hAnsi="Bookman Old Style" w:cs="Arial"/>
          <w:b/>
          <w:bCs/>
          <w:lang w:val="es-CO"/>
        </w:rPr>
        <w:t xml:space="preserve">lo establecido en el artículo 2.2.2.2.21 del Decreto 1073 de 2015 </w:t>
      </w:r>
      <w:r w:rsidR="005D52CC" w:rsidRPr="00CA02C6">
        <w:rPr>
          <w:rFonts w:ascii="Bookman Old Style" w:hAnsi="Bookman Old Style" w:cs="Arial"/>
          <w:b/>
          <w:bCs/>
          <w:lang w:val="es-CO"/>
        </w:rPr>
        <w:t xml:space="preserve">y las definiciones y siglas establecidas en el </w:t>
      </w:r>
      <w:r w:rsidR="00210424">
        <w:rPr>
          <w:rFonts w:ascii="Bookman Old Style" w:hAnsi="Bookman Old Style" w:cs="Arial"/>
          <w:b/>
          <w:bCs/>
          <w:lang w:val="es-CO"/>
        </w:rPr>
        <w:t>a</w:t>
      </w:r>
      <w:r w:rsidR="005D52CC" w:rsidRPr="00CA02C6">
        <w:rPr>
          <w:rFonts w:ascii="Bookman Old Style" w:hAnsi="Bookman Old Style" w:cs="Arial"/>
          <w:b/>
          <w:bCs/>
          <w:lang w:val="es-CO"/>
        </w:rPr>
        <w:t>rtículo 2.2.2.1.3 de dicho Decreto</w:t>
      </w:r>
      <w:r w:rsidRPr="00CA02C6">
        <w:rPr>
          <w:rFonts w:ascii="Bookman Old Style" w:hAnsi="Bookman Old Style" w:cs="Arial"/>
          <w:b/>
          <w:bCs/>
          <w:lang w:val="es-CO"/>
        </w:rPr>
        <w:t>:</w:t>
      </w:r>
    </w:p>
    <w:p w14:paraId="41BE9A05" w14:textId="77777777" w:rsidR="0006302B" w:rsidRDefault="0006302B" w:rsidP="0006302B">
      <w:pPr>
        <w:ind w:left="0"/>
        <w:jc w:val="both"/>
        <w:rPr>
          <w:rFonts w:ascii="Bookman Old Style" w:hAnsi="Bookman Old Style" w:cs="Arial"/>
          <w:lang w:val="es-CO"/>
        </w:rPr>
      </w:pPr>
    </w:p>
    <w:tbl>
      <w:tblPr>
        <w:tblStyle w:val="Tablaconcuadrcula"/>
        <w:tblW w:w="9101" w:type="dxa"/>
        <w:tblInd w:w="108" w:type="dxa"/>
        <w:tblLayout w:type="fixed"/>
        <w:tblLook w:val="0420" w:firstRow="1" w:lastRow="0" w:firstColumn="0" w:lastColumn="0" w:noHBand="0" w:noVBand="1"/>
      </w:tblPr>
      <w:tblGrid>
        <w:gridCol w:w="738"/>
        <w:gridCol w:w="2551"/>
        <w:gridCol w:w="3544"/>
        <w:gridCol w:w="2268"/>
      </w:tblGrid>
      <w:tr w:rsidR="0006302B" w:rsidRPr="0013707D" w14:paraId="721D0F7E" w14:textId="77777777" w:rsidTr="00996A90">
        <w:trPr>
          <w:trHeight w:val="1118"/>
          <w:tblHeader/>
        </w:trPr>
        <w:tc>
          <w:tcPr>
            <w:tcW w:w="738" w:type="dxa"/>
            <w:vAlign w:val="center"/>
            <w:hideMark/>
          </w:tcPr>
          <w:p w14:paraId="48278D01" w14:textId="77777777" w:rsidR="0006302B" w:rsidRPr="00920585" w:rsidRDefault="0006302B" w:rsidP="00341DAD">
            <w:pPr>
              <w:ind w:left="0"/>
              <w:jc w:val="center"/>
              <w:rPr>
                <w:rFonts w:ascii="Bookman Old Style" w:hAnsi="Bookman Old Style" w:cs="Arial"/>
                <w:b/>
                <w:sz w:val="18"/>
                <w:szCs w:val="18"/>
                <w:lang w:val="es-CO"/>
              </w:rPr>
            </w:pPr>
            <w:r w:rsidRPr="00920585">
              <w:rPr>
                <w:rFonts w:ascii="Bookman Old Style" w:hAnsi="Bookman Old Style" w:cs="Arial"/>
                <w:b/>
                <w:sz w:val="18"/>
                <w:szCs w:val="18"/>
                <w:lang w:val="es-CO"/>
              </w:rPr>
              <w:t>No.</w:t>
            </w:r>
          </w:p>
        </w:tc>
        <w:tc>
          <w:tcPr>
            <w:tcW w:w="2551" w:type="dxa"/>
            <w:vAlign w:val="center"/>
            <w:hideMark/>
          </w:tcPr>
          <w:p w14:paraId="30593B60" w14:textId="77777777" w:rsidR="0006302B" w:rsidRPr="00920585" w:rsidRDefault="0006302B" w:rsidP="00341DAD">
            <w:pPr>
              <w:ind w:left="0"/>
              <w:jc w:val="center"/>
              <w:rPr>
                <w:rFonts w:ascii="Bookman Old Style" w:hAnsi="Bookman Old Style" w:cs="Arial"/>
                <w:b/>
                <w:sz w:val="18"/>
                <w:szCs w:val="18"/>
                <w:lang w:val="es-CO"/>
              </w:rPr>
            </w:pPr>
            <w:r w:rsidRPr="00920585">
              <w:rPr>
                <w:rFonts w:ascii="Bookman Old Style" w:hAnsi="Bookman Old Style" w:cs="Arial"/>
                <w:b/>
                <w:sz w:val="18"/>
                <w:szCs w:val="18"/>
                <w:lang w:val="es-CO"/>
              </w:rPr>
              <w:t>Indicador</w:t>
            </w:r>
          </w:p>
        </w:tc>
        <w:tc>
          <w:tcPr>
            <w:tcW w:w="3544" w:type="dxa"/>
            <w:vAlign w:val="center"/>
            <w:hideMark/>
          </w:tcPr>
          <w:p w14:paraId="6A47ADCF" w14:textId="621F749C" w:rsidR="0006302B" w:rsidRPr="00920585" w:rsidRDefault="00640A5A" w:rsidP="00341DAD">
            <w:pPr>
              <w:ind w:left="0"/>
              <w:jc w:val="center"/>
              <w:rPr>
                <w:rFonts w:ascii="Bookman Old Style" w:hAnsi="Bookman Old Style" w:cs="Arial"/>
                <w:b/>
                <w:sz w:val="18"/>
                <w:szCs w:val="18"/>
                <w:lang w:val="es-CO"/>
              </w:rPr>
            </w:pPr>
            <w:r>
              <w:rPr>
                <w:rFonts w:ascii="Bookman Old Style" w:hAnsi="Bookman Old Style" w:cs="Arial"/>
                <w:b/>
                <w:sz w:val="18"/>
                <w:szCs w:val="18"/>
                <w:lang w:val="es-CO"/>
              </w:rPr>
              <w:t>Alcance del indicador</w:t>
            </w:r>
          </w:p>
        </w:tc>
        <w:tc>
          <w:tcPr>
            <w:tcW w:w="2268" w:type="dxa"/>
            <w:vAlign w:val="center"/>
            <w:hideMark/>
          </w:tcPr>
          <w:p w14:paraId="5AE3D988" w14:textId="77777777" w:rsidR="0006302B" w:rsidRPr="00920585" w:rsidRDefault="0006302B" w:rsidP="00920585">
            <w:pPr>
              <w:ind w:left="0"/>
              <w:jc w:val="center"/>
              <w:rPr>
                <w:rFonts w:ascii="Bookman Old Style" w:hAnsi="Bookman Old Style" w:cs="Arial"/>
                <w:b/>
                <w:sz w:val="18"/>
                <w:szCs w:val="18"/>
                <w:lang w:val="es-CO"/>
              </w:rPr>
            </w:pPr>
            <w:r w:rsidRPr="00920585">
              <w:rPr>
                <w:rFonts w:ascii="Bookman Old Style" w:hAnsi="Bookman Old Style" w:cs="Arial"/>
                <w:b/>
                <w:sz w:val="18"/>
                <w:szCs w:val="18"/>
                <w:lang w:val="es-CO"/>
              </w:rPr>
              <w:t>Visible para</w:t>
            </w:r>
          </w:p>
        </w:tc>
      </w:tr>
      <w:tr w:rsidR="0006302B" w:rsidRPr="0013707D" w14:paraId="67B9748D" w14:textId="77777777" w:rsidTr="00996A90">
        <w:trPr>
          <w:trHeight w:val="584"/>
        </w:trPr>
        <w:tc>
          <w:tcPr>
            <w:tcW w:w="738" w:type="dxa"/>
            <w:vAlign w:val="center"/>
          </w:tcPr>
          <w:p w14:paraId="5FE853DA" w14:textId="77777777" w:rsidR="0006302B" w:rsidRPr="00920585" w:rsidRDefault="0006302B" w:rsidP="00341DAD">
            <w:pPr>
              <w:ind w:left="0"/>
              <w:jc w:val="center"/>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w:t>
            </w:r>
          </w:p>
        </w:tc>
        <w:tc>
          <w:tcPr>
            <w:tcW w:w="2551" w:type="dxa"/>
            <w:vAlign w:val="center"/>
          </w:tcPr>
          <w:p w14:paraId="6EE5AE6E" w14:textId="77777777" w:rsidR="0006302B" w:rsidRPr="00920585" w:rsidRDefault="00FB7B28" w:rsidP="00341DAD">
            <w:pPr>
              <w:ind w:left="0"/>
              <w:rPr>
                <w:rFonts w:ascii="Bookman Old Style" w:hAnsi="Bookman Old Style" w:cs="Arial"/>
                <w:sz w:val="18"/>
                <w:szCs w:val="18"/>
                <w:lang w:val="es-CO" w:eastAsia="es-MX"/>
              </w:rPr>
            </w:pPr>
            <m:oMathPara>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PTDV</m:t>
                    </m:r>
                  </m:num>
                  <m:den>
                    <m:r>
                      <m:rPr>
                        <m:sty m:val="p"/>
                      </m:rPr>
                      <w:rPr>
                        <w:rFonts w:ascii="Cambria Math" w:hAnsi="Cambria Math" w:cs="Arial"/>
                        <w:sz w:val="18"/>
                        <w:szCs w:val="18"/>
                        <w:lang w:val="es-CO" w:eastAsia="es-MX"/>
                      </w:rPr>
                      <m:t xml:space="preserve">PP </m:t>
                    </m:r>
                  </m:den>
                </m:f>
              </m:oMath>
            </m:oMathPara>
          </w:p>
          <w:p w14:paraId="7C61A2CD" w14:textId="77777777" w:rsidR="0006302B" w:rsidRPr="00920585" w:rsidRDefault="0006302B" w:rsidP="00341DAD">
            <w:pPr>
              <w:ind w:left="0"/>
              <w:rPr>
                <w:rFonts w:ascii="Bookman Old Style" w:hAnsi="Bookman Old Style" w:cs="Arial"/>
                <w:sz w:val="18"/>
                <w:szCs w:val="18"/>
                <w:lang w:val="es-CO" w:eastAsia="es-MX"/>
              </w:rPr>
            </w:pPr>
          </w:p>
          <w:p w14:paraId="48AF8197" w14:textId="77777777" w:rsidR="0006302B" w:rsidRPr="00920585" w:rsidRDefault="0006302B" w:rsidP="00341DAD">
            <w:pPr>
              <w:ind w:left="34" w:hanging="34"/>
              <w:rPr>
                <w:rFonts w:ascii="Bookman Old Style" w:hAnsi="Bookman Old Style" w:cs="Arial"/>
                <w:sz w:val="18"/>
                <w:szCs w:val="18"/>
                <w:lang w:val="es-CO" w:eastAsia="es-MX"/>
              </w:rPr>
            </w:pPr>
          </w:p>
        </w:tc>
        <w:tc>
          <w:tcPr>
            <w:tcW w:w="3544" w:type="dxa"/>
            <w:vAlign w:val="center"/>
          </w:tcPr>
          <w:p w14:paraId="100B6615"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20580082"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Este indicador debe calcularse de manera nacional (i.e. agregado) y por fuente y por productor considerando</w:t>
            </w:r>
            <w:r w:rsidRPr="00920585">
              <w:rPr>
                <w:rFonts w:ascii="Bookman Old Style" w:hAnsi="Bookman Old Style" w:cs="Arial"/>
                <w:sz w:val="18"/>
                <w:szCs w:val="18"/>
                <w:lang w:val="es-CO" w:eastAsia="es-MX"/>
              </w:rPr>
              <w:t xml:space="preserve"> las declaraciones publicadas por el Ministerio de Minas y Energía.</w:t>
            </w:r>
          </w:p>
          <w:p w14:paraId="6B183CA3"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1BDB2903"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Periodicidad de cálculo y de publicación: dentro de los cinco (05) días hábiles siguientes a cada publicación por parte del MME de las declaraciones anuales de producción y de sus modificaciones</w:t>
            </w:r>
            <w:r w:rsidRPr="00920585">
              <w:rPr>
                <w:rFonts w:ascii="Bookman Old Style" w:eastAsia="Calibri" w:hAnsi="Bookman Old Style" w:cs="Arial"/>
                <w:color w:val="000000"/>
                <w:kern w:val="24"/>
                <w:sz w:val="18"/>
                <w:szCs w:val="18"/>
                <w:lang w:val="es-CO" w:eastAsia="es-MX"/>
              </w:rPr>
              <w:t>.</w:t>
            </w:r>
          </w:p>
          <w:p w14:paraId="41C10BDE"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25F10AD5"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 xml:space="preserve">para </w:t>
            </w:r>
            <w:r w:rsidRPr="00920585">
              <w:rPr>
                <w:rFonts w:ascii="Bookman Old Style" w:eastAsia="Calibri" w:hAnsi="Bookman Old Style" w:cs="Arial"/>
                <w:b/>
                <w:bCs/>
                <w:color w:val="000000"/>
                <w:kern w:val="24"/>
                <w:sz w:val="18"/>
                <w:szCs w:val="18"/>
                <w:lang w:val="es-CO" w:eastAsia="es-MX"/>
              </w:rPr>
              <w:t xml:space="preserve">cada uno de </w:t>
            </w:r>
            <w:r w:rsidRPr="00920585">
              <w:rPr>
                <w:rFonts w:ascii="Bookman Old Style" w:eastAsia="Calibri" w:hAnsi="Bookman Old Style" w:cs="Arial"/>
                <w:color w:val="000000"/>
                <w:kern w:val="24"/>
                <w:sz w:val="18"/>
                <w:szCs w:val="18"/>
                <w:lang w:val="es-CO" w:eastAsia="es-MX"/>
              </w:rPr>
              <w:t>los meses en donde haya declaración de las variables PP y PTDV.</w:t>
            </w:r>
          </w:p>
        </w:tc>
        <w:tc>
          <w:tcPr>
            <w:tcW w:w="2268" w:type="dxa"/>
            <w:vAlign w:val="center"/>
          </w:tcPr>
          <w:p w14:paraId="2B395649"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 xml:space="preserve">Los indicadores nacional y por fuente para el público general y los indicadores </w:t>
            </w:r>
            <w:r w:rsidRPr="00920585">
              <w:rPr>
                <w:rFonts w:ascii="Bookman Old Style" w:eastAsia="Calibri" w:hAnsi="Bookman Old Style" w:cs="Arial"/>
                <w:b/>
                <w:bCs/>
                <w:color w:val="000000"/>
                <w:kern w:val="24"/>
                <w:sz w:val="18"/>
                <w:szCs w:val="18"/>
                <w:lang w:val="es-CO" w:eastAsia="es-MX"/>
              </w:rPr>
              <w:t>agregados</w:t>
            </w:r>
            <w:r w:rsidRPr="00920585">
              <w:rPr>
                <w:rFonts w:ascii="Bookman Old Style" w:eastAsia="Calibri" w:hAnsi="Bookman Old Style" w:cs="Arial"/>
                <w:color w:val="000000"/>
                <w:kern w:val="24"/>
                <w:sz w:val="18"/>
                <w:szCs w:val="18"/>
                <w:lang w:val="es-CO" w:eastAsia="es-MX"/>
              </w:rPr>
              <w:t xml:space="preserve"> por productor para la SSPD, SIC y CREG</w:t>
            </w:r>
          </w:p>
          <w:p w14:paraId="51AFFE3E"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48DB87D0" w14:textId="77777777" w:rsidTr="00996A90">
        <w:trPr>
          <w:trHeight w:val="584"/>
        </w:trPr>
        <w:tc>
          <w:tcPr>
            <w:tcW w:w="738" w:type="dxa"/>
            <w:vAlign w:val="center"/>
          </w:tcPr>
          <w:p w14:paraId="50B931DE" w14:textId="77777777" w:rsidR="0006302B" w:rsidRPr="00920585" w:rsidRDefault="0006302B" w:rsidP="00341DAD">
            <w:pPr>
              <w:ind w:left="0"/>
              <w:jc w:val="center"/>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MP2</w:t>
            </w:r>
          </w:p>
        </w:tc>
        <w:tc>
          <w:tcPr>
            <w:tcW w:w="2551" w:type="dxa"/>
            <w:vAlign w:val="center"/>
          </w:tcPr>
          <w:p w14:paraId="6BBAFA05" w14:textId="77777777" w:rsidR="0006302B" w:rsidRPr="00920585" w:rsidRDefault="0006302B" w:rsidP="00341DAD">
            <w:pPr>
              <w:rPr>
                <w:rFonts w:ascii="Bookman Old Style" w:hAnsi="Bookman Old Style" w:cs="Arial"/>
                <w:b/>
                <w:bCs/>
                <w:sz w:val="18"/>
                <w:szCs w:val="18"/>
                <w:lang w:val="es-CO" w:eastAsia="es-MX"/>
              </w:rPr>
            </w:pPr>
          </w:p>
          <w:p w14:paraId="7F1692FD" w14:textId="77777777"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r>
                      <m:rPr>
                        <m:sty m:val="b"/>
                      </m:rPr>
                      <w:rPr>
                        <w:rFonts w:ascii="Cambria Math" w:hAnsi="Cambria Math" w:cs="Arial"/>
                        <w:sz w:val="18"/>
                        <w:szCs w:val="18"/>
                        <w:lang w:val="es-CO" w:eastAsia="es-MX"/>
                      </w:rPr>
                      <m:t>PTDVF</m:t>
                    </m:r>
                  </m:num>
                  <m:den>
                    <m:r>
                      <m:rPr>
                        <m:sty m:val="b"/>
                      </m:rPr>
                      <w:rPr>
                        <w:rFonts w:ascii="Cambria Math" w:hAnsi="Cambria Math" w:cs="Arial"/>
                        <w:sz w:val="18"/>
                        <w:szCs w:val="18"/>
                        <w:lang w:val="es-CO" w:eastAsia="es-MX"/>
                      </w:rPr>
                      <m:t>PTDV</m:t>
                    </m:r>
                  </m:den>
                </m:f>
              </m:oMath>
            </m:oMathPara>
          </w:p>
          <w:p w14:paraId="2011F9CF" w14:textId="77777777" w:rsidR="0006302B" w:rsidRPr="00920585" w:rsidRDefault="0006302B" w:rsidP="00341DAD">
            <w:pPr>
              <w:ind w:left="0" w:firstLine="34"/>
              <w:rPr>
                <w:rFonts w:ascii="Bookman Old Style" w:hAnsi="Bookman Old Style" w:cs="Arial"/>
                <w:sz w:val="18"/>
                <w:szCs w:val="18"/>
                <w:lang w:val="es-CO" w:eastAsia="es-MX"/>
              </w:rPr>
            </w:pPr>
          </w:p>
        </w:tc>
        <w:tc>
          <w:tcPr>
            <w:tcW w:w="3544" w:type="dxa"/>
            <w:vAlign w:val="center"/>
          </w:tcPr>
          <w:p w14:paraId="6CA94473"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34B3F035"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Este indicador debe calcularse de manera nacional (i.e. agregado) y por fuente y por productor, considerando</w:t>
            </w:r>
            <w:r w:rsidRPr="00920585">
              <w:rPr>
                <w:rFonts w:ascii="Bookman Old Style" w:hAnsi="Bookman Old Style" w:cs="Arial"/>
                <w:sz w:val="18"/>
                <w:szCs w:val="18"/>
                <w:lang w:val="es-CO" w:eastAsia="es-MX"/>
              </w:rPr>
              <w:t xml:space="preserve"> las declaraciones publicadas por el Ministerio de Minas y Energía.</w:t>
            </w:r>
          </w:p>
          <w:p w14:paraId="7612E19D"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4D66455C" w14:textId="45E5EFEA"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 xml:space="preserve">dentro de los primeros tres (03) días hábiles de cada mes del año, con la información de PTDVF y de PTDV </w:t>
            </w:r>
            <w:r w:rsidR="00920585">
              <w:rPr>
                <w:rFonts w:ascii="Bookman Old Style" w:eastAsia="Calibri" w:hAnsi="Bookman Old Style" w:cs="Arial"/>
                <w:b/>
                <w:bCs/>
                <w:color w:val="000000"/>
                <w:kern w:val="24"/>
                <w:sz w:val="20"/>
                <w:szCs w:val="20"/>
                <w:lang w:val="es-CO" w:eastAsia="es-MX"/>
              </w:rPr>
              <w:t xml:space="preserve">correspondiente al productor-comercializador, del mes </w:t>
            </w:r>
            <w:r w:rsidRPr="00920585">
              <w:rPr>
                <w:rFonts w:ascii="Bookman Old Style" w:eastAsia="Calibri" w:hAnsi="Bookman Old Style" w:cs="Arial"/>
                <w:b/>
                <w:bCs/>
                <w:color w:val="000000"/>
                <w:kern w:val="24"/>
                <w:sz w:val="18"/>
                <w:szCs w:val="18"/>
                <w:lang w:val="es-CO" w:eastAsia="es-MX"/>
              </w:rPr>
              <w:t>más reciente al momento de la publicación del indicador</w:t>
            </w:r>
            <w:r w:rsidRPr="00920585">
              <w:rPr>
                <w:rFonts w:ascii="Bookman Old Style" w:eastAsia="Calibri" w:hAnsi="Bookman Old Style" w:cs="Arial"/>
                <w:color w:val="000000"/>
                <w:kern w:val="24"/>
                <w:sz w:val="18"/>
                <w:szCs w:val="18"/>
                <w:lang w:val="es-CO" w:eastAsia="es-MX"/>
              </w:rPr>
              <w:t>.</w:t>
            </w:r>
          </w:p>
          <w:p w14:paraId="677FC80A"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2C2A1DDF"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todos los meses en donde haya declaración de las variables PTDVF y PTDV.</w:t>
            </w:r>
          </w:p>
        </w:tc>
        <w:tc>
          <w:tcPr>
            <w:tcW w:w="2268" w:type="dxa"/>
            <w:vAlign w:val="center"/>
          </w:tcPr>
          <w:p w14:paraId="66C8BF9D"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y por fuente para el público general y los indicadores por productor para la SSPD, SIC y CREG</w:t>
            </w:r>
          </w:p>
          <w:p w14:paraId="3E6BCE71"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089CE446" w14:textId="77777777" w:rsidTr="00996A90">
        <w:trPr>
          <w:trHeight w:val="584"/>
        </w:trPr>
        <w:tc>
          <w:tcPr>
            <w:tcW w:w="738" w:type="dxa"/>
            <w:vAlign w:val="center"/>
          </w:tcPr>
          <w:p w14:paraId="28F60A56" w14:textId="77777777" w:rsidR="0006302B" w:rsidRPr="00920585" w:rsidRDefault="0006302B" w:rsidP="00341DAD">
            <w:pPr>
              <w:ind w:left="0"/>
              <w:jc w:val="center"/>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MP3</w:t>
            </w:r>
          </w:p>
        </w:tc>
        <w:tc>
          <w:tcPr>
            <w:tcW w:w="2551" w:type="dxa"/>
            <w:vAlign w:val="center"/>
          </w:tcPr>
          <w:p w14:paraId="01F73B92" w14:textId="77777777" w:rsidR="0006302B" w:rsidRPr="00920585" w:rsidRDefault="0006302B" w:rsidP="00341DAD">
            <w:pPr>
              <w:rPr>
                <w:rFonts w:ascii="Bookman Old Style" w:hAnsi="Bookman Old Style" w:cs="Arial"/>
                <w:sz w:val="18"/>
                <w:szCs w:val="18"/>
                <w:lang w:val="es-CO" w:eastAsia="es-MX"/>
              </w:rPr>
            </w:pPr>
          </w:p>
          <w:p w14:paraId="04B4F79B" w14:textId="77777777"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r>
                      <m:rPr>
                        <m:sty m:val="b"/>
                      </m:rPr>
                      <w:rPr>
                        <w:rFonts w:ascii="Cambria Math" w:hAnsi="Cambria Math" w:cs="Arial"/>
                        <w:sz w:val="18"/>
                        <w:szCs w:val="18"/>
                        <w:lang w:val="es-CO" w:eastAsia="es-MX"/>
                      </w:rPr>
                      <m:t>CIDVF</m:t>
                    </m:r>
                  </m:num>
                  <m:den>
                    <m:r>
                      <m:rPr>
                        <m:sty m:val="b"/>
                      </m:rPr>
                      <w:rPr>
                        <w:rFonts w:ascii="Cambria Math" w:hAnsi="Cambria Math" w:cs="Arial"/>
                        <w:sz w:val="18"/>
                        <w:szCs w:val="18"/>
                        <w:lang w:val="es-CO" w:eastAsia="es-MX"/>
                      </w:rPr>
                      <m:t>CIDV</m:t>
                    </m:r>
                  </m:den>
                </m:f>
              </m:oMath>
            </m:oMathPara>
          </w:p>
          <w:p w14:paraId="2D8BA531" w14:textId="77777777" w:rsidR="0006302B" w:rsidRPr="00920585" w:rsidRDefault="0006302B" w:rsidP="00341DAD">
            <w:pPr>
              <w:ind w:left="34" w:hanging="34"/>
              <w:rPr>
                <w:rFonts w:ascii="Bookman Old Style" w:hAnsi="Bookman Old Style" w:cs="Arial"/>
                <w:sz w:val="18"/>
                <w:szCs w:val="18"/>
                <w:lang w:val="es-CO" w:eastAsia="es-MX"/>
              </w:rPr>
            </w:pPr>
          </w:p>
        </w:tc>
        <w:tc>
          <w:tcPr>
            <w:tcW w:w="3544" w:type="dxa"/>
            <w:vAlign w:val="center"/>
          </w:tcPr>
          <w:p w14:paraId="614D15E4"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654DB942"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Este indicador debe calcularse de manera nacional (i.e. agregado) y por fuente y por productor, considerando</w:t>
            </w:r>
            <w:r w:rsidRPr="00920585">
              <w:rPr>
                <w:rFonts w:ascii="Bookman Old Style" w:hAnsi="Bookman Old Style" w:cs="Arial"/>
                <w:sz w:val="18"/>
                <w:szCs w:val="18"/>
                <w:lang w:val="es-CO" w:eastAsia="es-MX"/>
              </w:rPr>
              <w:t xml:space="preserve"> las declaraciones publicadas por el Ministerio de Minas y Energía.</w:t>
            </w:r>
          </w:p>
          <w:p w14:paraId="71C91102"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499E797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lastRenderedPageBreak/>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5FA731F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2C356345"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todos los meses en donde haya declaración de las variables CIDVF y CIDV.</w:t>
            </w:r>
          </w:p>
        </w:tc>
        <w:tc>
          <w:tcPr>
            <w:tcW w:w="2268" w:type="dxa"/>
            <w:vAlign w:val="center"/>
          </w:tcPr>
          <w:p w14:paraId="172E15ED"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lastRenderedPageBreak/>
              <w:t>Los indicadores nacional y por fuente para el público general y los indicadores por productor para la SSPD, SIC y CREG</w:t>
            </w:r>
          </w:p>
          <w:p w14:paraId="5E0BDFFD"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26E81650" w14:textId="77777777" w:rsidTr="00996A90">
        <w:trPr>
          <w:trHeight w:val="584"/>
        </w:trPr>
        <w:tc>
          <w:tcPr>
            <w:tcW w:w="738" w:type="dxa"/>
            <w:vAlign w:val="center"/>
          </w:tcPr>
          <w:p w14:paraId="05EE1279" w14:textId="77777777" w:rsidR="0006302B" w:rsidRPr="00920585" w:rsidRDefault="0006302B" w:rsidP="00341DAD">
            <w:pPr>
              <w:ind w:left="0"/>
              <w:jc w:val="center"/>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MP4</w:t>
            </w:r>
          </w:p>
        </w:tc>
        <w:tc>
          <w:tcPr>
            <w:tcW w:w="2551" w:type="dxa"/>
            <w:vAlign w:val="center"/>
          </w:tcPr>
          <w:p w14:paraId="1947528C" w14:textId="69876D95" w:rsidR="0006302B" w:rsidRPr="00920585" w:rsidRDefault="0006302B" w:rsidP="00341DAD">
            <w:pPr>
              <w:ind w:left="0"/>
              <w:jc w:val="center"/>
              <w:rPr>
                <w:rFonts w:ascii="Bookman Old Style" w:hAnsi="Bookman Old Style" w:cs="Arial"/>
                <w:sz w:val="18"/>
                <w:szCs w:val="18"/>
                <w:lang w:val="es-CO" w:eastAsia="es-MX"/>
              </w:rPr>
            </w:pPr>
            <m:oMath>
              <m:r>
                <m:rPr>
                  <m:sty m:val="b"/>
                </m:rPr>
                <w:rPr>
                  <w:rFonts w:ascii="Cambria Math" w:hAnsi="Cambria Math" w:cs="Arial"/>
                  <w:sz w:val="18"/>
                  <w:szCs w:val="18"/>
                  <w:lang w:val="es-CO" w:eastAsia="es-MX"/>
                </w:rPr>
                <m:t>OCTGF</m:t>
              </m:r>
            </m:oMath>
            <w:r w:rsidR="00C31FAF" w:rsidRPr="00920585">
              <w:rPr>
                <w:rFonts w:ascii="Bookman Old Style" w:hAnsi="Bookman Old Style" w:cs="Arial"/>
                <w:b/>
                <w:sz w:val="18"/>
                <w:szCs w:val="18"/>
                <w:lang w:val="es-CO" w:eastAsia="es-MX"/>
              </w:rPr>
              <w:t xml:space="preserve"> (Anexo 5)</w:t>
            </w:r>
          </w:p>
        </w:tc>
        <w:tc>
          <w:tcPr>
            <w:tcW w:w="3544" w:type="dxa"/>
            <w:vAlign w:val="center"/>
          </w:tcPr>
          <w:p w14:paraId="60368D3D" w14:textId="2CCF3755"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hAnsi="Bookman Old Style" w:cs="Arial"/>
                <w:color w:val="000000"/>
                <w:sz w:val="18"/>
                <w:szCs w:val="18"/>
                <w:lang w:val="es-CO"/>
              </w:rPr>
              <w:t xml:space="preserve">Calcular toda la oferta comprometida </w:t>
            </w:r>
            <w:r w:rsidRPr="00920585">
              <w:rPr>
                <w:rFonts w:ascii="Bookman Old Style" w:hAnsi="Bookman Old Style" w:cs="Arial"/>
                <w:b/>
                <w:bCs/>
                <w:color w:val="000000"/>
                <w:sz w:val="18"/>
                <w:szCs w:val="18"/>
                <w:lang w:val="es-CO"/>
              </w:rPr>
              <w:t>vigente</w:t>
            </w:r>
            <w:r w:rsidRPr="00920585">
              <w:rPr>
                <w:rFonts w:ascii="Bookman Old Style" w:hAnsi="Bookman Old Style" w:cs="Arial"/>
                <w:color w:val="000000"/>
                <w:sz w:val="18"/>
                <w:szCs w:val="18"/>
                <w:lang w:val="es-CO"/>
              </w:rPr>
              <w:t xml:space="preserve"> en contratos firmes, </w:t>
            </w:r>
            <w:r w:rsidRPr="00920585">
              <w:rPr>
                <w:rFonts w:ascii="Bookman Old Style" w:hAnsi="Bookman Old Style" w:cs="Arial"/>
                <w:b/>
                <w:bCs/>
                <w:color w:val="000000"/>
                <w:sz w:val="18"/>
                <w:szCs w:val="18"/>
                <w:lang w:val="es-CO"/>
              </w:rPr>
              <w:t>CF95, CF80</w:t>
            </w:r>
            <w:r w:rsidRPr="00920585">
              <w:rPr>
                <w:rFonts w:ascii="Bookman Old Style" w:hAnsi="Bookman Old Style" w:cs="Arial"/>
                <w:color w:val="000000"/>
                <w:sz w:val="18"/>
                <w:szCs w:val="18"/>
                <w:lang w:val="es-CO"/>
              </w:rPr>
              <w:t xml:space="preserve">, </w:t>
            </w:r>
            <w:r w:rsidRPr="00920585">
              <w:rPr>
                <w:rFonts w:ascii="Bookman Old Style" w:hAnsi="Bookman Old Style" w:cs="Arial"/>
                <w:b/>
                <w:bCs/>
                <w:color w:val="000000"/>
                <w:sz w:val="18"/>
                <w:szCs w:val="18"/>
                <w:lang w:val="es-CO"/>
              </w:rPr>
              <w:t xml:space="preserve">OCG, CFC, TOP y cualquier </w:t>
            </w:r>
            <w:r w:rsidR="00920585">
              <w:rPr>
                <w:rFonts w:ascii="Bookman Old Style" w:hAnsi="Bookman Old Style" w:cs="Arial"/>
                <w:b/>
                <w:bCs/>
                <w:color w:val="000000"/>
                <w:sz w:val="18"/>
                <w:szCs w:val="18"/>
                <w:lang w:val="es-CO"/>
              </w:rPr>
              <w:t xml:space="preserve">otra </w:t>
            </w:r>
            <w:r w:rsidRPr="00920585">
              <w:rPr>
                <w:rFonts w:ascii="Bookman Old Style" w:hAnsi="Bookman Old Style" w:cs="Arial"/>
                <w:b/>
                <w:bCs/>
                <w:color w:val="000000"/>
                <w:sz w:val="18"/>
                <w:szCs w:val="18"/>
                <w:lang w:val="es-CO"/>
              </w:rPr>
              <w:t xml:space="preserve">modalidad </w:t>
            </w:r>
            <w:r w:rsidR="00920585">
              <w:rPr>
                <w:rFonts w:ascii="Bookman Old Style" w:hAnsi="Bookman Old Style" w:cs="Arial"/>
                <w:b/>
                <w:bCs/>
                <w:color w:val="000000"/>
                <w:sz w:val="20"/>
                <w:szCs w:val="20"/>
                <w:lang w:val="es-CO"/>
              </w:rPr>
              <w:t>de tipo firme o que garantiza firmeza</w:t>
            </w:r>
            <w:r w:rsidRPr="00920585">
              <w:rPr>
                <w:rFonts w:ascii="Bookman Old Style" w:hAnsi="Bookman Old Style" w:cs="Arial"/>
                <w:color w:val="000000"/>
                <w:sz w:val="18"/>
                <w:szCs w:val="18"/>
                <w:lang w:val="es-CO"/>
              </w:rPr>
              <w:t xml:space="preserve">. </w:t>
            </w:r>
          </w:p>
          <w:p w14:paraId="27D548D5" w14:textId="77777777" w:rsidR="0006302B" w:rsidRPr="00920585" w:rsidRDefault="0006302B" w:rsidP="00341DAD">
            <w:pPr>
              <w:ind w:left="0"/>
              <w:jc w:val="both"/>
              <w:rPr>
                <w:rFonts w:ascii="Bookman Old Style" w:hAnsi="Bookman Old Style" w:cs="Arial"/>
                <w:color w:val="000000"/>
                <w:sz w:val="18"/>
                <w:szCs w:val="18"/>
                <w:lang w:val="es-CO"/>
              </w:rPr>
            </w:pPr>
          </w:p>
          <w:p w14:paraId="3C57EDE5"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hAnsi="Bookman Old Style" w:cs="Arial"/>
                <w:color w:val="000000"/>
                <w:sz w:val="18"/>
                <w:szCs w:val="18"/>
                <w:lang w:val="es-CO"/>
              </w:rPr>
              <w:t>Este indicador debe calcularse de manera nacional (i.e. agregado) y por fuente y por productor</w:t>
            </w:r>
            <w:r w:rsidRPr="00920585">
              <w:rPr>
                <w:rFonts w:ascii="Bookman Old Style" w:hAnsi="Bookman Old Style" w:cs="Arial"/>
                <w:sz w:val="18"/>
                <w:szCs w:val="18"/>
                <w:lang w:val="es-CO" w:eastAsia="es-MX"/>
              </w:rPr>
              <w:t>.</w:t>
            </w:r>
          </w:p>
          <w:p w14:paraId="144E2DDB" w14:textId="77777777" w:rsidR="0006302B" w:rsidRPr="00920585" w:rsidRDefault="0006302B" w:rsidP="00341DAD">
            <w:pPr>
              <w:jc w:val="both"/>
              <w:rPr>
                <w:rFonts w:ascii="Bookman Old Style" w:hAnsi="Bookman Old Style" w:cs="Arial"/>
                <w:color w:val="000000"/>
                <w:sz w:val="18"/>
                <w:szCs w:val="18"/>
                <w:lang w:val="es-CO"/>
              </w:rPr>
            </w:pPr>
          </w:p>
          <w:p w14:paraId="1641DEDD"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Periodicidad de cálculo y de publicación:</w:t>
            </w:r>
            <w:r w:rsidRPr="00920585">
              <w:rPr>
                <w:rFonts w:ascii="Bookman Old Style" w:eastAsia="Calibri" w:hAnsi="Bookman Old Style" w:cs="Arial"/>
                <w:b/>
                <w:bCs/>
                <w:color w:val="000000"/>
                <w:kern w:val="24"/>
                <w:sz w:val="18"/>
                <w:szCs w:val="18"/>
                <w:lang w:val="es-CO" w:eastAsia="es-MX"/>
              </w:rPr>
              <w:t xml:space="preserve"> 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780F6F84"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033613BE"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todos los meses en donde haya oferta comprometida con garantía de firmeza.</w:t>
            </w:r>
          </w:p>
        </w:tc>
        <w:tc>
          <w:tcPr>
            <w:tcW w:w="2268" w:type="dxa"/>
            <w:vAlign w:val="center"/>
          </w:tcPr>
          <w:p w14:paraId="4CA00C02"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y por fuente para el público general y los indicadores por productor para la SSPD, SIC y CREG</w:t>
            </w:r>
          </w:p>
          <w:p w14:paraId="32F9741C" w14:textId="276E984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02B30685" w14:textId="77777777" w:rsidTr="00996A90">
        <w:trPr>
          <w:trHeight w:val="584"/>
        </w:trPr>
        <w:tc>
          <w:tcPr>
            <w:tcW w:w="738" w:type="dxa"/>
            <w:vAlign w:val="center"/>
          </w:tcPr>
          <w:p w14:paraId="30ACC11F"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MP5</w:t>
            </w:r>
          </w:p>
        </w:tc>
        <w:tc>
          <w:tcPr>
            <w:tcW w:w="2551" w:type="dxa"/>
            <w:vAlign w:val="center"/>
          </w:tcPr>
          <w:p w14:paraId="6E7995BB" w14:textId="0CF34496" w:rsidR="0006302B" w:rsidRPr="00920585" w:rsidRDefault="00FB7B28" w:rsidP="00341DAD">
            <w:pPr>
              <w:ind w:left="0"/>
              <w:rPr>
                <w:rFonts w:ascii="Bookman Old Style" w:hAnsi="Bookman Old Style" w:cs="Arial"/>
                <w:b/>
                <w:bCs/>
                <w:iCs/>
                <w:color w:val="000000"/>
                <w:kern w:val="24"/>
                <w:sz w:val="18"/>
                <w:szCs w:val="18"/>
                <w:lang w:val="es-CO" w:eastAsia="es-MX"/>
              </w:rPr>
            </w:pPr>
            <m:oMathPara>
              <m:oMath>
                <m:f>
                  <m:fPr>
                    <m:ctrlPr>
                      <w:rPr>
                        <w:rFonts w:ascii="Cambria Math" w:hAnsi="Cambria Math" w:cs="Arial"/>
                        <w:b/>
                        <w:bCs/>
                        <w:sz w:val="18"/>
                        <w:szCs w:val="18"/>
                        <w:lang w:val="es-CO" w:eastAsia="es-MX"/>
                      </w:rPr>
                    </m:ctrlPr>
                  </m:fPr>
                  <m:num>
                    <m:r>
                      <m:rPr>
                        <m:sty m:val="b"/>
                      </m:rPr>
                      <w:rPr>
                        <w:rFonts w:ascii="Cambria Math" w:hAnsi="Cambria Math" w:cs="Arial"/>
                        <w:sz w:val="18"/>
                        <w:szCs w:val="18"/>
                        <w:lang w:val="es-CO" w:eastAsia="es-MX"/>
                      </w:rPr>
                      <m:t>OCTGF (Anexo 5)</m:t>
                    </m:r>
                  </m:num>
                  <m:den>
                    <m:r>
                      <m:rPr>
                        <m:sty m:val="b"/>
                      </m:rPr>
                      <w:rPr>
                        <w:rFonts w:ascii="Cambria Math" w:hAnsi="Cambria Math" w:cs="Arial"/>
                        <w:sz w:val="18"/>
                        <w:szCs w:val="18"/>
                        <w:lang w:val="es-CO" w:eastAsia="es-MX"/>
                      </w:rPr>
                      <m:t>PP</m:t>
                    </m:r>
                  </m:den>
                </m:f>
              </m:oMath>
            </m:oMathPara>
          </w:p>
        </w:tc>
        <w:tc>
          <w:tcPr>
            <w:tcW w:w="3544" w:type="dxa"/>
            <w:vAlign w:val="center"/>
          </w:tcPr>
          <w:p w14:paraId="49720E1C" w14:textId="4B1DA5D6"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hAnsi="Bookman Old Style" w:cs="Arial"/>
                <w:color w:val="000000"/>
                <w:sz w:val="18"/>
                <w:szCs w:val="18"/>
                <w:lang w:val="es-CO"/>
              </w:rPr>
              <w:t xml:space="preserve">Calcular toda la oferta comprometida </w:t>
            </w:r>
            <w:r w:rsidRPr="00920585">
              <w:rPr>
                <w:rFonts w:ascii="Bookman Old Style" w:hAnsi="Bookman Old Style" w:cs="Arial"/>
                <w:b/>
                <w:bCs/>
                <w:color w:val="000000"/>
                <w:sz w:val="18"/>
                <w:szCs w:val="18"/>
                <w:lang w:val="es-CO"/>
              </w:rPr>
              <w:t>vigente</w:t>
            </w:r>
            <w:r w:rsidRPr="00920585">
              <w:rPr>
                <w:rFonts w:ascii="Bookman Old Style" w:hAnsi="Bookman Old Style" w:cs="Arial"/>
                <w:color w:val="000000"/>
                <w:sz w:val="18"/>
                <w:szCs w:val="18"/>
                <w:lang w:val="es-CO"/>
              </w:rPr>
              <w:t xml:space="preserve"> en contratos firmes, </w:t>
            </w:r>
            <w:r w:rsidRPr="00920585">
              <w:rPr>
                <w:rFonts w:ascii="Bookman Old Style" w:hAnsi="Bookman Old Style" w:cs="Arial"/>
                <w:b/>
                <w:bCs/>
                <w:color w:val="000000"/>
                <w:sz w:val="18"/>
                <w:szCs w:val="18"/>
                <w:lang w:val="es-CO"/>
              </w:rPr>
              <w:t>CF95, CF80</w:t>
            </w:r>
            <w:r w:rsidRPr="00920585">
              <w:rPr>
                <w:rFonts w:ascii="Bookman Old Style" w:hAnsi="Bookman Old Style" w:cs="Arial"/>
                <w:color w:val="000000"/>
                <w:sz w:val="18"/>
                <w:szCs w:val="18"/>
                <w:lang w:val="es-CO"/>
              </w:rPr>
              <w:t xml:space="preserve">, </w:t>
            </w:r>
            <w:r w:rsidRPr="00920585">
              <w:rPr>
                <w:rFonts w:ascii="Bookman Old Style" w:hAnsi="Bookman Old Style" w:cs="Arial"/>
                <w:b/>
                <w:bCs/>
                <w:color w:val="000000"/>
                <w:sz w:val="18"/>
                <w:szCs w:val="18"/>
                <w:lang w:val="es-CO"/>
              </w:rPr>
              <w:t>OCG, CFC, TOP</w:t>
            </w:r>
            <w:r w:rsidR="00920585" w:rsidRPr="00920585">
              <w:rPr>
                <w:rFonts w:ascii="Bookman Old Style" w:hAnsi="Bookman Old Style" w:cs="Arial"/>
                <w:b/>
                <w:bCs/>
                <w:color w:val="000000"/>
                <w:sz w:val="18"/>
                <w:szCs w:val="18"/>
                <w:lang w:val="es-CO"/>
              </w:rPr>
              <w:t xml:space="preserve"> y cualquier </w:t>
            </w:r>
            <w:r w:rsidR="00920585">
              <w:rPr>
                <w:rFonts w:ascii="Bookman Old Style" w:hAnsi="Bookman Old Style" w:cs="Arial"/>
                <w:b/>
                <w:bCs/>
                <w:color w:val="000000"/>
                <w:sz w:val="18"/>
                <w:szCs w:val="18"/>
                <w:lang w:val="es-CO"/>
              </w:rPr>
              <w:t xml:space="preserve">otra </w:t>
            </w:r>
            <w:r w:rsidR="00920585" w:rsidRPr="00920585">
              <w:rPr>
                <w:rFonts w:ascii="Bookman Old Style" w:hAnsi="Bookman Old Style" w:cs="Arial"/>
                <w:b/>
                <w:bCs/>
                <w:color w:val="000000"/>
                <w:sz w:val="18"/>
                <w:szCs w:val="18"/>
                <w:lang w:val="es-CO"/>
              </w:rPr>
              <w:t xml:space="preserve">modalidad </w:t>
            </w:r>
            <w:r w:rsidR="00920585">
              <w:rPr>
                <w:rFonts w:ascii="Bookman Old Style" w:hAnsi="Bookman Old Style" w:cs="Arial"/>
                <w:b/>
                <w:bCs/>
                <w:color w:val="000000"/>
                <w:sz w:val="20"/>
                <w:szCs w:val="20"/>
                <w:lang w:val="es-CO"/>
              </w:rPr>
              <w:t>de tipo firme o que garantiza firmeza</w:t>
            </w:r>
            <w:r w:rsidRPr="00920585">
              <w:rPr>
                <w:rFonts w:ascii="Bookman Old Style" w:eastAsia="Calibri" w:hAnsi="Bookman Old Style" w:cs="Arial"/>
                <w:color w:val="000000"/>
                <w:kern w:val="24"/>
                <w:sz w:val="18"/>
                <w:szCs w:val="18"/>
                <w:lang w:val="es-CO" w:eastAsia="es-MX"/>
              </w:rPr>
              <w:t>.</w:t>
            </w:r>
          </w:p>
          <w:p w14:paraId="379426A8" w14:textId="77777777" w:rsidR="0006302B" w:rsidRPr="00920585" w:rsidRDefault="0006302B" w:rsidP="00341DAD">
            <w:pPr>
              <w:ind w:left="0"/>
              <w:jc w:val="both"/>
              <w:rPr>
                <w:rFonts w:ascii="Bookman Old Style" w:hAnsi="Bookman Old Style" w:cs="Arial"/>
                <w:color w:val="000000"/>
                <w:sz w:val="18"/>
                <w:szCs w:val="18"/>
                <w:lang w:val="es-CO"/>
              </w:rPr>
            </w:pPr>
          </w:p>
          <w:p w14:paraId="499BD6BE"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color w:val="000000"/>
                <w:sz w:val="18"/>
                <w:szCs w:val="18"/>
                <w:lang w:val="es-CO"/>
              </w:rPr>
              <w:t>Este indicador debe calcularse de manera nacional (i.e. agregado) y por fuente y por productor,</w:t>
            </w:r>
            <w:r w:rsidRPr="00920585">
              <w:rPr>
                <w:rFonts w:ascii="Bookman Old Style" w:eastAsia="Calibri" w:hAnsi="Bookman Old Style" w:cs="Arial"/>
                <w:color w:val="000000"/>
                <w:kern w:val="24"/>
                <w:sz w:val="18"/>
                <w:szCs w:val="18"/>
                <w:lang w:val="es-CO" w:eastAsia="es-MX"/>
              </w:rPr>
              <w:t xml:space="preserve"> considerando</w:t>
            </w:r>
            <w:r w:rsidRPr="00920585">
              <w:rPr>
                <w:rFonts w:ascii="Bookman Old Style" w:hAnsi="Bookman Old Style" w:cs="Arial"/>
                <w:sz w:val="18"/>
                <w:szCs w:val="18"/>
                <w:lang w:val="es-CO" w:eastAsia="es-MX"/>
              </w:rPr>
              <w:t xml:space="preserve"> la </w:t>
            </w:r>
            <w:r w:rsidRPr="00920585">
              <w:rPr>
                <w:rFonts w:ascii="Bookman Old Style" w:eastAsia="Calibri" w:hAnsi="Bookman Old Style" w:cs="Arial"/>
                <w:b/>
                <w:color w:val="000000"/>
                <w:kern w:val="24"/>
                <w:sz w:val="18"/>
                <w:szCs w:val="18"/>
                <w:lang w:val="es-CO" w:eastAsia="es-MX"/>
              </w:rPr>
              <w:t>publicación por parte del MME de las declaraciones anuales de producción y de sus modificaciones.</w:t>
            </w:r>
          </w:p>
          <w:p w14:paraId="7A8A1D72" w14:textId="77777777" w:rsidR="0006302B" w:rsidRPr="00920585" w:rsidRDefault="0006302B" w:rsidP="00341DAD">
            <w:pPr>
              <w:ind w:left="0"/>
              <w:jc w:val="both"/>
              <w:rPr>
                <w:rFonts w:ascii="Bookman Old Style" w:hAnsi="Bookman Old Style" w:cs="Arial"/>
                <w:color w:val="000000"/>
                <w:sz w:val="18"/>
                <w:szCs w:val="18"/>
                <w:lang w:val="es-CO"/>
              </w:rPr>
            </w:pPr>
          </w:p>
          <w:p w14:paraId="1F98AA3C"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3EC7712D"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044D99BA"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todos los meses en donde haya oferta comprometida</w:t>
            </w:r>
            <w:r w:rsidRPr="00920585">
              <w:rPr>
                <w:rFonts w:ascii="Bookman Old Style" w:eastAsia="Calibri" w:hAnsi="Bookman Old Style" w:cs="Arial"/>
                <w:b/>
                <w:bCs/>
                <w:color w:val="000000"/>
                <w:kern w:val="24"/>
                <w:sz w:val="18"/>
                <w:szCs w:val="18"/>
                <w:lang w:val="es-CO" w:eastAsia="es-MX"/>
              </w:rPr>
              <w:t xml:space="preserve"> con garantía de firmeza</w:t>
            </w:r>
            <w:r w:rsidRPr="00920585">
              <w:rPr>
                <w:rFonts w:ascii="Bookman Old Style" w:eastAsia="Calibri" w:hAnsi="Bookman Old Style" w:cs="Arial"/>
                <w:color w:val="000000"/>
                <w:kern w:val="24"/>
                <w:sz w:val="18"/>
                <w:szCs w:val="18"/>
                <w:lang w:val="es-CO" w:eastAsia="es-MX"/>
              </w:rPr>
              <w:t>.</w:t>
            </w:r>
          </w:p>
        </w:tc>
        <w:tc>
          <w:tcPr>
            <w:tcW w:w="2268" w:type="dxa"/>
            <w:vAlign w:val="center"/>
          </w:tcPr>
          <w:p w14:paraId="300F27E6"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y por fuente para el público general y los indicadores por productor para la SSPD, SIC y CREG</w:t>
            </w:r>
          </w:p>
          <w:p w14:paraId="507A664A"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1AD6C94B" w14:textId="77777777" w:rsidTr="00996A90">
        <w:trPr>
          <w:trHeight w:val="584"/>
        </w:trPr>
        <w:tc>
          <w:tcPr>
            <w:tcW w:w="738" w:type="dxa"/>
            <w:vAlign w:val="center"/>
          </w:tcPr>
          <w:p w14:paraId="290DC36E"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MP6</w:t>
            </w:r>
          </w:p>
        </w:tc>
        <w:tc>
          <w:tcPr>
            <w:tcW w:w="2551" w:type="dxa"/>
            <w:vAlign w:val="center"/>
          </w:tcPr>
          <w:p w14:paraId="100F25C3" w14:textId="04633C22" w:rsidR="0006302B" w:rsidRPr="00920585" w:rsidDel="002575FB"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r>
                      <m:rPr>
                        <m:sty m:val="b"/>
                      </m:rPr>
                      <w:rPr>
                        <w:rFonts w:ascii="Cambria Math" w:hAnsi="Cambria Math" w:cs="Arial"/>
                        <w:sz w:val="18"/>
                        <w:szCs w:val="18"/>
                        <w:lang w:val="es-CO" w:eastAsia="es-MX"/>
                      </w:rPr>
                      <m:t>OCTGF productor S (Anexo 5)</m:t>
                    </m:r>
                  </m:num>
                  <m:den>
                    <m:r>
                      <m:rPr>
                        <m:sty m:val="b"/>
                      </m:rPr>
                      <w:rPr>
                        <w:rFonts w:ascii="Cambria Math" w:hAnsi="Cambria Math" w:cs="Arial"/>
                        <w:sz w:val="18"/>
                        <w:szCs w:val="18"/>
                        <w:lang w:val="es-CO" w:eastAsia="es-MX"/>
                      </w:rPr>
                      <m:t>OCTGF</m:t>
                    </m:r>
                  </m:den>
                </m:f>
              </m:oMath>
            </m:oMathPara>
          </w:p>
        </w:tc>
        <w:tc>
          <w:tcPr>
            <w:tcW w:w="3544" w:type="dxa"/>
            <w:vAlign w:val="center"/>
          </w:tcPr>
          <w:p w14:paraId="3028694E" w14:textId="7369ACFD" w:rsidR="0006302B" w:rsidRPr="00920585" w:rsidRDefault="0006302B" w:rsidP="00341DAD">
            <w:pPr>
              <w:ind w:left="0"/>
              <w:jc w:val="both"/>
              <w:rPr>
                <w:rFonts w:ascii="Bookman Old Style" w:eastAsia="Calibri" w:hAnsi="Bookman Old Style" w:cs="Arial"/>
                <w:b/>
                <w:bCs/>
                <w:color w:val="000000"/>
                <w:kern w:val="24"/>
                <w:sz w:val="18"/>
                <w:szCs w:val="18"/>
                <w:lang w:val="es-CO" w:eastAsia="es-MX"/>
              </w:rPr>
            </w:pPr>
            <w:r w:rsidRPr="00920585">
              <w:rPr>
                <w:rFonts w:ascii="Bookman Old Style" w:hAnsi="Bookman Old Style" w:cs="Arial"/>
                <w:b/>
                <w:bCs/>
                <w:color w:val="000000"/>
                <w:sz w:val="18"/>
                <w:szCs w:val="18"/>
                <w:lang w:val="es-CO"/>
              </w:rPr>
              <w:t xml:space="preserve">Calcular toda la oferta comprometida vigente total nacional en contratos firmes, CF95, CF80, OCG, CFC, TOP, y cualquier </w:t>
            </w:r>
            <w:r w:rsidR="00920585">
              <w:rPr>
                <w:rFonts w:ascii="Bookman Old Style" w:hAnsi="Bookman Old Style" w:cs="Arial"/>
                <w:b/>
                <w:bCs/>
                <w:color w:val="000000"/>
                <w:sz w:val="18"/>
                <w:szCs w:val="18"/>
                <w:lang w:val="es-CO"/>
              </w:rPr>
              <w:t xml:space="preserve">otra </w:t>
            </w:r>
            <w:r w:rsidRPr="00920585">
              <w:rPr>
                <w:rFonts w:ascii="Bookman Old Style" w:hAnsi="Bookman Old Style" w:cs="Arial"/>
                <w:b/>
                <w:bCs/>
                <w:color w:val="000000"/>
                <w:sz w:val="18"/>
                <w:szCs w:val="18"/>
                <w:lang w:val="es-CO"/>
              </w:rPr>
              <w:t xml:space="preserve">modalidad </w:t>
            </w:r>
            <w:r w:rsidR="00920585">
              <w:rPr>
                <w:rFonts w:ascii="Bookman Old Style" w:hAnsi="Bookman Old Style" w:cs="Arial"/>
                <w:b/>
                <w:bCs/>
                <w:color w:val="000000"/>
                <w:sz w:val="18"/>
                <w:szCs w:val="18"/>
                <w:lang w:val="es-CO"/>
              </w:rPr>
              <w:t>de tipo firme o que garantiza firmeza</w:t>
            </w:r>
            <w:r w:rsidRPr="00920585">
              <w:rPr>
                <w:rFonts w:ascii="Bookman Old Style" w:hAnsi="Bookman Old Style" w:cs="Arial"/>
                <w:b/>
                <w:bCs/>
                <w:color w:val="000000"/>
                <w:sz w:val="18"/>
                <w:szCs w:val="18"/>
                <w:lang w:val="es-CO"/>
              </w:rPr>
              <w:t xml:space="preserve"> del productor-comercializador S respecto del total </w:t>
            </w:r>
            <w:r w:rsidRPr="00920585">
              <w:rPr>
                <w:rFonts w:ascii="Bookman Old Style" w:hAnsi="Bookman Old Style" w:cs="Arial"/>
                <w:b/>
                <w:bCs/>
                <w:color w:val="000000"/>
                <w:sz w:val="18"/>
                <w:szCs w:val="18"/>
                <w:lang w:val="es-CO"/>
              </w:rPr>
              <w:lastRenderedPageBreak/>
              <w:t>nacional de todos los productores-comercializadores</w:t>
            </w:r>
            <w:r w:rsidRPr="00920585">
              <w:rPr>
                <w:rFonts w:ascii="Bookman Old Style" w:eastAsia="Calibri" w:hAnsi="Bookman Old Style" w:cs="Arial"/>
                <w:b/>
                <w:bCs/>
                <w:color w:val="000000"/>
                <w:kern w:val="24"/>
                <w:sz w:val="18"/>
                <w:szCs w:val="18"/>
                <w:lang w:val="es-CO" w:eastAsia="es-MX"/>
              </w:rPr>
              <w:t>.</w:t>
            </w:r>
          </w:p>
          <w:p w14:paraId="195CA968" w14:textId="77777777" w:rsidR="0006302B" w:rsidRPr="00920585" w:rsidRDefault="0006302B" w:rsidP="00341DAD">
            <w:pPr>
              <w:ind w:left="0"/>
              <w:jc w:val="both"/>
              <w:rPr>
                <w:rFonts w:ascii="Bookman Old Style" w:hAnsi="Bookman Old Style" w:cs="Arial"/>
                <w:b/>
                <w:bCs/>
                <w:color w:val="000000"/>
                <w:sz w:val="18"/>
                <w:szCs w:val="18"/>
                <w:lang w:val="es-CO"/>
              </w:rPr>
            </w:pPr>
          </w:p>
          <w:p w14:paraId="12DBCCFB" w14:textId="77777777" w:rsidR="0006302B" w:rsidRPr="00920585" w:rsidRDefault="0006302B" w:rsidP="00341DAD">
            <w:pPr>
              <w:ind w:left="0"/>
              <w:jc w:val="both"/>
              <w:rPr>
                <w:rFonts w:ascii="Bookman Old Style" w:hAnsi="Bookman Old Style" w:cs="Arial"/>
                <w:b/>
                <w:bCs/>
                <w:sz w:val="18"/>
                <w:szCs w:val="18"/>
                <w:lang w:val="es-CO" w:eastAsia="es-MX"/>
              </w:rPr>
            </w:pPr>
            <w:r w:rsidRPr="00920585">
              <w:rPr>
                <w:rFonts w:ascii="Bookman Old Style" w:hAnsi="Bookman Old Style" w:cs="Arial"/>
                <w:b/>
                <w:bCs/>
                <w:color w:val="000000"/>
                <w:sz w:val="18"/>
                <w:szCs w:val="18"/>
                <w:lang w:val="es-CO"/>
              </w:rPr>
              <w:t>Este indicador debe calcularse de manera nacional por productor.</w:t>
            </w:r>
          </w:p>
          <w:p w14:paraId="155376A1" w14:textId="77777777" w:rsidR="0006302B" w:rsidRPr="00920585" w:rsidRDefault="0006302B" w:rsidP="00341DAD">
            <w:pPr>
              <w:ind w:left="0"/>
              <w:jc w:val="both"/>
              <w:rPr>
                <w:rFonts w:ascii="Bookman Old Style" w:hAnsi="Bookman Old Style" w:cs="Arial"/>
                <w:b/>
                <w:bCs/>
                <w:color w:val="000000"/>
                <w:sz w:val="18"/>
                <w:szCs w:val="18"/>
                <w:lang w:val="es-CO"/>
              </w:rPr>
            </w:pPr>
          </w:p>
          <w:p w14:paraId="3DFAAFDE" w14:textId="77777777" w:rsidR="0006302B" w:rsidRPr="00920585" w:rsidRDefault="0006302B" w:rsidP="00341DAD">
            <w:pPr>
              <w:ind w:left="0"/>
              <w:jc w:val="both"/>
              <w:rPr>
                <w:rFonts w:ascii="Bookman Old Style" w:eastAsia="Calibri" w:hAnsi="Bookman Old Style" w:cs="Arial"/>
                <w:b/>
                <w:bCs/>
                <w:color w:val="000000"/>
                <w:kern w:val="24"/>
                <w:sz w:val="18"/>
                <w:szCs w:val="18"/>
                <w:lang w:val="es-CO" w:eastAsia="es-MX"/>
              </w:rPr>
            </w:pPr>
            <w:r w:rsidRPr="00920585">
              <w:rPr>
                <w:rFonts w:ascii="Bookman Old Style" w:eastAsia="Calibri" w:hAnsi="Bookman Old Style" w:cs="Arial"/>
                <w:b/>
                <w:bCs/>
                <w:color w:val="000000"/>
                <w:kern w:val="24"/>
                <w:sz w:val="18"/>
                <w:szCs w:val="18"/>
                <w:lang w:val="es-CO" w:eastAsia="es-MX"/>
              </w:rPr>
              <w:t>Periodicidad de cálculo y de publicación: mensual dentro de los primeros tres (03) días hábiles del mes, con la información más reciente al momento de la publicación.</w:t>
            </w:r>
          </w:p>
          <w:p w14:paraId="5539A606" w14:textId="77777777" w:rsidR="0006302B" w:rsidRPr="00920585" w:rsidRDefault="0006302B" w:rsidP="00341DAD">
            <w:pPr>
              <w:jc w:val="both"/>
              <w:rPr>
                <w:rFonts w:ascii="Bookman Old Style" w:eastAsia="Calibri" w:hAnsi="Bookman Old Style" w:cs="Arial"/>
                <w:b/>
                <w:bCs/>
                <w:color w:val="000000"/>
                <w:kern w:val="24"/>
                <w:sz w:val="18"/>
                <w:szCs w:val="18"/>
                <w:lang w:val="es-CO" w:eastAsia="es-MX"/>
              </w:rPr>
            </w:pPr>
          </w:p>
          <w:p w14:paraId="1FA30DDF" w14:textId="77777777" w:rsidR="0006302B" w:rsidRPr="00920585" w:rsidDel="00122D41" w:rsidRDefault="0006302B" w:rsidP="00341DAD">
            <w:pPr>
              <w:ind w:left="0"/>
              <w:jc w:val="both"/>
              <w:rPr>
                <w:rFonts w:ascii="Bookman Old Style" w:hAnsi="Bookman Old Style" w:cs="Arial"/>
                <w:b/>
                <w:bCs/>
                <w:color w:val="000000"/>
                <w:sz w:val="18"/>
                <w:szCs w:val="18"/>
                <w:lang w:val="es-CO"/>
              </w:rPr>
            </w:pPr>
            <w:r w:rsidRPr="00920585">
              <w:rPr>
                <w:rFonts w:ascii="Bookman Old Style" w:eastAsia="Calibri" w:hAnsi="Bookman Old Style" w:cs="Arial"/>
                <w:b/>
                <w:bCs/>
                <w:color w:val="000000"/>
                <w:kern w:val="24"/>
                <w:sz w:val="18"/>
                <w:szCs w:val="18"/>
                <w:lang w:val="es-CO" w:eastAsia="es-MX"/>
              </w:rPr>
              <w:t>Horizonte de cálculo: para todos los meses en donde haya oferta comprometida con garantía de firmeza.</w:t>
            </w:r>
          </w:p>
        </w:tc>
        <w:tc>
          <w:tcPr>
            <w:tcW w:w="2268" w:type="dxa"/>
            <w:vAlign w:val="center"/>
          </w:tcPr>
          <w:p w14:paraId="4D57E7BF"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lastRenderedPageBreak/>
              <w:t>Los indicadores por productor para la SSPD, SIC y CREG</w:t>
            </w:r>
          </w:p>
          <w:p w14:paraId="40626C05"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01D7DE41" w14:textId="77777777" w:rsidTr="00996A90">
        <w:trPr>
          <w:trHeight w:val="584"/>
        </w:trPr>
        <w:tc>
          <w:tcPr>
            <w:tcW w:w="738" w:type="dxa"/>
            <w:vAlign w:val="center"/>
          </w:tcPr>
          <w:p w14:paraId="3CF5150B"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MP7</w:t>
            </w:r>
          </w:p>
        </w:tc>
        <w:tc>
          <w:tcPr>
            <w:tcW w:w="2551" w:type="dxa"/>
            <w:vAlign w:val="center"/>
          </w:tcPr>
          <w:p w14:paraId="7F5A1BB6" w14:textId="77777777" w:rsidR="005D52CC" w:rsidRPr="00CA02C6" w:rsidRDefault="0006302B" w:rsidP="00341DAD">
            <w:pPr>
              <w:ind w:left="0"/>
              <w:rPr>
                <w:rFonts w:ascii="Bookman Old Style" w:hAnsi="Bookman Old Style" w:cs="Arial"/>
                <w:b/>
                <w:sz w:val="18"/>
                <w:szCs w:val="18"/>
                <w:lang w:val="es-CO" w:eastAsia="es-MX"/>
              </w:rPr>
            </w:pPr>
            <m:oMathPara>
              <m:oMath>
                <m:r>
                  <m:rPr>
                    <m:sty m:val="b"/>
                  </m:rPr>
                  <w:rPr>
                    <w:rFonts w:ascii="Cambria Math" w:hAnsi="Cambria Math" w:cs="Arial"/>
                    <w:sz w:val="18"/>
                    <w:szCs w:val="18"/>
                    <w:lang w:val="es-CO" w:eastAsia="es-MX"/>
                  </w:rPr>
                  <m:t>Dda regulada con garantía</m:t>
                </m:r>
              </m:oMath>
            </m:oMathPara>
          </w:p>
          <w:p w14:paraId="213515D3" w14:textId="32B25B02" w:rsidR="0006302B" w:rsidRPr="00920585" w:rsidRDefault="0006302B" w:rsidP="00341DAD">
            <w:pPr>
              <w:ind w:left="0"/>
              <w:rPr>
                <w:rFonts w:ascii="Bookman Old Style" w:hAnsi="Bookman Old Style" w:cs="Arial"/>
                <w:sz w:val="18"/>
                <w:szCs w:val="18"/>
                <w:lang w:val="es-CO" w:eastAsia="es-MX"/>
              </w:rPr>
            </w:pPr>
            <m:oMathPara>
              <m:oMath>
                <m:r>
                  <m:rPr>
                    <m:sty m:val="b"/>
                  </m:rPr>
                  <w:rPr>
                    <w:rFonts w:ascii="Cambria Math" w:hAnsi="Cambria Math" w:cs="Arial"/>
                    <w:sz w:val="18"/>
                    <w:szCs w:val="18"/>
                    <w:lang w:val="es-CO" w:eastAsia="es-MX"/>
                  </w:rPr>
                  <m:t xml:space="preserve"> de</m:t>
                </m:r>
                <m:r>
                  <m:rPr>
                    <m:sty m:val="p"/>
                  </m:rPr>
                  <w:rPr>
                    <w:rFonts w:ascii="Cambria Math" w:hAnsi="Cambria Math" w:cs="Arial"/>
                    <w:sz w:val="18"/>
                    <w:szCs w:val="18"/>
                    <w:lang w:val="es-CO" w:eastAsia="es-MX"/>
                  </w:rPr>
                  <m:t xml:space="preserve"> </m:t>
                </m:r>
                <m:r>
                  <m:rPr>
                    <m:sty m:val="b"/>
                  </m:rPr>
                  <w:rPr>
                    <w:rFonts w:ascii="Cambria Math" w:hAnsi="Cambria Math" w:cs="Arial"/>
                    <w:sz w:val="18"/>
                    <w:szCs w:val="18"/>
                    <w:lang w:val="es-CO" w:eastAsia="es-MX"/>
                  </w:rPr>
                  <m:t>firmeza</m:t>
                </m:r>
              </m:oMath>
            </m:oMathPara>
          </w:p>
        </w:tc>
        <w:tc>
          <w:tcPr>
            <w:tcW w:w="3544" w:type="dxa"/>
            <w:vAlign w:val="center"/>
          </w:tcPr>
          <w:p w14:paraId="0C92F66E" w14:textId="77777777" w:rsidR="0006302B" w:rsidRPr="00920585" w:rsidRDefault="0006302B" w:rsidP="00341DAD">
            <w:pPr>
              <w:ind w:left="0"/>
              <w:jc w:val="both"/>
              <w:rPr>
                <w:rFonts w:ascii="Bookman Old Style" w:hAnsi="Bookman Old Style" w:cs="Arial"/>
                <w:color w:val="000000"/>
                <w:sz w:val="18"/>
                <w:szCs w:val="18"/>
                <w:lang w:val="es-CO"/>
              </w:rPr>
            </w:pPr>
          </w:p>
          <w:p w14:paraId="7D0484F7"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color w:val="000000"/>
                <w:sz w:val="18"/>
                <w:szCs w:val="18"/>
                <w:lang w:val="es-CO"/>
              </w:rPr>
              <w:t xml:space="preserve">Este indicador debe calcularse de manera nacional en </w:t>
            </w:r>
            <w:r w:rsidRPr="00920585">
              <w:rPr>
                <w:rFonts w:ascii="Bookman Old Style" w:hAnsi="Bookman Old Style" w:cs="Arial"/>
                <w:b/>
                <w:bCs/>
                <w:color w:val="000000"/>
                <w:sz w:val="18"/>
                <w:szCs w:val="18"/>
                <w:lang w:val="es-CO"/>
              </w:rPr>
              <w:t>MBTUD</w:t>
            </w:r>
            <w:r w:rsidRPr="00920585">
              <w:rPr>
                <w:rFonts w:ascii="Bookman Old Style" w:hAnsi="Bookman Old Style" w:cs="Arial"/>
                <w:color w:val="000000"/>
                <w:sz w:val="18"/>
                <w:szCs w:val="18"/>
                <w:lang w:val="es-CO"/>
              </w:rPr>
              <w:t xml:space="preserve"> (i.e. todos los comercializadores con demanda regulada) y </w:t>
            </w:r>
            <w:r w:rsidRPr="00920585">
              <w:rPr>
                <w:rFonts w:ascii="Bookman Old Style" w:hAnsi="Bookman Old Style" w:cs="Arial"/>
                <w:sz w:val="18"/>
                <w:szCs w:val="18"/>
                <w:lang w:val="es-CO" w:eastAsia="es-MX"/>
              </w:rPr>
              <w:t xml:space="preserve">para cada comercializador </w:t>
            </w:r>
            <w:r w:rsidRPr="00920585">
              <w:rPr>
                <w:rFonts w:ascii="Bookman Old Style" w:hAnsi="Bookman Old Style" w:cs="Arial"/>
                <w:b/>
                <w:bCs/>
                <w:sz w:val="18"/>
                <w:szCs w:val="18"/>
                <w:lang w:val="es-CO" w:eastAsia="es-MX"/>
              </w:rPr>
              <w:t>que atiende</w:t>
            </w:r>
            <w:r w:rsidRPr="00920585">
              <w:rPr>
                <w:rFonts w:ascii="Bookman Old Style" w:hAnsi="Bookman Old Style" w:cs="Arial"/>
                <w:sz w:val="18"/>
                <w:szCs w:val="18"/>
                <w:lang w:val="es-CO" w:eastAsia="es-MX"/>
              </w:rPr>
              <w:t xml:space="preserve"> demanda regulada.</w:t>
            </w:r>
          </w:p>
          <w:p w14:paraId="316E01F9" w14:textId="77777777" w:rsidR="0006302B" w:rsidRPr="00920585" w:rsidRDefault="0006302B" w:rsidP="00341DAD">
            <w:pPr>
              <w:ind w:left="0"/>
              <w:jc w:val="both"/>
              <w:rPr>
                <w:rFonts w:ascii="Bookman Old Style" w:hAnsi="Bookman Old Style" w:cs="Arial"/>
                <w:color w:val="000000"/>
                <w:sz w:val="18"/>
                <w:szCs w:val="18"/>
                <w:lang w:val="es-CO"/>
              </w:rPr>
            </w:pPr>
          </w:p>
          <w:p w14:paraId="644E8C3D"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p>
          <w:p w14:paraId="3466F7BF" w14:textId="77777777" w:rsidR="0006302B" w:rsidRPr="00920585" w:rsidRDefault="0006302B" w:rsidP="00341DAD">
            <w:pPr>
              <w:ind w:left="0"/>
              <w:rPr>
                <w:rFonts w:ascii="Bookman Old Style" w:eastAsia="Calibri" w:hAnsi="Bookman Old Style" w:cs="Arial"/>
                <w:color w:val="000000"/>
                <w:kern w:val="24"/>
                <w:sz w:val="18"/>
                <w:szCs w:val="18"/>
                <w:lang w:val="es-CO" w:eastAsia="es-MX"/>
              </w:rPr>
            </w:pPr>
          </w:p>
          <w:p w14:paraId="6D3B3054"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 xml:space="preserve">para cada uno de los siguientes </w:t>
            </w:r>
            <w:r w:rsidRPr="00920585">
              <w:rPr>
                <w:rFonts w:ascii="Bookman Old Style" w:eastAsia="Calibri" w:hAnsi="Bookman Old Style" w:cs="Arial"/>
                <w:b/>
                <w:bCs/>
                <w:color w:val="000000"/>
                <w:kern w:val="24"/>
                <w:sz w:val="18"/>
                <w:szCs w:val="18"/>
                <w:lang w:val="es-CO" w:eastAsia="es-MX"/>
              </w:rPr>
              <w:t>60 meses al mes de publicación</w:t>
            </w:r>
            <w:r w:rsidRPr="00920585">
              <w:rPr>
                <w:rFonts w:ascii="Bookman Old Style" w:eastAsia="Calibri" w:hAnsi="Bookman Old Style" w:cs="Arial"/>
                <w:color w:val="000000"/>
                <w:kern w:val="24"/>
                <w:sz w:val="18"/>
                <w:szCs w:val="18"/>
                <w:lang w:val="es-CO" w:eastAsia="es-MX"/>
              </w:rPr>
              <w:t>.</w:t>
            </w:r>
          </w:p>
        </w:tc>
        <w:tc>
          <w:tcPr>
            <w:tcW w:w="2268" w:type="dxa"/>
            <w:vAlign w:val="center"/>
          </w:tcPr>
          <w:p w14:paraId="12B9ED78"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para el público general y los indicadores por comercializador para la SSPD, SIC y CREG</w:t>
            </w:r>
          </w:p>
        </w:tc>
      </w:tr>
      <w:tr w:rsidR="0006302B" w:rsidRPr="0013707D" w14:paraId="68151663" w14:textId="77777777" w:rsidTr="00996A90">
        <w:trPr>
          <w:trHeight w:val="584"/>
        </w:trPr>
        <w:tc>
          <w:tcPr>
            <w:tcW w:w="738" w:type="dxa"/>
            <w:vAlign w:val="center"/>
          </w:tcPr>
          <w:p w14:paraId="517605EE"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MP8</w:t>
            </w:r>
          </w:p>
        </w:tc>
        <w:tc>
          <w:tcPr>
            <w:tcW w:w="2551" w:type="dxa"/>
            <w:vAlign w:val="center"/>
          </w:tcPr>
          <w:p w14:paraId="37CE5CA5" w14:textId="57BD24E2" w:rsidR="0006302B" w:rsidRPr="00920585" w:rsidRDefault="00FB7B28" w:rsidP="00CA02C6">
            <w:pPr>
              <w:ind w:left="361" w:right="-534"/>
              <w:rPr>
                <w:rFonts w:ascii="Bookman Old Style" w:hAnsi="Bookman Old Style" w:cs="Arial"/>
                <w:b/>
                <w:bCs/>
                <w:sz w:val="18"/>
                <w:szCs w:val="18"/>
                <w:lang w:val="es-CO" w:eastAsia="es-MX"/>
              </w:rPr>
            </w:pPr>
            <m:oMathPara>
              <m:oMathParaPr>
                <m:jc m:val="left"/>
              </m:oMathParaPr>
              <m:oMath>
                <m:f>
                  <m:fPr>
                    <m:ctrlPr>
                      <w:rPr>
                        <w:rFonts w:ascii="Cambria Math" w:hAnsi="Cambria Math" w:cs="Arial"/>
                        <w:b/>
                        <w:bCs/>
                        <w:sz w:val="18"/>
                        <w:szCs w:val="18"/>
                        <w:lang w:val="es-CO" w:eastAsia="es-MX"/>
                      </w:rPr>
                    </m:ctrlPr>
                  </m:fPr>
                  <m:num>
                    <m:eqArr>
                      <m:eqArrPr>
                        <m:ctrlPr>
                          <w:rPr>
                            <w:rFonts w:ascii="Cambria Math" w:hAnsi="Cambria Math" w:cs="Arial"/>
                            <w:b/>
                            <w:sz w:val="18"/>
                            <w:szCs w:val="18"/>
                            <w:lang w:val="es-CO" w:eastAsia="es-MX"/>
                          </w:rPr>
                        </m:ctrlPr>
                      </m:eqArrPr>
                      <m:e>
                        <m:r>
                          <m:rPr>
                            <m:sty m:val="b"/>
                          </m:rPr>
                          <w:rPr>
                            <w:rFonts w:ascii="Cambria Math" w:hAnsi="Cambria Math" w:cs="Arial"/>
                            <w:sz w:val="18"/>
                            <w:szCs w:val="18"/>
                            <w:lang w:val="es-CO" w:eastAsia="es-MX"/>
                          </w:rPr>
                          <m:t xml:space="preserve">Dda regulada con </m:t>
                        </m:r>
                      </m:e>
                      <m:e>
                        <m:r>
                          <m:rPr>
                            <m:sty m:val="b"/>
                          </m:rPr>
                          <w:rPr>
                            <w:rFonts w:ascii="Cambria Math" w:hAnsi="Cambria Math" w:cs="Arial"/>
                            <w:sz w:val="18"/>
                            <w:szCs w:val="18"/>
                            <w:lang w:val="es-CO" w:eastAsia="es-MX"/>
                          </w:rPr>
                          <m:t>garantía</m:t>
                        </m:r>
                        <m:ctrlPr>
                          <w:rPr>
                            <w:rFonts w:ascii="Cambria Math" w:eastAsia="Cambria Math" w:hAnsi="Cambria Math" w:cs="Cambria Math"/>
                            <w:b/>
                            <w:sz w:val="18"/>
                            <w:szCs w:val="18"/>
                            <w:lang w:eastAsia="es-MX"/>
                          </w:rPr>
                        </m:ctrlPr>
                      </m:e>
                      <m:e>
                        <m:r>
                          <m:rPr>
                            <m:sty m:val="b"/>
                          </m:rPr>
                          <w:rPr>
                            <w:rFonts w:ascii="Cambria Math" w:hAnsi="Cambria Math" w:cs="Arial"/>
                            <w:sz w:val="18"/>
                            <w:szCs w:val="18"/>
                            <w:lang w:val="es-CO" w:eastAsia="es-MX"/>
                          </w:rPr>
                          <m:t>de</m:t>
                        </m:r>
                        <m:r>
                          <m:rPr>
                            <m:sty m:val="p"/>
                          </m:rPr>
                          <w:rPr>
                            <w:rFonts w:ascii="Cambria Math" w:hAnsi="Cambria Math" w:cs="Arial"/>
                            <w:sz w:val="18"/>
                            <w:szCs w:val="18"/>
                            <w:lang w:val="es-CO" w:eastAsia="es-MX"/>
                          </w:rPr>
                          <m:t xml:space="preserve"> </m:t>
                        </m:r>
                        <m:r>
                          <m:rPr>
                            <m:sty m:val="b"/>
                          </m:rPr>
                          <w:rPr>
                            <w:rFonts w:ascii="Cambria Math" w:hAnsi="Cambria Math" w:cs="Arial"/>
                            <w:sz w:val="18"/>
                            <w:szCs w:val="18"/>
                            <w:lang w:val="es-CO" w:eastAsia="es-MX"/>
                          </w:rPr>
                          <m:t>firmeza S</m:t>
                        </m:r>
                        <m:ctrlPr>
                          <w:rPr>
                            <w:rFonts w:ascii="Cambria Math" w:eastAsia="Cambria Math" w:hAnsi="Cambria Math" w:cs="Cambria Math"/>
                            <w:b/>
                            <w:sz w:val="18"/>
                            <w:szCs w:val="18"/>
                            <w:lang w:eastAsia="es-MX"/>
                          </w:rPr>
                        </m:ctrlPr>
                      </m:e>
                      <m:e/>
                    </m:eqArr>
                  </m:num>
                  <m:den>
                    <m:eqArr>
                      <m:eqArrPr>
                        <m:ctrlPr>
                          <w:rPr>
                            <w:rFonts w:ascii="Cambria Math" w:hAnsi="Cambria Math" w:cs="Arial"/>
                            <w:b/>
                            <w:sz w:val="18"/>
                            <w:szCs w:val="18"/>
                            <w:lang w:val="es-CO" w:eastAsia="es-MX"/>
                          </w:rPr>
                        </m:ctrlPr>
                      </m:eqArrPr>
                      <m:e/>
                      <m:e>
                        <m:r>
                          <m:rPr>
                            <m:sty m:val="b"/>
                          </m:rPr>
                          <w:rPr>
                            <w:rFonts w:ascii="Cambria Math" w:hAnsi="Cambria Math" w:cs="Arial"/>
                            <w:sz w:val="18"/>
                            <w:szCs w:val="18"/>
                            <w:lang w:val="es-CO" w:eastAsia="es-MX"/>
                          </w:rPr>
                          <m:t xml:space="preserve">Dda regulada con </m:t>
                        </m:r>
                        <m:ctrlPr>
                          <w:rPr>
                            <w:rFonts w:ascii="Cambria Math" w:eastAsia="Cambria Math" w:hAnsi="Cambria Math" w:cs="Cambria Math"/>
                            <w:b/>
                            <w:sz w:val="18"/>
                            <w:szCs w:val="18"/>
                            <w:lang w:eastAsia="es-MX"/>
                          </w:rPr>
                        </m:ctrlPr>
                      </m:e>
                      <m:e>
                        <m:r>
                          <m:rPr>
                            <m:sty m:val="b"/>
                          </m:rPr>
                          <w:rPr>
                            <w:rFonts w:ascii="Cambria Math" w:hAnsi="Cambria Math" w:cs="Arial"/>
                            <w:sz w:val="18"/>
                            <w:szCs w:val="18"/>
                            <w:lang w:val="es-CO" w:eastAsia="es-MX"/>
                          </w:rPr>
                          <m:t>garantía de</m:t>
                        </m:r>
                        <m:r>
                          <m:rPr>
                            <m:sty m:val="p"/>
                          </m:rPr>
                          <w:rPr>
                            <w:rFonts w:ascii="Cambria Math" w:hAnsi="Cambria Math" w:cs="Arial"/>
                            <w:sz w:val="18"/>
                            <w:szCs w:val="18"/>
                            <w:lang w:val="es-CO" w:eastAsia="es-MX"/>
                          </w:rPr>
                          <m:t xml:space="preserve"> </m:t>
                        </m:r>
                        <m:r>
                          <m:rPr>
                            <m:sty m:val="b"/>
                          </m:rPr>
                          <w:rPr>
                            <w:rFonts w:ascii="Cambria Math" w:hAnsi="Cambria Math" w:cs="Arial"/>
                            <w:sz w:val="18"/>
                            <w:szCs w:val="18"/>
                            <w:lang w:val="es-CO" w:eastAsia="es-MX"/>
                          </w:rPr>
                          <m:t>firmeza</m:t>
                        </m:r>
                      </m:e>
                    </m:eqArr>
                  </m:den>
                </m:f>
              </m:oMath>
            </m:oMathPara>
          </w:p>
        </w:tc>
        <w:tc>
          <w:tcPr>
            <w:tcW w:w="3544" w:type="dxa"/>
            <w:vAlign w:val="center"/>
          </w:tcPr>
          <w:p w14:paraId="02C506FA" w14:textId="77777777" w:rsidR="0006302B" w:rsidRPr="00920585" w:rsidRDefault="0006302B" w:rsidP="00341DAD">
            <w:pPr>
              <w:ind w:left="0"/>
              <w:jc w:val="both"/>
              <w:rPr>
                <w:rFonts w:ascii="Bookman Old Style" w:eastAsia="Calibri" w:hAnsi="Bookman Old Style" w:cs="Arial"/>
                <w:b/>
                <w:bCs/>
                <w:color w:val="000000"/>
                <w:kern w:val="24"/>
                <w:sz w:val="18"/>
                <w:szCs w:val="18"/>
                <w:lang w:val="es-CO" w:eastAsia="es-MX"/>
              </w:rPr>
            </w:pPr>
            <w:r w:rsidRPr="00920585">
              <w:rPr>
                <w:rFonts w:ascii="Bookman Old Style" w:hAnsi="Bookman Old Style" w:cs="Arial"/>
                <w:b/>
                <w:bCs/>
                <w:color w:val="000000"/>
                <w:sz w:val="18"/>
                <w:szCs w:val="18"/>
                <w:lang w:val="es-CO"/>
              </w:rPr>
              <w:t>Calcular toda la oferta comprometida vigente total nacional en contratos firmes, CF95, CF80, OCG, CFC, TOP, y cualquier modalidad en las cantidades con garantía de firmeza del comercializador S respecto del total nacional de todos los comercializadores</w:t>
            </w:r>
            <w:r w:rsidRPr="00920585">
              <w:rPr>
                <w:rFonts w:ascii="Bookman Old Style" w:eastAsia="Calibri" w:hAnsi="Bookman Old Style" w:cs="Arial"/>
                <w:b/>
                <w:bCs/>
                <w:color w:val="000000"/>
                <w:kern w:val="24"/>
                <w:sz w:val="18"/>
                <w:szCs w:val="18"/>
                <w:lang w:val="es-CO" w:eastAsia="es-MX"/>
              </w:rPr>
              <w:t>.</w:t>
            </w:r>
          </w:p>
          <w:p w14:paraId="5BA960E9" w14:textId="77777777" w:rsidR="0006302B" w:rsidRPr="00920585" w:rsidRDefault="0006302B" w:rsidP="00341DAD">
            <w:pPr>
              <w:ind w:left="0"/>
              <w:jc w:val="both"/>
              <w:rPr>
                <w:rFonts w:ascii="Bookman Old Style" w:hAnsi="Bookman Old Style" w:cs="Arial"/>
                <w:b/>
                <w:bCs/>
                <w:color w:val="000000"/>
                <w:sz w:val="18"/>
                <w:szCs w:val="18"/>
                <w:lang w:val="es-CO"/>
              </w:rPr>
            </w:pPr>
          </w:p>
          <w:p w14:paraId="0BF7BE6A" w14:textId="77777777" w:rsidR="0006302B" w:rsidRPr="00920585" w:rsidRDefault="0006302B" w:rsidP="00341DAD">
            <w:pPr>
              <w:ind w:left="0"/>
              <w:jc w:val="both"/>
              <w:rPr>
                <w:rFonts w:ascii="Bookman Old Style" w:hAnsi="Bookman Old Style" w:cs="Arial"/>
                <w:b/>
                <w:bCs/>
                <w:sz w:val="18"/>
                <w:szCs w:val="18"/>
                <w:lang w:val="es-CO" w:eastAsia="es-MX"/>
              </w:rPr>
            </w:pPr>
            <w:r w:rsidRPr="00920585">
              <w:rPr>
                <w:rFonts w:ascii="Bookman Old Style" w:hAnsi="Bookman Old Style" w:cs="Arial"/>
                <w:b/>
                <w:bCs/>
                <w:color w:val="000000"/>
                <w:sz w:val="18"/>
                <w:szCs w:val="18"/>
                <w:lang w:val="es-CO"/>
              </w:rPr>
              <w:t>Este indicador debe calcularse de manera nacional por comercializador.</w:t>
            </w:r>
          </w:p>
          <w:p w14:paraId="3A50A4FA" w14:textId="77777777" w:rsidR="0006302B" w:rsidRPr="00920585" w:rsidRDefault="0006302B" w:rsidP="00341DAD">
            <w:pPr>
              <w:ind w:left="0"/>
              <w:jc w:val="both"/>
              <w:rPr>
                <w:rFonts w:ascii="Bookman Old Style" w:hAnsi="Bookman Old Style" w:cs="Arial"/>
                <w:b/>
                <w:bCs/>
                <w:color w:val="000000"/>
                <w:sz w:val="18"/>
                <w:szCs w:val="18"/>
                <w:lang w:val="es-CO"/>
              </w:rPr>
            </w:pPr>
          </w:p>
          <w:p w14:paraId="42D5D4B3" w14:textId="77777777" w:rsidR="0006302B" w:rsidRPr="00920585" w:rsidRDefault="0006302B" w:rsidP="00341DAD">
            <w:pPr>
              <w:ind w:left="0"/>
              <w:jc w:val="both"/>
              <w:rPr>
                <w:rFonts w:ascii="Bookman Old Style" w:eastAsia="Calibri" w:hAnsi="Bookman Old Style" w:cs="Arial"/>
                <w:b/>
                <w:bCs/>
                <w:color w:val="000000"/>
                <w:kern w:val="24"/>
                <w:sz w:val="18"/>
                <w:szCs w:val="18"/>
                <w:lang w:val="es-CO" w:eastAsia="es-MX"/>
              </w:rPr>
            </w:pPr>
            <w:r w:rsidRPr="00920585">
              <w:rPr>
                <w:rFonts w:ascii="Bookman Old Style" w:eastAsia="Calibri" w:hAnsi="Bookman Old Style" w:cs="Arial"/>
                <w:b/>
                <w:bCs/>
                <w:color w:val="000000"/>
                <w:kern w:val="24"/>
                <w:sz w:val="18"/>
                <w:szCs w:val="18"/>
                <w:lang w:val="es-CO" w:eastAsia="es-MX"/>
              </w:rPr>
              <w:t>Periodicidad de cálculo y de publicación: mensual dentro de los primeros tres (03) días hábiles del mes, con la información más reciente al momento de la publicación.</w:t>
            </w:r>
          </w:p>
          <w:p w14:paraId="204DB49D" w14:textId="77777777" w:rsidR="0006302B" w:rsidRPr="00920585" w:rsidRDefault="0006302B" w:rsidP="00341DAD">
            <w:pPr>
              <w:jc w:val="both"/>
              <w:rPr>
                <w:rFonts w:ascii="Bookman Old Style" w:eastAsia="Calibri" w:hAnsi="Bookman Old Style" w:cs="Arial"/>
                <w:b/>
                <w:bCs/>
                <w:color w:val="000000"/>
                <w:kern w:val="24"/>
                <w:sz w:val="18"/>
                <w:szCs w:val="18"/>
                <w:lang w:val="es-CO" w:eastAsia="es-MX"/>
              </w:rPr>
            </w:pPr>
          </w:p>
          <w:p w14:paraId="6016BFDA" w14:textId="77777777" w:rsidR="0006302B" w:rsidRPr="00920585" w:rsidDel="00BF2EB0"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bCs/>
                <w:color w:val="000000"/>
                <w:kern w:val="24"/>
                <w:sz w:val="18"/>
                <w:szCs w:val="18"/>
                <w:lang w:val="es-CO" w:eastAsia="es-MX"/>
              </w:rPr>
              <w:t>Horizonte de cálculo: para todos los meses en donde haya oferta comprometida con garantía de firmeza.</w:t>
            </w:r>
          </w:p>
        </w:tc>
        <w:tc>
          <w:tcPr>
            <w:tcW w:w="2268" w:type="dxa"/>
            <w:vAlign w:val="center"/>
          </w:tcPr>
          <w:p w14:paraId="63CAFFB6"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por comercializador para la SSPD, SIC y CREG</w:t>
            </w:r>
          </w:p>
          <w:p w14:paraId="7DC0CA12"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p>
        </w:tc>
      </w:tr>
      <w:tr w:rsidR="0006302B" w:rsidRPr="0013707D" w14:paraId="16233001" w14:textId="77777777" w:rsidTr="00996A90">
        <w:trPr>
          <w:trHeight w:val="584"/>
        </w:trPr>
        <w:tc>
          <w:tcPr>
            <w:tcW w:w="738" w:type="dxa"/>
            <w:vAlign w:val="center"/>
            <w:hideMark/>
          </w:tcPr>
          <w:p w14:paraId="0C08CBEE" w14:textId="77777777" w:rsidR="0006302B" w:rsidRPr="00920585" w:rsidRDefault="0006302B" w:rsidP="00341DAD">
            <w:pPr>
              <w:ind w:left="0"/>
              <w:rPr>
                <w:rFonts w:ascii="Bookman Old Style" w:hAnsi="Bookman Old Style" w:cs="Arial"/>
                <w:sz w:val="18"/>
                <w:szCs w:val="18"/>
                <w:lang w:val="es-CO" w:eastAsia="es-MX"/>
              </w:rPr>
            </w:pPr>
            <w:r w:rsidRPr="00920585">
              <w:rPr>
                <w:rFonts w:ascii="Bookman Old Style" w:hAnsi="Bookman Old Style" w:cs="Arial"/>
                <w:color w:val="000000"/>
                <w:kern w:val="24"/>
                <w:sz w:val="18"/>
                <w:szCs w:val="18"/>
                <w:lang w:val="es-CO" w:eastAsia="es-MX"/>
              </w:rPr>
              <w:lastRenderedPageBreak/>
              <w:t>MP9</w:t>
            </w:r>
          </w:p>
        </w:tc>
        <w:tc>
          <w:tcPr>
            <w:tcW w:w="2551" w:type="dxa"/>
            <w:vAlign w:val="center"/>
            <w:hideMark/>
          </w:tcPr>
          <w:p w14:paraId="48841585" w14:textId="1F9DAFA0"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eqArr>
                      <m:eqArrPr>
                        <m:ctrlPr>
                          <w:rPr>
                            <w:rFonts w:ascii="Cambria Math" w:hAnsi="Cambria Math" w:cs="Arial"/>
                            <w:b/>
                            <w:bCs/>
                            <w:i/>
                            <w:sz w:val="18"/>
                            <w:szCs w:val="18"/>
                            <w:lang w:val="es-CO" w:eastAsia="es-MX"/>
                          </w:rPr>
                        </m:ctrlPr>
                      </m:eqArrPr>
                      <m:e>
                        <m:eqArr>
                          <m:eqArrPr>
                            <m:ctrlPr>
                              <w:rPr>
                                <w:rFonts w:ascii="Cambria Math" w:hAnsi="Cambria Math" w:cs="Arial"/>
                                <w:b/>
                                <w:sz w:val="18"/>
                                <w:szCs w:val="18"/>
                                <w:lang w:val="es-CO" w:eastAsia="es-MX"/>
                              </w:rPr>
                            </m:ctrlPr>
                          </m:eqArrPr>
                          <m:e>
                            <m:r>
                              <m:rPr>
                                <m:sty m:val="b"/>
                              </m:rPr>
                              <w:rPr>
                                <w:rFonts w:ascii="Cambria Math" w:hAnsi="Cambria Math" w:cs="Arial"/>
                                <w:sz w:val="18"/>
                                <w:szCs w:val="18"/>
                                <w:lang w:val="es-CO" w:eastAsia="es-MX"/>
                              </w:rPr>
                              <m:t xml:space="preserve">Dda regulada con </m:t>
                            </m:r>
                          </m:e>
                          <m:e>
                            <m:r>
                              <m:rPr>
                                <m:sty m:val="b"/>
                              </m:rPr>
                              <w:rPr>
                                <w:rFonts w:ascii="Cambria Math" w:hAnsi="Cambria Math" w:cs="Arial"/>
                                <w:sz w:val="18"/>
                                <w:szCs w:val="18"/>
                                <w:lang w:val="es-CO" w:eastAsia="es-MX"/>
                              </w:rPr>
                              <m:t>garantía de firmeza</m:t>
                            </m:r>
                          </m:e>
                        </m:eqArr>
                        <m:ctrlPr>
                          <w:rPr>
                            <w:rFonts w:ascii="Cambria Math" w:hAnsi="Cambria Math" w:cs="Arial"/>
                            <w:b/>
                            <w:i/>
                            <w:sz w:val="18"/>
                            <w:szCs w:val="18"/>
                            <w:lang w:val="es-CO" w:eastAsia="es-MX"/>
                          </w:rPr>
                        </m:ctrlPr>
                      </m:e>
                      <m:e>
                        <m:ctrlPr>
                          <w:rPr>
                            <w:rFonts w:ascii="Cambria Math" w:hAnsi="Cambria Math" w:cs="Arial"/>
                            <w:b/>
                            <w:i/>
                            <w:sz w:val="18"/>
                            <w:szCs w:val="18"/>
                            <w:lang w:val="es-CO" w:eastAsia="es-MX"/>
                          </w:rPr>
                        </m:ctrlPr>
                      </m:e>
                    </m:eqArr>
                  </m:num>
                  <m:den>
                    <m:eqArr>
                      <m:eqArrPr>
                        <m:ctrlPr>
                          <w:rPr>
                            <w:rFonts w:ascii="Cambria Math" w:hAnsi="Cambria Math" w:cs="Arial"/>
                            <w:b/>
                            <w:sz w:val="18"/>
                            <w:szCs w:val="18"/>
                            <w:lang w:val="es-CO" w:eastAsia="es-MX"/>
                          </w:rPr>
                        </m:ctrlPr>
                      </m:eqArrPr>
                      <m:e/>
                      <m:e>
                        <m:r>
                          <m:rPr>
                            <m:sty m:val="b"/>
                          </m:rPr>
                          <w:rPr>
                            <w:rFonts w:ascii="Cambria Math" w:hAnsi="Cambria Math" w:cs="Arial"/>
                            <w:sz w:val="18"/>
                            <w:szCs w:val="18"/>
                            <w:lang w:val="es-CO" w:eastAsia="es-MX"/>
                          </w:rPr>
                          <m:t xml:space="preserve">OCTGF </m:t>
                        </m:r>
                      </m:e>
                    </m:eqArr>
                  </m:den>
                </m:f>
              </m:oMath>
            </m:oMathPara>
          </w:p>
          <w:p w14:paraId="0E3A61AA" w14:textId="77777777" w:rsidR="0006302B" w:rsidRPr="00920585" w:rsidRDefault="0006302B" w:rsidP="00341DAD">
            <w:pPr>
              <w:rPr>
                <w:rFonts w:ascii="Bookman Old Style" w:hAnsi="Bookman Old Style" w:cs="Arial"/>
                <w:sz w:val="18"/>
                <w:szCs w:val="18"/>
                <w:lang w:val="es-CO" w:eastAsia="es-MX"/>
              </w:rPr>
            </w:pPr>
          </w:p>
        </w:tc>
        <w:tc>
          <w:tcPr>
            <w:tcW w:w="3544" w:type="dxa"/>
            <w:vAlign w:val="center"/>
            <w:hideMark/>
          </w:tcPr>
          <w:p w14:paraId="70C18222"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4AAA4837"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 xml:space="preserve">Este indicador debe calcularse de manera nacional </w:t>
            </w:r>
            <w:r w:rsidRPr="00920585">
              <w:rPr>
                <w:rFonts w:ascii="Bookman Old Style" w:hAnsi="Bookman Old Style" w:cs="Arial"/>
                <w:color w:val="000000"/>
                <w:sz w:val="18"/>
                <w:szCs w:val="18"/>
                <w:lang w:val="es-CO"/>
              </w:rPr>
              <w:t xml:space="preserve">(i.e. todos los comercializadores con demanda regulada) y </w:t>
            </w:r>
            <w:r w:rsidRPr="00920585">
              <w:rPr>
                <w:rFonts w:ascii="Bookman Old Style" w:hAnsi="Bookman Old Style" w:cs="Arial"/>
                <w:sz w:val="18"/>
                <w:szCs w:val="18"/>
                <w:lang w:val="es-CO" w:eastAsia="es-MX"/>
              </w:rPr>
              <w:t xml:space="preserve">para cada comercializador </w:t>
            </w:r>
            <w:r w:rsidRPr="00920585">
              <w:rPr>
                <w:rFonts w:ascii="Bookman Old Style" w:hAnsi="Bookman Old Style" w:cs="Arial"/>
                <w:b/>
                <w:bCs/>
                <w:sz w:val="18"/>
                <w:szCs w:val="18"/>
                <w:lang w:val="es-CO" w:eastAsia="es-MX"/>
              </w:rPr>
              <w:t>que atiende</w:t>
            </w:r>
            <w:r w:rsidRPr="00920585">
              <w:rPr>
                <w:rFonts w:ascii="Bookman Old Style" w:hAnsi="Bookman Old Style" w:cs="Arial"/>
                <w:sz w:val="18"/>
                <w:szCs w:val="18"/>
                <w:lang w:val="es-CO" w:eastAsia="es-MX"/>
              </w:rPr>
              <w:t xml:space="preserve"> demanda regulada.</w:t>
            </w:r>
          </w:p>
          <w:p w14:paraId="01A1352F" w14:textId="77777777" w:rsidR="0006302B" w:rsidRPr="00920585" w:rsidRDefault="0006302B" w:rsidP="00341DAD">
            <w:pPr>
              <w:ind w:left="0"/>
              <w:jc w:val="both"/>
              <w:rPr>
                <w:rFonts w:ascii="Bookman Old Style" w:hAnsi="Bookman Old Style" w:cs="Arial"/>
                <w:sz w:val="18"/>
                <w:szCs w:val="18"/>
                <w:lang w:val="es-CO" w:eastAsia="es-MX"/>
              </w:rPr>
            </w:pPr>
          </w:p>
          <w:p w14:paraId="2081FF54"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362CF649"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75F11968"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3D68ACD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 xml:space="preserve">para cada uno de los siguientes </w:t>
            </w:r>
            <w:r w:rsidRPr="00920585">
              <w:rPr>
                <w:rFonts w:ascii="Bookman Old Style" w:eastAsia="Calibri" w:hAnsi="Bookman Old Style" w:cs="Arial"/>
                <w:b/>
                <w:bCs/>
                <w:color w:val="000000"/>
                <w:kern w:val="24"/>
                <w:sz w:val="18"/>
                <w:szCs w:val="18"/>
                <w:lang w:val="es-CO" w:eastAsia="es-MX"/>
              </w:rPr>
              <w:t>60 meses al mes de publicación</w:t>
            </w:r>
            <w:r w:rsidRPr="00920585">
              <w:rPr>
                <w:rFonts w:ascii="Bookman Old Style" w:eastAsia="Calibri" w:hAnsi="Bookman Old Style" w:cs="Arial"/>
                <w:color w:val="000000"/>
                <w:kern w:val="24"/>
                <w:sz w:val="18"/>
                <w:szCs w:val="18"/>
                <w:lang w:val="es-CO" w:eastAsia="es-MX"/>
              </w:rPr>
              <w:t>.</w:t>
            </w:r>
          </w:p>
        </w:tc>
        <w:tc>
          <w:tcPr>
            <w:tcW w:w="2268" w:type="dxa"/>
            <w:vAlign w:val="center"/>
            <w:hideMark/>
          </w:tcPr>
          <w:p w14:paraId="73BC33FC" w14:textId="77777777" w:rsidR="0006302B" w:rsidRPr="00920585" w:rsidRDefault="0006302B" w:rsidP="00920585">
            <w:pPr>
              <w:ind w:left="0"/>
              <w:contextualSpacing/>
              <w:jc w:val="center"/>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para el público general y los indicadores por comercializador para la SSPD, SIC y CREG</w:t>
            </w:r>
          </w:p>
        </w:tc>
      </w:tr>
      <w:tr w:rsidR="0006302B" w:rsidRPr="0013707D" w14:paraId="03E61383" w14:textId="77777777" w:rsidTr="00996A90">
        <w:trPr>
          <w:trHeight w:val="584"/>
        </w:trPr>
        <w:tc>
          <w:tcPr>
            <w:tcW w:w="738" w:type="dxa"/>
            <w:vAlign w:val="center"/>
          </w:tcPr>
          <w:p w14:paraId="5EF547BD"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MP10</w:t>
            </w:r>
          </w:p>
        </w:tc>
        <w:tc>
          <w:tcPr>
            <w:tcW w:w="2551" w:type="dxa"/>
            <w:vAlign w:val="center"/>
          </w:tcPr>
          <w:p w14:paraId="02CE1267" w14:textId="797CBB58"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eqArr>
                      <m:eqArrPr>
                        <m:ctrlPr>
                          <w:rPr>
                            <w:rFonts w:ascii="Cambria Math" w:hAnsi="Cambria Math" w:cs="Arial"/>
                            <w:b/>
                            <w:sz w:val="18"/>
                            <w:szCs w:val="18"/>
                            <w:lang w:val="es-CO" w:eastAsia="es-MX"/>
                          </w:rPr>
                        </m:ctrlPr>
                      </m:eqArrPr>
                      <m:e>
                        <m:r>
                          <m:rPr>
                            <m:sty m:val="b"/>
                          </m:rPr>
                          <w:rPr>
                            <w:rFonts w:ascii="Cambria Math" w:hAnsi="Cambria Math" w:cs="Arial"/>
                            <w:sz w:val="18"/>
                            <w:szCs w:val="18"/>
                            <w:lang w:val="es-CO" w:eastAsia="es-MX"/>
                          </w:rPr>
                          <m:t xml:space="preserve">Dda no regulada con </m:t>
                        </m:r>
                      </m:e>
                      <m:e>
                        <m:r>
                          <m:rPr>
                            <m:sty m:val="b"/>
                          </m:rPr>
                          <w:rPr>
                            <w:rFonts w:ascii="Cambria Math" w:hAnsi="Cambria Math" w:cs="Arial"/>
                            <w:sz w:val="18"/>
                            <w:szCs w:val="18"/>
                            <w:lang w:val="es-CO" w:eastAsia="es-MX"/>
                          </w:rPr>
                          <m:t>garantía de firmeza</m:t>
                        </m:r>
                        <m:ctrlPr>
                          <w:rPr>
                            <w:rFonts w:ascii="Cambria Math" w:eastAsia="Cambria Math" w:hAnsi="Cambria Math" w:cs="Cambria Math"/>
                            <w:b/>
                            <w:sz w:val="18"/>
                            <w:szCs w:val="18"/>
                            <w:lang w:eastAsia="es-MX"/>
                          </w:rPr>
                        </m:ctrlPr>
                      </m:e>
                      <m:e>
                        <m:r>
                          <m:rPr>
                            <m:sty m:val="b"/>
                          </m:rPr>
                          <w:rPr>
                            <w:rFonts w:ascii="Cambria Math" w:hAnsi="Cambria Math" w:cs="Arial"/>
                            <w:sz w:val="18"/>
                            <w:szCs w:val="18"/>
                            <w:lang w:val="es-CO" w:eastAsia="es-MX"/>
                          </w:rPr>
                          <m:t xml:space="preserve"> </m:t>
                        </m:r>
                      </m:e>
                    </m:eqArr>
                  </m:num>
                  <m:den>
                    <m:eqArr>
                      <m:eqArrPr>
                        <m:ctrlPr>
                          <w:rPr>
                            <w:rFonts w:ascii="Cambria Math" w:hAnsi="Cambria Math" w:cs="Arial"/>
                            <w:b/>
                            <w:sz w:val="18"/>
                            <w:szCs w:val="18"/>
                            <w:lang w:val="es-CO" w:eastAsia="es-MX"/>
                          </w:rPr>
                        </m:ctrlPr>
                      </m:eqArrPr>
                      <m:e/>
                      <m:e>
                        <m:r>
                          <m:rPr>
                            <m:sty m:val="b"/>
                          </m:rPr>
                          <w:rPr>
                            <w:rFonts w:ascii="Cambria Math" w:hAnsi="Cambria Math" w:cs="Arial"/>
                            <w:sz w:val="18"/>
                            <w:szCs w:val="18"/>
                            <w:lang w:val="es-CO" w:eastAsia="es-MX"/>
                          </w:rPr>
                          <m:t xml:space="preserve">OCTGF </m:t>
                        </m:r>
                      </m:e>
                    </m:eqArr>
                  </m:den>
                </m:f>
              </m:oMath>
            </m:oMathPara>
          </w:p>
          <w:p w14:paraId="36A4ACBF" w14:textId="77777777" w:rsidR="0006302B" w:rsidRPr="00920585" w:rsidRDefault="0006302B" w:rsidP="00341DAD">
            <w:pPr>
              <w:rPr>
                <w:rFonts w:ascii="Bookman Old Style" w:hAnsi="Bookman Old Style" w:cs="Arial"/>
                <w:sz w:val="18"/>
                <w:szCs w:val="18"/>
                <w:lang w:val="es-CO" w:eastAsia="es-MX"/>
              </w:rPr>
            </w:pPr>
          </w:p>
        </w:tc>
        <w:tc>
          <w:tcPr>
            <w:tcW w:w="3544" w:type="dxa"/>
            <w:vAlign w:val="center"/>
          </w:tcPr>
          <w:p w14:paraId="6683DF1F"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6C13A0E5"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 xml:space="preserve">Este indicador debe calcularse de manera nacional (i.e. agregado), por fuente (Cusiana y </w:t>
            </w:r>
            <w:proofErr w:type="spellStart"/>
            <w:r w:rsidRPr="00920585">
              <w:rPr>
                <w:rFonts w:ascii="Bookman Old Style" w:eastAsia="Calibri" w:hAnsi="Bookman Old Style" w:cs="Arial"/>
                <w:color w:val="000000"/>
                <w:kern w:val="24"/>
                <w:sz w:val="18"/>
                <w:szCs w:val="18"/>
                <w:lang w:val="es-CO" w:eastAsia="es-MX"/>
              </w:rPr>
              <w:t>Cupiagua</w:t>
            </w:r>
            <w:proofErr w:type="spellEnd"/>
            <w:r w:rsidRPr="00920585">
              <w:rPr>
                <w:rFonts w:ascii="Bookman Old Style" w:eastAsia="Calibri" w:hAnsi="Bookman Old Style" w:cs="Arial"/>
                <w:color w:val="000000"/>
                <w:kern w:val="24"/>
                <w:sz w:val="18"/>
                <w:szCs w:val="18"/>
                <w:lang w:val="es-CO" w:eastAsia="es-MX"/>
              </w:rPr>
              <w:t>), por productor (i.e. Ecopetrol) y por tipo de demanda (i.e. industrial).</w:t>
            </w:r>
          </w:p>
          <w:p w14:paraId="48105BF7"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36A4E66D"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6F28B950"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085A2A7A"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 xml:space="preserve">para cada uno de los siguientes </w:t>
            </w:r>
            <w:r w:rsidRPr="00920585">
              <w:rPr>
                <w:rFonts w:ascii="Bookman Old Style" w:eastAsia="Calibri" w:hAnsi="Bookman Old Style" w:cs="Arial"/>
                <w:b/>
                <w:bCs/>
                <w:color w:val="000000"/>
                <w:kern w:val="24"/>
                <w:sz w:val="18"/>
                <w:szCs w:val="18"/>
                <w:lang w:val="es-CO" w:eastAsia="es-MX"/>
              </w:rPr>
              <w:t>60 meses al mes de publicación</w:t>
            </w:r>
            <w:r w:rsidRPr="00920585">
              <w:rPr>
                <w:rFonts w:ascii="Bookman Old Style" w:eastAsia="Calibri" w:hAnsi="Bookman Old Style" w:cs="Arial"/>
                <w:color w:val="000000"/>
                <w:kern w:val="24"/>
                <w:sz w:val="18"/>
                <w:szCs w:val="18"/>
                <w:lang w:val="es-CO" w:eastAsia="es-MX"/>
              </w:rPr>
              <w:t>.</w:t>
            </w:r>
          </w:p>
        </w:tc>
        <w:tc>
          <w:tcPr>
            <w:tcW w:w="2268" w:type="dxa"/>
            <w:vAlign w:val="center"/>
          </w:tcPr>
          <w:p w14:paraId="061C39E7" w14:textId="77777777" w:rsidR="0006302B" w:rsidRPr="00920585" w:rsidRDefault="0006302B" w:rsidP="00920585">
            <w:pPr>
              <w:ind w:left="0"/>
              <w:contextualSpacing/>
              <w:jc w:val="center"/>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Los indicadores nacional para el público general y los indicadores por comercializador para la SSPD, SIC y CREG</w:t>
            </w:r>
          </w:p>
        </w:tc>
      </w:tr>
      <w:tr w:rsidR="0006302B" w:rsidRPr="0013707D" w14:paraId="79DEF5A4" w14:textId="77777777" w:rsidTr="00996A90">
        <w:trPr>
          <w:trHeight w:val="584"/>
        </w:trPr>
        <w:tc>
          <w:tcPr>
            <w:tcW w:w="738" w:type="dxa"/>
            <w:vAlign w:val="center"/>
          </w:tcPr>
          <w:p w14:paraId="2C872BBC"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MP11</w:t>
            </w:r>
          </w:p>
          <w:p w14:paraId="58A5860A" w14:textId="77777777" w:rsidR="0006302B" w:rsidRPr="00920585" w:rsidRDefault="0006302B" w:rsidP="00341DAD">
            <w:pPr>
              <w:rPr>
                <w:rFonts w:ascii="Bookman Old Style" w:hAnsi="Bookman Old Style" w:cs="Arial"/>
                <w:color w:val="000000"/>
                <w:kern w:val="24"/>
                <w:sz w:val="18"/>
                <w:szCs w:val="18"/>
                <w:lang w:val="es-CO" w:eastAsia="es-MX"/>
              </w:rPr>
            </w:pPr>
          </w:p>
          <w:p w14:paraId="6114170E" w14:textId="77777777" w:rsidR="0006302B" w:rsidRPr="00920585" w:rsidRDefault="0006302B" w:rsidP="00341DAD">
            <w:pPr>
              <w:rPr>
                <w:rFonts w:ascii="Bookman Old Style" w:hAnsi="Bookman Old Style" w:cs="Arial"/>
                <w:color w:val="000000"/>
                <w:kern w:val="24"/>
                <w:sz w:val="18"/>
                <w:szCs w:val="18"/>
                <w:lang w:val="es-CO" w:eastAsia="es-MX"/>
              </w:rPr>
            </w:pPr>
          </w:p>
        </w:tc>
        <w:tc>
          <w:tcPr>
            <w:tcW w:w="2551" w:type="dxa"/>
            <w:vAlign w:val="center"/>
          </w:tcPr>
          <w:p w14:paraId="5AC563BA" w14:textId="55575CB5"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eqArr>
                      <m:eqArrPr>
                        <m:ctrlPr>
                          <w:rPr>
                            <w:rFonts w:ascii="Cambria Math" w:hAnsi="Cambria Math" w:cs="Arial"/>
                            <w:b/>
                            <w:sz w:val="18"/>
                            <w:szCs w:val="18"/>
                            <w:lang w:val="es-CO" w:eastAsia="es-MX"/>
                          </w:rPr>
                        </m:ctrlPr>
                      </m:eqArrPr>
                      <m:e>
                        <m:r>
                          <m:rPr>
                            <m:sty m:val="b"/>
                          </m:rPr>
                          <w:rPr>
                            <w:rFonts w:ascii="Cambria Math" w:hAnsi="Cambria Math" w:cs="Arial"/>
                            <w:sz w:val="18"/>
                            <w:szCs w:val="18"/>
                            <w:lang w:val="es-CO" w:eastAsia="es-MX"/>
                          </w:rPr>
                          <m:t xml:space="preserve">Dda reg con garantía </m:t>
                        </m:r>
                      </m:e>
                      <m:e>
                        <m:r>
                          <m:rPr>
                            <m:sty m:val="b"/>
                          </m:rPr>
                          <w:rPr>
                            <w:rFonts w:ascii="Cambria Math" w:hAnsi="Cambria Math" w:cs="Arial"/>
                            <w:sz w:val="18"/>
                            <w:szCs w:val="18"/>
                            <w:lang w:val="es-CO" w:eastAsia="es-MX"/>
                          </w:rPr>
                          <m:t>de firmeza</m:t>
                        </m:r>
                        <m:ctrlPr>
                          <w:rPr>
                            <w:rFonts w:ascii="Cambria Math" w:eastAsia="Cambria Math" w:hAnsi="Cambria Math" w:cs="Cambria Math"/>
                            <w:b/>
                            <w:sz w:val="18"/>
                            <w:szCs w:val="18"/>
                            <w:lang w:eastAsia="es-MX"/>
                          </w:rPr>
                        </m:ctrlPr>
                      </m:e>
                      <m:e/>
                    </m:eqArr>
                  </m:num>
                  <m:den>
                    <m:eqArr>
                      <m:eqArrPr>
                        <m:ctrlPr>
                          <w:rPr>
                            <w:rFonts w:ascii="Cambria Math" w:hAnsi="Cambria Math" w:cs="Arial"/>
                            <w:b/>
                            <w:sz w:val="18"/>
                            <w:szCs w:val="18"/>
                            <w:lang w:val="es-CO" w:eastAsia="es-MX"/>
                          </w:rPr>
                        </m:ctrlPr>
                      </m:eqArrPr>
                      <m:e/>
                      <m:e>
                        <m:r>
                          <m:rPr>
                            <m:sty m:val="b"/>
                          </m:rPr>
                          <w:rPr>
                            <w:rFonts w:ascii="Cambria Math" w:hAnsi="Cambria Math" w:cs="Arial"/>
                            <w:sz w:val="18"/>
                            <w:szCs w:val="18"/>
                            <w:lang w:val="es-CO" w:eastAsia="es-MX"/>
                          </w:rPr>
                          <m:t xml:space="preserve">Dda reg total contratada </m:t>
                        </m:r>
                        <m:ctrlPr>
                          <w:rPr>
                            <w:rFonts w:ascii="Cambria Math" w:eastAsia="Cambria Math" w:hAnsi="Cambria Math" w:cs="Cambria Math"/>
                            <w:b/>
                            <w:sz w:val="18"/>
                            <w:szCs w:val="18"/>
                            <w:lang w:eastAsia="es-MX"/>
                          </w:rPr>
                        </m:ctrlPr>
                      </m:e>
                      <m:e>
                        <m:r>
                          <m:rPr>
                            <m:sty m:val="b"/>
                          </m:rPr>
                          <w:rPr>
                            <w:rFonts w:ascii="Cambria Math" w:hAnsi="Cambria Math" w:cs="Arial"/>
                            <w:sz w:val="18"/>
                            <w:szCs w:val="18"/>
                            <w:lang w:val="es-CO" w:eastAsia="es-MX"/>
                          </w:rPr>
                          <m:t>equivalente</m:t>
                        </m:r>
                      </m:e>
                    </m:eqArr>
                  </m:den>
                </m:f>
              </m:oMath>
            </m:oMathPara>
          </w:p>
        </w:tc>
        <w:tc>
          <w:tcPr>
            <w:tcW w:w="3544" w:type="dxa"/>
            <w:vAlign w:val="center"/>
          </w:tcPr>
          <w:p w14:paraId="618FC922"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64241323"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 xml:space="preserve">Este indicador debe calcularse de manera nacional (i.e. agregado) y por comercializador. </w:t>
            </w:r>
            <w:r w:rsidRPr="00920585">
              <w:rPr>
                <w:rFonts w:ascii="Bookman Old Style" w:hAnsi="Bookman Old Style" w:cs="Arial"/>
                <w:b/>
                <w:bCs/>
                <w:sz w:val="18"/>
                <w:szCs w:val="18"/>
                <w:lang w:val="es-CO" w:eastAsia="es-MX"/>
              </w:rPr>
              <w:t>La demanda total contratada equivalente incluye la demanda regulada con garantía de firmeza y la contratada en contratos con interrupciones en promedio diario mensualizado.</w:t>
            </w:r>
          </w:p>
          <w:p w14:paraId="56FF143C"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12B81891"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3B933331"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191FA157"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 xml:space="preserve">para cada uno de los siguientes </w:t>
            </w:r>
            <w:r w:rsidRPr="00920585">
              <w:rPr>
                <w:rFonts w:ascii="Bookman Old Style" w:eastAsia="Calibri" w:hAnsi="Bookman Old Style" w:cs="Arial"/>
                <w:b/>
                <w:bCs/>
                <w:color w:val="000000"/>
                <w:kern w:val="24"/>
                <w:sz w:val="18"/>
                <w:szCs w:val="18"/>
                <w:lang w:val="es-CO" w:eastAsia="es-MX"/>
              </w:rPr>
              <w:t>60 meses al mes de publicación</w:t>
            </w:r>
            <w:r w:rsidRPr="00920585">
              <w:rPr>
                <w:rFonts w:ascii="Bookman Old Style" w:eastAsia="Calibri" w:hAnsi="Bookman Old Style" w:cs="Arial"/>
                <w:color w:val="000000"/>
                <w:kern w:val="24"/>
                <w:sz w:val="18"/>
                <w:szCs w:val="18"/>
                <w:lang w:val="es-CO" w:eastAsia="es-MX"/>
              </w:rPr>
              <w:t>.</w:t>
            </w:r>
          </w:p>
        </w:tc>
        <w:tc>
          <w:tcPr>
            <w:tcW w:w="2268" w:type="dxa"/>
            <w:vAlign w:val="center"/>
          </w:tcPr>
          <w:p w14:paraId="6D7D4578"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El indicador nacional para el público general y los indicadores por comercializado para la SSPD, SIC y CREG</w:t>
            </w:r>
          </w:p>
        </w:tc>
      </w:tr>
      <w:tr w:rsidR="0006302B" w:rsidRPr="0013707D" w14:paraId="28E32430" w14:textId="77777777" w:rsidTr="00996A90">
        <w:trPr>
          <w:trHeight w:val="584"/>
        </w:trPr>
        <w:tc>
          <w:tcPr>
            <w:tcW w:w="738" w:type="dxa"/>
            <w:vAlign w:val="center"/>
          </w:tcPr>
          <w:p w14:paraId="798287E4"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MP12</w:t>
            </w:r>
          </w:p>
        </w:tc>
        <w:tc>
          <w:tcPr>
            <w:tcW w:w="2551" w:type="dxa"/>
            <w:vAlign w:val="center"/>
          </w:tcPr>
          <w:p w14:paraId="1FA424A6" w14:textId="493E2845" w:rsidR="0006302B" w:rsidRPr="00920585" w:rsidRDefault="00FB7B28" w:rsidP="00341DAD">
            <w:pPr>
              <w:ind w:left="0"/>
              <w:rPr>
                <w:rFonts w:ascii="Bookman Old Style" w:hAnsi="Bookman Old Style" w:cs="Arial"/>
                <w:b/>
                <w:bCs/>
                <w:sz w:val="18"/>
                <w:szCs w:val="18"/>
                <w:lang w:val="es-CO" w:eastAsia="es-MX"/>
              </w:rPr>
            </w:pPr>
            <m:oMathPara>
              <m:oMath>
                <m:f>
                  <m:fPr>
                    <m:ctrlPr>
                      <w:rPr>
                        <w:rFonts w:ascii="Cambria Math" w:hAnsi="Cambria Math" w:cs="Arial"/>
                        <w:b/>
                        <w:bCs/>
                        <w:sz w:val="18"/>
                        <w:szCs w:val="18"/>
                        <w:lang w:val="es-CO" w:eastAsia="es-MX"/>
                      </w:rPr>
                    </m:ctrlPr>
                  </m:fPr>
                  <m:num>
                    <m:eqArr>
                      <m:eqArrPr>
                        <m:ctrlPr>
                          <w:rPr>
                            <w:rFonts w:ascii="Cambria Math" w:hAnsi="Cambria Math" w:cs="Arial"/>
                            <w:b/>
                            <w:bCs/>
                            <w:i/>
                            <w:sz w:val="18"/>
                            <w:szCs w:val="18"/>
                            <w:lang w:val="es-CO" w:eastAsia="es-MX"/>
                          </w:rPr>
                        </m:ctrlPr>
                      </m:eqArrPr>
                      <m:e>
                        <m:eqArr>
                          <m:eqArrPr>
                            <m:ctrlPr>
                              <w:rPr>
                                <w:rFonts w:ascii="Cambria Math" w:hAnsi="Cambria Math" w:cs="Arial"/>
                                <w:b/>
                                <w:sz w:val="18"/>
                                <w:szCs w:val="18"/>
                                <w:lang w:val="es-CO" w:eastAsia="es-MX"/>
                              </w:rPr>
                            </m:ctrlPr>
                          </m:eqArrPr>
                          <m:e>
                            <m:r>
                              <m:rPr>
                                <m:sty m:val="b"/>
                              </m:rPr>
                              <w:rPr>
                                <w:rFonts w:ascii="Cambria Math" w:hAnsi="Cambria Math" w:cs="Arial"/>
                                <w:sz w:val="18"/>
                                <w:szCs w:val="18"/>
                                <w:lang w:val="es-CO" w:eastAsia="es-MX"/>
                              </w:rPr>
                              <m:t xml:space="preserve"> Dda regulada con </m:t>
                            </m:r>
                          </m:e>
                          <m:e>
                            <m:r>
                              <m:rPr>
                                <m:sty m:val="b"/>
                              </m:rPr>
                              <w:rPr>
                                <w:rFonts w:ascii="Cambria Math" w:hAnsi="Cambria Math" w:cs="Arial"/>
                                <w:sz w:val="18"/>
                                <w:szCs w:val="18"/>
                                <w:lang w:val="es-CO" w:eastAsia="es-MX"/>
                              </w:rPr>
                              <m:t>garantía de firmeza</m:t>
                            </m:r>
                          </m:e>
                        </m:eqArr>
                        <m:ctrlPr>
                          <w:rPr>
                            <w:rFonts w:ascii="Cambria Math" w:hAnsi="Cambria Math" w:cs="Arial"/>
                            <w:b/>
                            <w:i/>
                            <w:sz w:val="18"/>
                            <w:szCs w:val="18"/>
                            <w:lang w:val="es-CO" w:eastAsia="es-MX"/>
                          </w:rPr>
                        </m:ctrlPr>
                      </m:e>
                      <m:e>
                        <m:ctrlPr>
                          <w:rPr>
                            <w:rFonts w:ascii="Cambria Math" w:hAnsi="Cambria Math" w:cs="Arial"/>
                            <w:b/>
                            <w:i/>
                            <w:sz w:val="18"/>
                            <w:szCs w:val="18"/>
                            <w:lang w:val="es-CO" w:eastAsia="es-MX"/>
                          </w:rPr>
                        </m:ctrlPr>
                      </m:e>
                    </m:eqArr>
                  </m:num>
                  <m:den>
                    <m:eqArr>
                      <m:eqArrPr>
                        <m:ctrlPr>
                          <w:rPr>
                            <w:rFonts w:ascii="Cambria Math" w:hAnsi="Cambria Math" w:cs="Arial"/>
                            <w:b/>
                            <w:sz w:val="18"/>
                            <w:szCs w:val="18"/>
                            <w:lang w:val="es-CO" w:eastAsia="es-MX"/>
                          </w:rPr>
                        </m:ctrlPr>
                      </m:eqArrPr>
                      <m:e/>
                      <m:e>
                        <m:r>
                          <m:rPr>
                            <m:sty m:val="b"/>
                          </m:rPr>
                          <w:rPr>
                            <w:rFonts w:ascii="Cambria Math" w:hAnsi="Cambria Math" w:cs="Arial"/>
                            <w:sz w:val="18"/>
                            <w:szCs w:val="18"/>
                            <w:lang w:val="es-CO" w:eastAsia="es-MX"/>
                          </w:rPr>
                          <m:t xml:space="preserve">Cap transporte contratada </m:t>
                        </m:r>
                      </m:e>
                    </m:eqArr>
                  </m:den>
                </m:f>
              </m:oMath>
            </m:oMathPara>
          </w:p>
          <w:p w14:paraId="771EC0A7" w14:textId="77777777" w:rsidR="0006302B" w:rsidRPr="00920585" w:rsidRDefault="0006302B" w:rsidP="00341DAD">
            <w:pPr>
              <w:rPr>
                <w:rFonts w:ascii="Bookman Old Style" w:hAnsi="Bookman Old Style" w:cs="Arial"/>
                <w:sz w:val="18"/>
                <w:szCs w:val="18"/>
                <w:lang w:val="es-CO" w:eastAsia="es-MX"/>
              </w:rPr>
            </w:pPr>
          </w:p>
        </w:tc>
        <w:tc>
          <w:tcPr>
            <w:tcW w:w="3544" w:type="dxa"/>
            <w:vAlign w:val="center"/>
          </w:tcPr>
          <w:p w14:paraId="71D1CA64"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184E44C2"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 xml:space="preserve">El valor de la capacidad de transporte contratada en contratos firmes corresponderá al valor máximo de contratos firmes en el correspondiente mes. Este </w:t>
            </w:r>
            <w:r w:rsidRPr="00920585">
              <w:rPr>
                <w:rFonts w:ascii="Bookman Old Style" w:hAnsi="Bookman Old Style" w:cs="Arial"/>
                <w:sz w:val="18"/>
                <w:szCs w:val="18"/>
                <w:lang w:val="es-CO" w:eastAsia="es-MX"/>
              </w:rPr>
              <w:t xml:space="preserve">cálculo tendrá en cuenta las capacidades del último tramo de </w:t>
            </w:r>
            <w:r w:rsidRPr="00920585">
              <w:rPr>
                <w:rFonts w:ascii="Bookman Old Style" w:hAnsi="Bookman Old Style" w:cs="Arial"/>
                <w:sz w:val="18"/>
                <w:szCs w:val="18"/>
                <w:lang w:val="es-CO" w:eastAsia="es-MX"/>
              </w:rPr>
              <w:lastRenderedPageBreak/>
              <w:t>transporte necesario para abastecer el mercado relevante.</w:t>
            </w:r>
          </w:p>
          <w:p w14:paraId="0DB085A5" w14:textId="77777777" w:rsidR="0006302B" w:rsidRPr="00920585" w:rsidRDefault="0006302B" w:rsidP="00341DAD">
            <w:pPr>
              <w:ind w:left="0"/>
              <w:jc w:val="both"/>
              <w:rPr>
                <w:rFonts w:ascii="Bookman Old Style" w:hAnsi="Bookman Old Style" w:cs="Arial"/>
                <w:sz w:val="18"/>
                <w:szCs w:val="18"/>
                <w:lang w:val="es-CO" w:eastAsia="es-MX"/>
              </w:rPr>
            </w:pPr>
          </w:p>
          <w:p w14:paraId="4803C323"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 xml:space="preserve">Este indicador debe calcularse para todos los mercados relevantes. </w:t>
            </w:r>
          </w:p>
          <w:p w14:paraId="5361F865"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70831CFF"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w:t>
            </w:r>
            <w:r w:rsidRPr="00920585">
              <w:rPr>
                <w:rFonts w:ascii="Bookman Old Style" w:eastAsia="Calibri" w:hAnsi="Bookman Old Style" w:cs="Arial"/>
                <w:color w:val="000000"/>
                <w:kern w:val="24"/>
                <w:sz w:val="18"/>
                <w:szCs w:val="18"/>
                <w:lang w:val="es-CO" w:eastAsia="es-MX"/>
              </w:rPr>
              <w:t>anual, después del proceso de negociación.</w:t>
            </w:r>
          </w:p>
          <w:p w14:paraId="70FC4876"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1974D161"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cada uno de los meses de los siguientes 12 meses.</w:t>
            </w:r>
          </w:p>
        </w:tc>
        <w:tc>
          <w:tcPr>
            <w:tcW w:w="2268" w:type="dxa"/>
            <w:vAlign w:val="center"/>
          </w:tcPr>
          <w:p w14:paraId="3191291E"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lastRenderedPageBreak/>
              <w:t>Los indicadores para cada mercado relevante para la SSPD, SIC y CREG</w:t>
            </w:r>
          </w:p>
        </w:tc>
      </w:tr>
      <w:tr w:rsidR="0006302B" w:rsidRPr="0013707D" w14:paraId="498C490A" w14:textId="77777777" w:rsidTr="00996A90">
        <w:trPr>
          <w:trHeight w:val="584"/>
        </w:trPr>
        <w:tc>
          <w:tcPr>
            <w:tcW w:w="738" w:type="dxa"/>
            <w:vAlign w:val="center"/>
          </w:tcPr>
          <w:p w14:paraId="2CF0196F"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sz w:val="18"/>
                <w:szCs w:val="18"/>
                <w:lang w:val="es-CO" w:eastAsia="es-MX"/>
              </w:rPr>
              <w:t>MP13</w:t>
            </w:r>
          </w:p>
        </w:tc>
        <w:tc>
          <w:tcPr>
            <w:tcW w:w="2551" w:type="dxa"/>
            <w:vAlign w:val="center"/>
          </w:tcPr>
          <w:p w14:paraId="120C828E" w14:textId="77777777" w:rsidR="0006302B" w:rsidRPr="00920585" w:rsidRDefault="00FB7B28" w:rsidP="00341DAD">
            <w:pPr>
              <w:ind w:left="0"/>
              <w:rPr>
                <w:rFonts w:ascii="Bookman Old Style" w:hAnsi="Bookman Old Style" w:cs="Arial"/>
                <w:sz w:val="18"/>
                <w:szCs w:val="18"/>
                <w:lang w:val="es-CO"/>
              </w:rPr>
            </w:pPr>
            <m:oMathPara>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 xml:space="preserve">Toda cap comprometida </m:t>
                    </m:r>
                  </m:num>
                  <m:den>
                    <m:r>
                      <m:rPr>
                        <m:sty m:val="p"/>
                      </m:rPr>
                      <w:rPr>
                        <w:rFonts w:ascii="Cambria Math" w:hAnsi="Cambria Math" w:cs="Arial"/>
                        <w:sz w:val="18"/>
                        <w:szCs w:val="18"/>
                        <w:lang w:val="es-CO" w:eastAsia="es-MX"/>
                      </w:rPr>
                      <m:t>Cap del tramo</m:t>
                    </m:r>
                  </m:den>
                </m:f>
              </m:oMath>
            </m:oMathPara>
          </w:p>
        </w:tc>
        <w:tc>
          <w:tcPr>
            <w:tcW w:w="3544" w:type="dxa"/>
            <w:vAlign w:val="center"/>
          </w:tcPr>
          <w:p w14:paraId="04F94327"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Para cada tramo regulatorio de transporte, calcular capacidad máxima comprometida en el mes (i.e. incluyendo todas las modalidades) en relación con la capacidad de transporte del tramo.</w:t>
            </w:r>
          </w:p>
          <w:p w14:paraId="6991E02B" w14:textId="77777777" w:rsidR="0006302B" w:rsidRPr="00920585" w:rsidRDefault="0006302B" w:rsidP="00341DAD">
            <w:pPr>
              <w:ind w:left="0"/>
              <w:jc w:val="both"/>
              <w:rPr>
                <w:rFonts w:ascii="Bookman Old Style" w:hAnsi="Bookman Old Style" w:cs="Arial"/>
                <w:sz w:val="18"/>
                <w:szCs w:val="18"/>
                <w:lang w:val="es-CO" w:eastAsia="es-MX"/>
              </w:rPr>
            </w:pPr>
          </w:p>
          <w:p w14:paraId="1C51C9E2"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El valor de la capacidad comprometida corresponderá al valor máximo de contratación en alguno de los días del correspondiente mes.</w:t>
            </w:r>
          </w:p>
          <w:p w14:paraId="08BAAB09" w14:textId="77777777" w:rsidR="0006302B" w:rsidRPr="00920585" w:rsidRDefault="0006302B" w:rsidP="00341DAD">
            <w:pPr>
              <w:ind w:left="0"/>
              <w:jc w:val="both"/>
              <w:rPr>
                <w:rFonts w:ascii="Bookman Old Style" w:hAnsi="Bookman Old Style" w:cs="Arial"/>
                <w:sz w:val="18"/>
                <w:szCs w:val="18"/>
                <w:lang w:val="es-CO" w:eastAsia="es-MX"/>
              </w:rPr>
            </w:pPr>
          </w:p>
          <w:p w14:paraId="7C403A21" w14:textId="186351AC"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 xml:space="preserve">El valor de la capacidad del tramo corresponderá al valor de la CMMP que haya declarado el transportador al </w:t>
            </w:r>
            <w:r w:rsidR="003F3A91" w:rsidRPr="00920585">
              <w:rPr>
                <w:rFonts w:ascii="Bookman Old Style" w:hAnsi="Bookman Old Style"/>
                <w:sz w:val="18"/>
                <w:szCs w:val="18"/>
                <w:u w:color="FF0000"/>
                <w:lang w:val="es-CO"/>
              </w:rPr>
              <w:t>Gestor</w:t>
            </w:r>
            <w:r w:rsidRPr="00920585">
              <w:rPr>
                <w:rFonts w:ascii="Bookman Old Style" w:hAnsi="Bookman Old Style" w:cs="Arial"/>
                <w:sz w:val="18"/>
                <w:szCs w:val="18"/>
                <w:lang w:val="es-CO" w:eastAsia="es-MX"/>
              </w:rPr>
              <w:t>.</w:t>
            </w:r>
          </w:p>
          <w:p w14:paraId="4702F73A" w14:textId="77777777" w:rsidR="0006302B" w:rsidRPr="00920585" w:rsidRDefault="0006302B" w:rsidP="00341DAD">
            <w:pPr>
              <w:jc w:val="both"/>
              <w:rPr>
                <w:rFonts w:ascii="Bookman Old Style" w:hAnsi="Bookman Old Style" w:cs="Arial"/>
                <w:sz w:val="18"/>
                <w:szCs w:val="18"/>
                <w:lang w:val="es-CO" w:eastAsia="es-MX"/>
              </w:rPr>
            </w:pPr>
          </w:p>
          <w:p w14:paraId="57D353FF"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Este indicador debe calcularse para cada tramo regulatorio.</w:t>
            </w:r>
          </w:p>
          <w:p w14:paraId="614A3500" w14:textId="77777777" w:rsidR="0006302B" w:rsidRPr="00920585" w:rsidRDefault="0006302B" w:rsidP="00341DAD">
            <w:pPr>
              <w:jc w:val="both"/>
              <w:rPr>
                <w:rFonts w:ascii="Bookman Old Style" w:hAnsi="Bookman Old Style" w:cs="Arial"/>
                <w:sz w:val="18"/>
                <w:szCs w:val="18"/>
                <w:lang w:val="es-CO" w:eastAsia="es-MX"/>
              </w:rPr>
            </w:pPr>
          </w:p>
          <w:p w14:paraId="76E03942"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b/>
                <w:sz w:val="18"/>
                <w:szCs w:val="18"/>
                <w:lang w:val="es-CO" w:eastAsia="es-MX"/>
              </w:rPr>
              <w:t>Periodicidad de cálculo</w:t>
            </w:r>
            <w:r w:rsidRPr="00920585">
              <w:rPr>
                <w:rFonts w:ascii="Bookman Old Style" w:hAnsi="Bookman Old Style" w:cs="Arial"/>
                <w:sz w:val="18"/>
                <w:szCs w:val="18"/>
                <w:lang w:val="es-CO" w:eastAsia="es-MX"/>
              </w:rPr>
              <w:t>: mensual.</w:t>
            </w:r>
          </w:p>
          <w:p w14:paraId="13018746" w14:textId="77777777" w:rsidR="0006302B" w:rsidRPr="00920585" w:rsidRDefault="0006302B" w:rsidP="00341DAD">
            <w:pPr>
              <w:jc w:val="both"/>
              <w:rPr>
                <w:rFonts w:ascii="Bookman Old Style" w:hAnsi="Bookman Old Style" w:cs="Arial"/>
                <w:sz w:val="18"/>
                <w:szCs w:val="18"/>
                <w:lang w:val="es-CO" w:eastAsia="es-MX"/>
              </w:rPr>
            </w:pPr>
          </w:p>
          <w:p w14:paraId="3CAF4A4B"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el mes anterior al mes de cálculo y para cada uno de los meses de los siguientes 12 meses.</w:t>
            </w:r>
          </w:p>
        </w:tc>
        <w:tc>
          <w:tcPr>
            <w:tcW w:w="2268" w:type="dxa"/>
            <w:vAlign w:val="center"/>
          </w:tcPr>
          <w:p w14:paraId="2BC1EC20"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para cada tramo de transporte regulatorio para la SSPD, SIC y CREG</w:t>
            </w:r>
          </w:p>
        </w:tc>
      </w:tr>
      <w:tr w:rsidR="0006302B" w:rsidRPr="0013707D" w14:paraId="37F48B7F" w14:textId="77777777" w:rsidTr="00996A90">
        <w:trPr>
          <w:trHeight w:val="584"/>
        </w:trPr>
        <w:tc>
          <w:tcPr>
            <w:tcW w:w="738" w:type="dxa"/>
            <w:vAlign w:val="center"/>
          </w:tcPr>
          <w:p w14:paraId="25DACE11"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sz w:val="18"/>
                <w:szCs w:val="18"/>
                <w:lang w:val="es-CO" w:eastAsia="es-MX"/>
              </w:rPr>
              <w:t>MP14</w:t>
            </w:r>
          </w:p>
        </w:tc>
        <w:tc>
          <w:tcPr>
            <w:tcW w:w="2551" w:type="dxa"/>
            <w:vAlign w:val="center"/>
          </w:tcPr>
          <w:p w14:paraId="562015F3" w14:textId="77777777" w:rsidR="0006302B" w:rsidRPr="00920585" w:rsidRDefault="00FB7B28" w:rsidP="00341DAD">
            <w:pPr>
              <w:ind w:left="0"/>
              <w:rPr>
                <w:rFonts w:ascii="Bookman Old Style" w:hAnsi="Bookman Old Style" w:cs="Arial"/>
                <w:iCs/>
                <w:color w:val="000000"/>
                <w:kern w:val="24"/>
                <w:sz w:val="18"/>
                <w:szCs w:val="18"/>
                <w:lang w:val="es-CO" w:eastAsia="es-MX"/>
              </w:rPr>
            </w:pPr>
            <m:oMathPara>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Mod contrato  dda reg cap T</m:t>
                    </m:r>
                  </m:num>
                  <m:den>
                    <m:r>
                      <m:rPr>
                        <m:sty m:val="p"/>
                      </m:rPr>
                      <w:rPr>
                        <w:rFonts w:ascii="Cambria Math" w:hAnsi="Cambria Math" w:cs="Arial"/>
                        <w:sz w:val="18"/>
                        <w:szCs w:val="18"/>
                        <w:lang w:val="es-CO" w:eastAsia="es-MX"/>
                      </w:rPr>
                      <m:t>Cap del tramo</m:t>
                    </m:r>
                  </m:den>
                </m:f>
              </m:oMath>
            </m:oMathPara>
          </w:p>
        </w:tc>
        <w:tc>
          <w:tcPr>
            <w:tcW w:w="3544" w:type="dxa"/>
            <w:vAlign w:val="center"/>
          </w:tcPr>
          <w:p w14:paraId="27F6F8D3"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hAnsi="Bookman Old Style" w:cs="Arial"/>
                <w:color w:val="000000"/>
                <w:sz w:val="18"/>
                <w:szCs w:val="18"/>
                <w:lang w:val="es-CO"/>
              </w:rPr>
              <w:t>Para los contratos con destino a la demanda regulada, calcular cuánto representa cada modalidad de contratos de capacidad de transporte en relación con la capacidad del tramo.</w:t>
            </w:r>
          </w:p>
          <w:p w14:paraId="48B47F8F" w14:textId="77777777" w:rsidR="0006302B" w:rsidRPr="00920585" w:rsidRDefault="0006302B" w:rsidP="00341DAD">
            <w:pPr>
              <w:jc w:val="both"/>
              <w:rPr>
                <w:rFonts w:ascii="Bookman Old Style" w:hAnsi="Bookman Old Style" w:cs="Arial"/>
                <w:color w:val="000000"/>
                <w:sz w:val="18"/>
                <w:szCs w:val="18"/>
                <w:lang w:val="es-CO"/>
              </w:rPr>
            </w:pPr>
          </w:p>
          <w:p w14:paraId="4F8E60AC"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En un mes, el valor de cada modalidad de contratos corresponderá al mayor valor de capacidad de transporte observado en esa modalidad en uno de los días del mes correspondiente.</w:t>
            </w:r>
          </w:p>
          <w:p w14:paraId="241F8A84" w14:textId="77777777" w:rsidR="0006302B" w:rsidRPr="00920585" w:rsidRDefault="0006302B" w:rsidP="00341DAD">
            <w:pPr>
              <w:ind w:left="0"/>
              <w:jc w:val="both"/>
              <w:rPr>
                <w:rFonts w:ascii="Bookman Old Style" w:hAnsi="Bookman Old Style" w:cs="Arial"/>
                <w:sz w:val="18"/>
                <w:szCs w:val="18"/>
                <w:lang w:val="es-CO" w:eastAsia="es-MX"/>
              </w:rPr>
            </w:pPr>
          </w:p>
          <w:p w14:paraId="6911B03C" w14:textId="1886FEE9"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El valor de la capacidad del tramo corresponderá al valor de la CMMP que haya declarado el transportador al</w:t>
            </w:r>
            <w:r w:rsidR="003F3A91" w:rsidRPr="00920585">
              <w:rPr>
                <w:rFonts w:ascii="Bookman Old Style" w:hAnsi="Bookman Old Style"/>
                <w:sz w:val="18"/>
                <w:szCs w:val="18"/>
                <w:u w:color="FF0000"/>
                <w:lang w:val="es-CO"/>
              </w:rPr>
              <w:t xml:space="preserve"> Gestor</w:t>
            </w:r>
            <w:r w:rsidRPr="00920585">
              <w:rPr>
                <w:rFonts w:ascii="Bookman Old Style" w:hAnsi="Bookman Old Style" w:cs="Arial"/>
                <w:sz w:val="18"/>
                <w:szCs w:val="18"/>
                <w:lang w:val="es-CO" w:eastAsia="es-MX"/>
              </w:rPr>
              <w:t>.</w:t>
            </w:r>
          </w:p>
          <w:p w14:paraId="66A2D62C" w14:textId="77777777" w:rsidR="0006302B" w:rsidRPr="00920585" w:rsidRDefault="0006302B" w:rsidP="00341DAD">
            <w:pPr>
              <w:ind w:left="0"/>
              <w:jc w:val="both"/>
              <w:rPr>
                <w:rFonts w:ascii="Bookman Old Style" w:hAnsi="Bookman Old Style" w:cs="Arial"/>
                <w:sz w:val="18"/>
                <w:szCs w:val="18"/>
                <w:lang w:val="es-CO" w:eastAsia="es-MX"/>
              </w:rPr>
            </w:pPr>
          </w:p>
          <w:p w14:paraId="0FFF30CD"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Para los mercados relevantes, el cálculo tendrá en cuenta las capacidades del último tramo de transporte necesario para abastecer el mercado relevante.</w:t>
            </w:r>
          </w:p>
          <w:p w14:paraId="4BFFE1A4" w14:textId="77777777" w:rsidR="0006302B" w:rsidRPr="00920585" w:rsidRDefault="0006302B" w:rsidP="00341DAD">
            <w:pPr>
              <w:ind w:left="0"/>
              <w:jc w:val="both"/>
              <w:rPr>
                <w:rFonts w:ascii="Bookman Old Style" w:hAnsi="Bookman Old Style" w:cs="Arial"/>
                <w:sz w:val="18"/>
                <w:szCs w:val="18"/>
                <w:lang w:val="es-CO" w:eastAsia="es-MX"/>
              </w:rPr>
            </w:pPr>
          </w:p>
          <w:p w14:paraId="3280411F"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lastRenderedPageBreak/>
              <w:t xml:space="preserve">Este indicador debe calcularse para todos los mercados relevantes. </w:t>
            </w:r>
          </w:p>
          <w:p w14:paraId="7D4F155B" w14:textId="77777777" w:rsidR="0006302B" w:rsidRPr="00920585" w:rsidRDefault="0006302B" w:rsidP="00341DAD">
            <w:pPr>
              <w:ind w:left="0"/>
              <w:jc w:val="both"/>
              <w:rPr>
                <w:rFonts w:ascii="Bookman Old Style" w:hAnsi="Bookman Old Style" w:cs="Arial"/>
                <w:sz w:val="18"/>
                <w:szCs w:val="18"/>
                <w:lang w:val="es-CO" w:eastAsia="es-MX"/>
              </w:rPr>
            </w:pPr>
          </w:p>
          <w:p w14:paraId="5DF32EC1"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b/>
                <w:sz w:val="18"/>
                <w:szCs w:val="18"/>
                <w:lang w:val="es-CO" w:eastAsia="es-MX"/>
              </w:rPr>
              <w:t>Periodicidad de cálculo</w:t>
            </w:r>
            <w:r w:rsidRPr="00920585">
              <w:rPr>
                <w:rFonts w:ascii="Bookman Old Style" w:hAnsi="Bookman Old Style" w:cs="Arial"/>
                <w:sz w:val="18"/>
                <w:szCs w:val="18"/>
                <w:lang w:val="es-CO" w:eastAsia="es-MX"/>
              </w:rPr>
              <w:t>: mensual.</w:t>
            </w:r>
          </w:p>
          <w:p w14:paraId="55559521" w14:textId="77777777" w:rsidR="0006302B" w:rsidRPr="00920585" w:rsidRDefault="0006302B" w:rsidP="00341DAD">
            <w:pPr>
              <w:jc w:val="both"/>
              <w:rPr>
                <w:rFonts w:ascii="Bookman Old Style" w:hAnsi="Bookman Old Style" w:cs="Arial"/>
                <w:sz w:val="18"/>
                <w:szCs w:val="18"/>
                <w:lang w:val="es-CO" w:eastAsia="es-MX"/>
              </w:rPr>
            </w:pPr>
          </w:p>
          <w:p w14:paraId="4F46E5DC"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cada uno de los meses de los siguientes 12 meses.</w:t>
            </w:r>
          </w:p>
        </w:tc>
        <w:tc>
          <w:tcPr>
            <w:tcW w:w="2268" w:type="dxa"/>
            <w:vAlign w:val="center"/>
          </w:tcPr>
          <w:p w14:paraId="6DECFEB6" w14:textId="58D4A7D8"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lastRenderedPageBreak/>
              <w:t>Los indicadores para cada mercado relevante para la SSPD, SIC y CREG</w:t>
            </w:r>
          </w:p>
        </w:tc>
      </w:tr>
      <w:tr w:rsidR="0006302B" w:rsidRPr="0013707D" w14:paraId="13EE3B44" w14:textId="77777777" w:rsidTr="00996A90">
        <w:trPr>
          <w:trHeight w:val="584"/>
        </w:trPr>
        <w:tc>
          <w:tcPr>
            <w:tcW w:w="738" w:type="dxa"/>
            <w:vAlign w:val="center"/>
          </w:tcPr>
          <w:p w14:paraId="3B9858E2"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sz w:val="18"/>
                <w:szCs w:val="18"/>
                <w:lang w:val="es-CO" w:eastAsia="es-MX"/>
              </w:rPr>
              <w:t>MP15</w:t>
            </w:r>
          </w:p>
        </w:tc>
        <w:tc>
          <w:tcPr>
            <w:tcW w:w="2551" w:type="dxa"/>
            <w:vAlign w:val="center"/>
          </w:tcPr>
          <w:p w14:paraId="5E96B675" w14:textId="77777777" w:rsidR="0006302B" w:rsidRPr="00920585" w:rsidRDefault="00FB7B28" w:rsidP="00341DAD">
            <w:pPr>
              <w:ind w:left="0"/>
              <w:rPr>
                <w:rFonts w:ascii="Bookman Old Style" w:hAnsi="Bookman Old Style" w:cs="Arial"/>
                <w:iCs/>
                <w:color w:val="000000"/>
                <w:kern w:val="24"/>
                <w:sz w:val="18"/>
                <w:szCs w:val="18"/>
                <w:lang w:val="es-CO" w:eastAsia="es-MX"/>
              </w:rPr>
            </w:pPr>
            <m:oMathPara>
              <m:oMathParaPr>
                <m:jc m:val="center"/>
              </m:oMathParaPr>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Mod contrato  dda no reg cap T</m:t>
                    </m:r>
                  </m:num>
                  <m:den>
                    <m:r>
                      <m:rPr>
                        <m:sty m:val="p"/>
                      </m:rPr>
                      <w:rPr>
                        <w:rFonts w:ascii="Cambria Math" w:hAnsi="Cambria Math" w:cs="Arial"/>
                        <w:sz w:val="18"/>
                        <w:szCs w:val="18"/>
                        <w:lang w:val="es-CO" w:eastAsia="es-MX"/>
                      </w:rPr>
                      <m:t>Cap del tramo</m:t>
                    </m:r>
                  </m:den>
                </m:f>
              </m:oMath>
            </m:oMathPara>
          </w:p>
        </w:tc>
        <w:tc>
          <w:tcPr>
            <w:tcW w:w="3544" w:type="dxa"/>
            <w:vAlign w:val="center"/>
          </w:tcPr>
          <w:p w14:paraId="56E296F8"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hAnsi="Bookman Old Style" w:cs="Arial"/>
                <w:color w:val="000000"/>
                <w:sz w:val="18"/>
                <w:szCs w:val="18"/>
                <w:lang w:val="es-CO"/>
              </w:rPr>
              <w:t>Para los contratos con destino a la demanda no regulada, calcular cuánto representa cada modalidad de contratos de capacidad de transporte en relación con la capacidad del tramo.</w:t>
            </w:r>
          </w:p>
          <w:p w14:paraId="4DC69A95" w14:textId="77777777" w:rsidR="0006302B" w:rsidRPr="00920585" w:rsidRDefault="0006302B" w:rsidP="00341DAD">
            <w:pPr>
              <w:ind w:left="0"/>
              <w:jc w:val="both"/>
              <w:rPr>
                <w:rFonts w:ascii="Bookman Old Style" w:hAnsi="Bookman Old Style" w:cs="Arial"/>
                <w:color w:val="000000"/>
                <w:sz w:val="18"/>
                <w:szCs w:val="18"/>
                <w:lang w:val="es-CO"/>
              </w:rPr>
            </w:pPr>
          </w:p>
          <w:p w14:paraId="572534F2"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En un mes, el valor de cada modalidad de contratos corresponderá al mayor valor de capacidad de transporte observado en esa modalidad en uno de los días del mes correspondiente.</w:t>
            </w:r>
          </w:p>
          <w:p w14:paraId="496D1A8E" w14:textId="77777777" w:rsidR="0006302B" w:rsidRPr="00920585" w:rsidRDefault="0006302B" w:rsidP="00341DAD">
            <w:pPr>
              <w:ind w:left="0"/>
              <w:jc w:val="both"/>
              <w:rPr>
                <w:rFonts w:ascii="Bookman Old Style" w:hAnsi="Bookman Old Style" w:cs="Arial"/>
                <w:color w:val="000000"/>
                <w:sz w:val="18"/>
                <w:szCs w:val="18"/>
                <w:lang w:val="es-CO"/>
              </w:rPr>
            </w:pPr>
          </w:p>
          <w:p w14:paraId="79A08FFA" w14:textId="7A18EDA5"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 xml:space="preserve">El valor de la capacidad del tramo corresponderá al valor de la CMMP que haya declarado el transportador al </w:t>
            </w:r>
            <w:r w:rsidR="003F3A91" w:rsidRPr="00920585">
              <w:rPr>
                <w:rFonts w:ascii="Bookman Old Style" w:hAnsi="Bookman Old Style"/>
                <w:sz w:val="18"/>
                <w:szCs w:val="18"/>
                <w:u w:color="FF0000"/>
                <w:lang w:val="es-CO"/>
              </w:rPr>
              <w:t>Gestor</w:t>
            </w:r>
          </w:p>
          <w:p w14:paraId="1FC05439" w14:textId="77777777" w:rsidR="0006302B" w:rsidRPr="00920585" w:rsidRDefault="0006302B" w:rsidP="00341DAD">
            <w:pPr>
              <w:ind w:left="0"/>
              <w:jc w:val="both"/>
              <w:rPr>
                <w:rFonts w:ascii="Bookman Old Style" w:hAnsi="Bookman Old Style" w:cs="Arial"/>
                <w:color w:val="000000"/>
                <w:sz w:val="18"/>
                <w:szCs w:val="18"/>
                <w:lang w:val="es-CO"/>
              </w:rPr>
            </w:pPr>
          </w:p>
          <w:p w14:paraId="306BBF7D"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El cálculo tendrá en cuenta las capacidades del último tramo de transporte necesario para abastecer el usuario no regulado.</w:t>
            </w:r>
          </w:p>
          <w:p w14:paraId="309DDB67" w14:textId="77777777" w:rsidR="0006302B" w:rsidRPr="00920585" w:rsidRDefault="0006302B" w:rsidP="00341DAD">
            <w:pPr>
              <w:ind w:left="0"/>
              <w:jc w:val="both"/>
              <w:rPr>
                <w:rFonts w:ascii="Bookman Old Style" w:hAnsi="Bookman Old Style" w:cs="Arial"/>
                <w:color w:val="000000"/>
                <w:sz w:val="18"/>
                <w:szCs w:val="18"/>
                <w:lang w:val="es-CO"/>
              </w:rPr>
            </w:pPr>
          </w:p>
          <w:p w14:paraId="32F6D2B7"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 xml:space="preserve">Este indicador debe calcularse para todos los usuarios no regulados. </w:t>
            </w:r>
          </w:p>
          <w:p w14:paraId="41FE7738" w14:textId="77777777" w:rsidR="0006302B" w:rsidRPr="00920585" w:rsidRDefault="0006302B" w:rsidP="00341DAD">
            <w:pPr>
              <w:jc w:val="both"/>
              <w:rPr>
                <w:rFonts w:ascii="Bookman Old Style" w:hAnsi="Bookman Old Style" w:cs="Arial"/>
                <w:sz w:val="18"/>
                <w:szCs w:val="18"/>
                <w:lang w:val="es-CO" w:eastAsia="es-MX"/>
              </w:rPr>
            </w:pPr>
          </w:p>
          <w:p w14:paraId="5A3076C9"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b/>
                <w:sz w:val="18"/>
                <w:szCs w:val="18"/>
                <w:lang w:val="es-CO" w:eastAsia="es-MX"/>
              </w:rPr>
              <w:t>Periodicidad de cálculo</w:t>
            </w:r>
            <w:r w:rsidRPr="00920585">
              <w:rPr>
                <w:rFonts w:ascii="Bookman Old Style" w:hAnsi="Bookman Old Style" w:cs="Arial"/>
                <w:sz w:val="18"/>
                <w:szCs w:val="18"/>
                <w:lang w:val="es-CO" w:eastAsia="es-MX"/>
              </w:rPr>
              <w:t>: mensual.</w:t>
            </w:r>
          </w:p>
          <w:p w14:paraId="1049D5E3" w14:textId="77777777" w:rsidR="0006302B" w:rsidRPr="00920585" w:rsidRDefault="0006302B" w:rsidP="00341DAD">
            <w:pPr>
              <w:jc w:val="both"/>
              <w:rPr>
                <w:rFonts w:ascii="Bookman Old Style" w:hAnsi="Bookman Old Style" w:cs="Arial"/>
                <w:sz w:val="18"/>
                <w:szCs w:val="18"/>
                <w:lang w:val="es-CO" w:eastAsia="es-MX"/>
              </w:rPr>
            </w:pPr>
          </w:p>
          <w:p w14:paraId="7B9F2946"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cada uno de los meses de los siguientes 12 meses.</w:t>
            </w:r>
          </w:p>
        </w:tc>
        <w:tc>
          <w:tcPr>
            <w:tcW w:w="2268" w:type="dxa"/>
            <w:vAlign w:val="center"/>
          </w:tcPr>
          <w:p w14:paraId="23FF4B08" w14:textId="7137F151" w:rsidR="0006302B" w:rsidRPr="00920585" w:rsidRDefault="0006302B" w:rsidP="00920585">
            <w:pPr>
              <w:ind w:left="0"/>
              <w:contextualSpacing/>
              <w:jc w:val="center"/>
              <w:rPr>
                <w:rFonts w:ascii="Bookman Old Style" w:eastAsia="Calibri" w:hAnsi="Bookman Old Style" w:cs="Arial"/>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para cada usuario no regulado para la SSPD, SIC y CREG</w:t>
            </w:r>
          </w:p>
        </w:tc>
      </w:tr>
      <w:tr w:rsidR="0006302B" w:rsidRPr="0013707D" w14:paraId="1D48E150" w14:textId="77777777" w:rsidTr="00996A90">
        <w:trPr>
          <w:trHeight w:val="584"/>
        </w:trPr>
        <w:tc>
          <w:tcPr>
            <w:tcW w:w="738" w:type="dxa"/>
            <w:vAlign w:val="center"/>
          </w:tcPr>
          <w:p w14:paraId="35644C83"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MP16</w:t>
            </w:r>
          </w:p>
        </w:tc>
        <w:tc>
          <w:tcPr>
            <w:tcW w:w="2551" w:type="dxa"/>
            <w:vAlign w:val="center"/>
          </w:tcPr>
          <w:p w14:paraId="63D808E4" w14:textId="77777777" w:rsidR="0006302B" w:rsidRPr="00920585" w:rsidRDefault="00FB7B28" w:rsidP="00341DAD">
            <w:pPr>
              <w:ind w:left="0"/>
              <w:rPr>
                <w:rFonts w:ascii="Bookman Old Style" w:hAnsi="Bookman Old Style" w:cs="Arial"/>
                <w:sz w:val="18"/>
                <w:szCs w:val="18"/>
                <w:lang w:val="es-CO"/>
              </w:rPr>
            </w:pPr>
            <m:oMathPara>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 xml:space="preserve">Contratos Agente </m:t>
                    </m:r>
                  </m:num>
                  <m:den>
                    <m:r>
                      <m:rPr>
                        <m:sty m:val="p"/>
                      </m:rPr>
                      <w:rPr>
                        <w:rFonts w:ascii="Cambria Math" w:hAnsi="Cambria Math" w:cs="Arial"/>
                        <w:sz w:val="18"/>
                        <w:szCs w:val="18"/>
                        <w:lang w:val="es-CO" w:eastAsia="es-MX"/>
                      </w:rPr>
                      <m:t>Oferta comprometida</m:t>
                    </m:r>
                  </m:den>
                </m:f>
              </m:oMath>
            </m:oMathPara>
          </w:p>
        </w:tc>
        <w:tc>
          <w:tcPr>
            <w:tcW w:w="3544" w:type="dxa"/>
            <w:vAlign w:val="center"/>
          </w:tcPr>
          <w:p w14:paraId="71DA01B8"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5380E974"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En este cálculo no se tendrán en cuenta los contratos con interrupciones.</w:t>
            </w:r>
          </w:p>
          <w:p w14:paraId="1388D97D"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040C5BCB" w14:textId="20737270"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 xml:space="preserve">En la oferta comprometida también deben incluirse todos los contratos vigentes y negociados antes de la entrada en operación del </w:t>
            </w:r>
            <w:r w:rsidR="0022131A" w:rsidRPr="00920585">
              <w:rPr>
                <w:rFonts w:ascii="Bookman Old Style" w:eastAsia="Calibri" w:hAnsi="Bookman Old Style" w:cs="Arial"/>
                <w:kern w:val="24"/>
                <w:sz w:val="18"/>
                <w:szCs w:val="18"/>
                <w:u w:color="FF0000"/>
                <w:lang w:val="es-CO" w:eastAsia="es-MX"/>
              </w:rPr>
              <w:t>Gestor</w:t>
            </w:r>
            <w:r w:rsidRPr="00920585">
              <w:rPr>
                <w:rFonts w:ascii="Bookman Old Style" w:eastAsia="Calibri" w:hAnsi="Bookman Old Style" w:cs="Arial"/>
                <w:kern w:val="24"/>
                <w:sz w:val="18"/>
                <w:szCs w:val="18"/>
                <w:lang w:val="es-CO" w:eastAsia="es-MX"/>
              </w:rPr>
              <w:t xml:space="preserve"> </w:t>
            </w:r>
            <w:r w:rsidRPr="00920585">
              <w:rPr>
                <w:rFonts w:ascii="Bookman Old Style" w:eastAsia="Calibri" w:hAnsi="Bookman Old Style" w:cs="Arial"/>
                <w:color w:val="000000"/>
                <w:kern w:val="24"/>
                <w:sz w:val="18"/>
                <w:szCs w:val="18"/>
                <w:lang w:val="es-CO" w:eastAsia="es-MX"/>
              </w:rPr>
              <w:t xml:space="preserve">del Mercado de gas natural. </w:t>
            </w:r>
          </w:p>
          <w:p w14:paraId="692A23E1"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10AF643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w:t>
            </w:r>
            <w:r w:rsidRPr="00920585">
              <w:rPr>
                <w:rFonts w:ascii="Bookman Old Style" w:eastAsia="Calibri" w:hAnsi="Bookman Old Style" w:cs="Arial"/>
                <w:color w:val="000000"/>
                <w:kern w:val="24"/>
                <w:sz w:val="18"/>
                <w:szCs w:val="18"/>
                <w:lang w:val="es-CO" w:eastAsia="es-MX"/>
              </w:rPr>
              <w:t>anual, después del proceso de negociación.</w:t>
            </w:r>
          </w:p>
          <w:p w14:paraId="33A4D7B8"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todos los meses en donde se haya comprometido la oferta.</w:t>
            </w:r>
          </w:p>
        </w:tc>
        <w:tc>
          <w:tcPr>
            <w:tcW w:w="2268" w:type="dxa"/>
            <w:vAlign w:val="center"/>
          </w:tcPr>
          <w:p w14:paraId="55F46EBB" w14:textId="0A31A731"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por agente, fuente y por productor para la SSPD, SIC y CREG</w:t>
            </w:r>
          </w:p>
        </w:tc>
      </w:tr>
      <w:tr w:rsidR="0006302B" w:rsidRPr="0013707D" w14:paraId="010E0D62" w14:textId="77777777" w:rsidTr="00996A90">
        <w:trPr>
          <w:trHeight w:val="584"/>
        </w:trPr>
        <w:tc>
          <w:tcPr>
            <w:tcW w:w="738" w:type="dxa"/>
            <w:vAlign w:val="center"/>
          </w:tcPr>
          <w:p w14:paraId="0FF88AB0" w14:textId="77777777" w:rsidR="0006302B" w:rsidRPr="00920585" w:rsidRDefault="0006302B" w:rsidP="00996A90">
            <w:pPr>
              <w:ind w:left="0"/>
              <w:jc w:val="center"/>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MP17</w:t>
            </w:r>
          </w:p>
        </w:tc>
        <w:tc>
          <w:tcPr>
            <w:tcW w:w="2551" w:type="dxa"/>
            <w:vAlign w:val="center"/>
          </w:tcPr>
          <w:p w14:paraId="4CED467F" w14:textId="77777777" w:rsidR="0006302B" w:rsidRPr="00920585" w:rsidRDefault="00FB7B28" w:rsidP="00996A90">
            <w:pPr>
              <w:ind w:left="0"/>
              <w:jc w:val="center"/>
              <w:rPr>
                <w:rFonts w:ascii="Bookman Old Style" w:hAnsi="Bookman Old Style" w:cs="Arial"/>
                <w:iCs/>
                <w:color w:val="000000"/>
                <w:kern w:val="24"/>
                <w:sz w:val="18"/>
                <w:szCs w:val="18"/>
                <w:lang w:val="es-CO" w:eastAsia="es-MX"/>
              </w:rPr>
            </w:pPr>
            <m:oMathPara>
              <m:oMath>
                <m:f>
                  <m:fPr>
                    <m:ctrlPr>
                      <w:rPr>
                        <w:rFonts w:ascii="Cambria Math" w:hAnsi="Cambria Math" w:cs="Arial"/>
                        <w:sz w:val="18"/>
                        <w:szCs w:val="18"/>
                        <w:lang w:val="es-CO" w:eastAsia="es-MX"/>
                      </w:rPr>
                    </m:ctrlPr>
                  </m:fPr>
                  <m:num>
                    <m:r>
                      <m:rPr>
                        <m:sty m:val="p"/>
                      </m:rPr>
                      <w:rPr>
                        <w:rFonts w:ascii="Cambria Math" w:hAnsi="Cambria Math" w:cs="Arial"/>
                        <w:sz w:val="18"/>
                        <w:szCs w:val="18"/>
                        <w:lang w:val="es-CO" w:eastAsia="es-MX"/>
                      </w:rPr>
                      <m:t xml:space="preserve">Contratos cap T Agente  </m:t>
                    </m:r>
                  </m:num>
                  <m:den>
                    <m:r>
                      <m:rPr>
                        <m:sty m:val="p"/>
                      </m:rPr>
                      <w:rPr>
                        <w:rFonts w:ascii="Cambria Math" w:hAnsi="Cambria Math" w:cs="Arial"/>
                        <w:sz w:val="18"/>
                        <w:szCs w:val="18"/>
                        <w:lang w:val="es-CO" w:eastAsia="es-MX"/>
                      </w:rPr>
                      <m:t>Cap del tramo</m:t>
                    </m:r>
                  </m:den>
                </m:f>
              </m:oMath>
            </m:oMathPara>
          </w:p>
        </w:tc>
        <w:tc>
          <w:tcPr>
            <w:tcW w:w="3544" w:type="dxa"/>
            <w:vAlign w:val="center"/>
          </w:tcPr>
          <w:p w14:paraId="45B657B1"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 xml:space="preserve">Después del proceso de negociación previsto en el artículo 24 de la Resolución CREG 089 de 2013 o aquella que lo modifique, adicione o sustituya, por cada tramo regulatorio, calcular qué agentes tienen los contratos de capacidad de transporte, así: contratos que tiene cada agente </w:t>
            </w:r>
            <w:r w:rsidRPr="00920585">
              <w:rPr>
                <w:rFonts w:ascii="Bookman Old Style" w:eastAsia="Calibri" w:hAnsi="Bookman Old Style" w:cs="Arial"/>
                <w:color w:val="000000"/>
                <w:kern w:val="24"/>
                <w:sz w:val="18"/>
                <w:szCs w:val="18"/>
                <w:lang w:val="es-CO" w:eastAsia="es-MX"/>
              </w:rPr>
              <w:lastRenderedPageBreak/>
              <w:t>en relación con la capacidad del tramo.</w:t>
            </w:r>
          </w:p>
          <w:p w14:paraId="7F4F0E2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16DF84E7"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En un mes, el valor de los contratos de un agente corresponderá al valor máximo de contratación de ese agente en algunos de los días del correspondiente mes.</w:t>
            </w:r>
          </w:p>
          <w:p w14:paraId="17FA605F" w14:textId="77777777" w:rsidR="0006302B" w:rsidRPr="00920585" w:rsidRDefault="0006302B" w:rsidP="00341DAD">
            <w:pPr>
              <w:ind w:left="0"/>
              <w:jc w:val="both"/>
              <w:rPr>
                <w:rFonts w:ascii="Bookman Old Style" w:hAnsi="Bookman Old Style" w:cs="Arial"/>
                <w:sz w:val="18"/>
                <w:szCs w:val="18"/>
                <w:lang w:val="es-CO" w:eastAsia="es-MX"/>
              </w:rPr>
            </w:pPr>
          </w:p>
          <w:p w14:paraId="7B4FD6CD" w14:textId="1D553903"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hAnsi="Bookman Old Style" w:cs="Arial"/>
                <w:sz w:val="18"/>
                <w:szCs w:val="18"/>
                <w:lang w:val="es-CO" w:eastAsia="es-MX"/>
              </w:rPr>
              <w:t xml:space="preserve">El valor de la capacidad del tramo corresponderá al valor de la CMMP que haya declarado el transportador al </w:t>
            </w:r>
            <w:r w:rsidR="0022131A" w:rsidRPr="00920585">
              <w:rPr>
                <w:rFonts w:ascii="Bookman Old Style" w:hAnsi="Bookman Old Style" w:cs="Arial"/>
                <w:sz w:val="18"/>
                <w:szCs w:val="18"/>
                <w:u w:color="FF0000"/>
                <w:lang w:val="es-CO" w:eastAsia="es-MX"/>
              </w:rPr>
              <w:t>Gestor</w:t>
            </w:r>
            <w:r w:rsidRPr="00920585">
              <w:rPr>
                <w:rFonts w:ascii="Bookman Old Style" w:hAnsi="Bookman Old Style" w:cs="Arial"/>
                <w:sz w:val="18"/>
                <w:szCs w:val="18"/>
                <w:lang w:val="es-CO" w:eastAsia="es-MX"/>
              </w:rPr>
              <w:t>.</w:t>
            </w:r>
          </w:p>
          <w:p w14:paraId="40F082D0"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65D747A4"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w:t>
            </w:r>
            <w:r w:rsidRPr="00920585">
              <w:rPr>
                <w:rFonts w:ascii="Bookman Old Style" w:eastAsia="Calibri" w:hAnsi="Bookman Old Style" w:cs="Arial"/>
                <w:color w:val="000000"/>
                <w:kern w:val="24"/>
                <w:sz w:val="18"/>
                <w:szCs w:val="18"/>
                <w:lang w:val="es-CO" w:eastAsia="es-MX"/>
              </w:rPr>
              <w:t>anual, después del proceso de negociación.</w:t>
            </w:r>
          </w:p>
          <w:p w14:paraId="0EE455DE" w14:textId="77777777" w:rsidR="0006302B" w:rsidRPr="00920585" w:rsidRDefault="0006302B" w:rsidP="00341DAD">
            <w:pPr>
              <w:jc w:val="both"/>
              <w:rPr>
                <w:rFonts w:ascii="Bookman Old Style" w:eastAsia="Calibri" w:hAnsi="Bookman Old Style" w:cs="Arial"/>
                <w:color w:val="000000"/>
                <w:kern w:val="24"/>
                <w:sz w:val="18"/>
                <w:szCs w:val="18"/>
                <w:lang w:val="es-CO" w:eastAsia="es-MX"/>
              </w:rPr>
            </w:pPr>
          </w:p>
          <w:p w14:paraId="68BEDFB7" w14:textId="77777777" w:rsidR="0006302B" w:rsidRPr="00920585" w:rsidRDefault="0006302B" w:rsidP="00341DAD">
            <w:pPr>
              <w:ind w:left="0"/>
              <w:jc w:val="both"/>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para cada uno de los meses de los siguientes 12 meses.</w:t>
            </w:r>
          </w:p>
        </w:tc>
        <w:tc>
          <w:tcPr>
            <w:tcW w:w="2268" w:type="dxa"/>
            <w:vAlign w:val="center"/>
          </w:tcPr>
          <w:p w14:paraId="7D9966EA"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lastRenderedPageBreak/>
              <w:t>Los indicadores por agente y tramo regulatorio para la SSPD, SIC y CREG</w:t>
            </w:r>
          </w:p>
        </w:tc>
      </w:tr>
      <w:tr w:rsidR="0006302B" w:rsidRPr="0013707D" w14:paraId="7CE24CFF" w14:textId="77777777" w:rsidTr="00996A90">
        <w:trPr>
          <w:trHeight w:val="584"/>
        </w:trPr>
        <w:tc>
          <w:tcPr>
            <w:tcW w:w="738" w:type="dxa"/>
            <w:vAlign w:val="center"/>
          </w:tcPr>
          <w:p w14:paraId="13240B26" w14:textId="77777777" w:rsidR="0006302B" w:rsidRPr="00920585" w:rsidRDefault="0006302B" w:rsidP="00341DAD">
            <w:pPr>
              <w:ind w:left="0"/>
              <w:rPr>
                <w:rFonts w:ascii="Bookman Old Style" w:hAnsi="Bookman Old Style" w:cs="Arial"/>
                <w:color w:val="000000"/>
                <w:kern w:val="24"/>
                <w:sz w:val="18"/>
                <w:szCs w:val="18"/>
                <w:lang w:val="es-CO" w:eastAsia="es-MX"/>
              </w:rPr>
            </w:pPr>
            <w:r w:rsidRPr="00920585">
              <w:rPr>
                <w:rFonts w:ascii="Bookman Old Style" w:hAnsi="Bookman Old Style" w:cs="Arial"/>
                <w:color w:val="000000"/>
                <w:kern w:val="24"/>
                <w:sz w:val="18"/>
                <w:szCs w:val="18"/>
                <w:lang w:val="es-CO" w:eastAsia="es-MX"/>
              </w:rPr>
              <w:t>MP18</w:t>
            </w:r>
          </w:p>
        </w:tc>
        <w:tc>
          <w:tcPr>
            <w:tcW w:w="2551" w:type="dxa"/>
            <w:vAlign w:val="center"/>
          </w:tcPr>
          <w:p w14:paraId="68CC5A2A" w14:textId="77777777" w:rsidR="0006302B" w:rsidRPr="00920585" w:rsidRDefault="0006302B" w:rsidP="00341DAD">
            <w:pPr>
              <w:ind w:left="0"/>
              <w:rPr>
                <w:rFonts w:ascii="Bookman Old Style" w:hAnsi="Bookman Old Style" w:cs="Arial"/>
                <w:sz w:val="18"/>
                <w:szCs w:val="18"/>
                <w:lang w:val="es-CO"/>
              </w:rPr>
            </w:pPr>
            <m:oMathPara>
              <m:oMath>
                <m:r>
                  <m:rPr>
                    <m:sty m:val="p"/>
                  </m:rPr>
                  <w:rPr>
                    <w:rFonts w:ascii="Cambria Math" w:hAnsi="Cambria Math" w:cs="Arial"/>
                    <w:sz w:val="18"/>
                    <w:szCs w:val="18"/>
                    <w:lang w:val="es-CO"/>
                  </w:rPr>
                  <m:t>Precio de los contratos</m:t>
                </m:r>
              </m:oMath>
            </m:oMathPara>
          </w:p>
        </w:tc>
        <w:tc>
          <w:tcPr>
            <w:tcW w:w="3544" w:type="dxa"/>
            <w:vAlign w:val="center"/>
          </w:tcPr>
          <w:p w14:paraId="02ABECCB"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p>
          <w:p w14:paraId="18A7D65B" w14:textId="77777777" w:rsidR="0006302B" w:rsidRPr="00920585" w:rsidRDefault="0006302B" w:rsidP="00341DAD">
            <w:pPr>
              <w:ind w:left="0"/>
              <w:jc w:val="both"/>
              <w:rPr>
                <w:rFonts w:ascii="Bookman Old Style" w:hAnsi="Bookman Old Style" w:cs="Arial"/>
                <w:sz w:val="18"/>
                <w:szCs w:val="18"/>
                <w:lang w:val="es-CO" w:eastAsia="es-MX"/>
              </w:rPr>
            </w:pPr>
            <w:r w:rsidRPr="00920585">
              <w:rPr>
                <w:rFonts w:ascii="Bookman Old Style" w:eastAsia="Calibri" w:hAnsi="Bookman Old Style" w:cs="Arial"/>
                <w:color w:val="000000"/>
                <w:kern w:val="24"/>
                <w:sz w:val="18"/>
                <w:szCs w:val="18"/>
                <w:lang w:val="es-CO" w:eastAsia="es-MX"/>
              </w:rPr>
              <w:t>Por fuente, por productor, por modalidad contractual, de manera agregada (i.e. total nacional) y desagregada (i.e. por campo) y por tipo de demanda calcular precios promedios.</w:t>
            </w:r>
          </w:p>
          <w:p w14:paraId="79D713C9" w14:textId="77777777" w:rsidR="0006302B" w:rsidRPr="00920585" w:rsidRDefault="0006302B" w:rsidP="00341DAD">
            <w:pPr>
              <w:jc w:val="both"/>
              <w:rPr>
                <w:rFonts w:ascii="Bookman Old Style" w:eastAsia="Calibri" w:hAnsi="Bookman Old Style" w:cs="Arial"/>
                <w:b/>
                <w:color w:val="000000"/>
                <w:kern w:val="24"/>
                <w:sz w:val="18"/>
                <w:szCs w:val="18"/>
                <w:lang w:val="es-CO" w:eastAsia="es-MX"/>
              </w:rPr>
            </w:pPr>
          </w:p>
          <w:p w14:paraId="4B1EF5BD" w14:textId="77777777" w:rsidR="0006302B" w:rsidRPr="00920585" w:rsidRDefault="0006302B" w:rsidP="00341DAD">
            <w:pPr>
              <w:ind w:left="0"/>
              <w:jc w:val="both"/>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b/>
                <w:color w:val="000000"/>
                <w:kern w:val="24"/>
                <w:sz w:val="18"/>
                <w:szCs w:val="18"/>
                <w:lang w:val="es-CO" w:eastAsia="es-MX"/>
              </w:rPr>
              <w:t xml:space="preserve">Periodicidad de cálculo: y de publicación: </w:t>
            </w:r>
            <w:r w:rsidRPr="00920585">
              <w:rPr>
                <w:rFonts w:ascii="Bookman Old Style" w:eastAsia="Calibri" w:hAnsi="Bookman Old Style" w:cs="Arial"/>
                <w:b/>
                <w:bCs/>
                <w:color w:val="000000"/>
                <w:kern w:val="24"/>
                <w:sz w:val="18"/>
                <w:szCs w:val="18"/>
                <w:lang w:val="es-CO" w:eastAsia="es-MX"/>
              </w:rPr>
              <w:t>mensual dentro de los primeros tres (03) días hábiles del mes, con la información más reciente al momento de la publicación</w:t>
            </w:r>
            <w:r w:rsidRPr="00920585">
              <w:rPr>
                <w:rFonts w:ascii="Bookman Old Style" w:eastAsia="Calibri" w:hAnsi="Bookman Old Style" w:cs="Arial"/>
                <w:color w:val="000000"/>
                <w:kern w:val="24"/>
                <w:sz w:val="18"/>
                <w:szCs w:val="18"/>
                <w:lang w:val="es-CO" w:eastAsia="es-MX"/>
              </w:rPr>
              <w:t>.</w:t>
            </w:r>
          </w:p>
          <w:p w14:paraId="7DC626E7" w14:textId="77777777" w:rsidR="0006302B" w:rsidRPr="00920585" w:rsidRDefault="0006302B" w:rsidP="00341DAD">
            <w:pPr>
              <w:rPr>
                <w:rFonts w:ascii="Bookman Old Style" w:eastAsia="Calibri" w:hAnsi="Bookman Old Style" w:cs="Arial"/>
                <w:color w:val="000000"/>
                <w:kern w:val="24"/>
                <w:sz w:val="18"/>
                <w:szCs w:val="18"/>
                <w:lang w:val="es-CO" w:eastAsia="es-MX"/>
              </w:rPr>
            </w:pPr>
          </w:p>
          <w:p w14:paraId="35CF648E" w14:textId="77777777" w:rsidR="0006302B" w:rsidRPr="00920585" w:rsidRDefault="0006302B" w:rsidP="00341DAD">
            <w:pPr>
              <w:ind w:left="0"/>
              <w:rPr>
                <w:rFonts w:ascii="Bookman Old Style" w:hAnsi="Bookman Old Style" w:cs="Arial"/>
                <w:color w:val="000000"/>
                <w:sz w:val="18"/>
                <w:szCs w:val="18"/>
                <w:lang w:val="es-CO"/>
              </w:rPr>
            </w:pPr>
            <w:r w:rsidRPr="00920585">
              <w:rPr>
                <w:rFonts w:ascii="Bookman Old Style" w:eastAsia="Calibri" w:hAnsi="Bookman Old Style" w:cs="Arial"/>
                <w:b/>
                <w:color w:val="000000"/>
                <w:kern w:val="24"/>
                <w:sz w:val="18"/>
                <w:szCs w:val="18"/>
                <w:lang w:val="es-CO" w:eastAsia="es-MX"/>
              </w:rPr>
              <w:t xml:space="preserve">Horizonte de cálculo: </w:t>
            </w:r>
            <w:r w:rsidRPr="00920585">
              <w:rPr>
                <w:rFonts w:ascii="Bookman Old Style" w:eastAsia="Calibri" w:hAnsi="Bookman Old Style" w:cs="Arial"/>
                <w:color w:val="000000"/>
                <w:kern w:val="24"/>
                <w:sz w:val="18"/>
                <w:szCs w:val="18"/>
                <w:lang w:val="es-CO" w:eastAsia="es-MX"/>
              </w:rPr>
              <w:t>Puntual en el momento de cálculo.</w:t>
            </w:r>
          </w:p>
        </w:tc>
        <w:tc>
          <w:tcPr>
            <w:tcW w:w="2268" w:type="dxa"/>
            <w:vAlign w:val="center"/>
          </w:tcPr>
          <w:p w14:paraId="70516025" w14:textId="77777777" w:rsidR="0006302B" w:rsidRPr="00920585" w:rsidRDefault="0006302B" w:rsidP="00920585">
            <w:pPr>
              <w:ind w:left="0"/>
              <w:contextualSpacing/>
              <w:jc w:val="center"/>
              <w:rPr>
                <w:rFonts w:ascii="Bookman Old Style" w:eastAsia="Calibri" w:hAnsi="Bookman Old Style" w:cs="Arial"/>
                <w:color w:val="000000"/>
                <w:kern w:val="24"/>
                <w:sz w:val="18"/>
                <w:szCs w:val="18"/>
                <w:lang w:val="es-CO" w:eastAsia="es-MX"/>
              </w:rPr>
            </w:pPr>
            <w:r w:rsidRPr="00920585">
              <w:rPr>
                <w:rFonts w:ascii="Bookman Old Style" w:eastAsia="Calibri" w:hAnsi="Bookman Old Style" w:cs="Arial"/>
                <w:color w:val="000000"/>
                <w:kern w:val="24"/>
                <w:sz w:val="18"/>
                <w:szCs w:val="18"/>
                <w:lang w:val="es-CO" w:eastAsia="es-MX"/>
              </w:rPr>
              <w:t>Los indicadores agregados para el público general.</w:t>
            </w:r>
          </w:p>
        </w:tc>
      </w:tr>
    </w:tbl>
    <w:p w14:paraId="2BF03A1B" w14:textId="77777777" w:rsidR="003F1F43" w:rsidRPr="002D5416" w:rsidRDefault="003F1F43" w:rsidP="002D5416">
      <w:pPr>
        <w:pStyle w:val="ARTICULOS"/>
        <w:keepNext/>
        <w:numPr>
          <w:ilvl w:val="0"/>
          <w:numId w:val="0"/>
        </w:numPr>
        <w:ind w:left="567"/>
        <w:rPr>
          <w:b/>
          <w:color w:val="000000" w:themeColor="text1"/>
          <w:lang w:val="es-CO"/>
        </w:rPr>
      </w:pPr>
    </w:p>
    <w:p w14:paraId="3659E2F7" w14:textId="2F1A1E86" w:rsidR="0006302B" w:rsidRPr="0013707D" w:rsidRDefault="0006302B" w:rsidP="00A4790E">
      <w:pPr>
        <w:pStyle w:val="ARTICULOS"/>
        <w:keepNext/>
        <w:numPr>
          <w:ilvl w:val="1"/>
          <w:numId w:val="36"/>
        </w:numPr>
        <w:ind w:left="567" w:hanging="567"/>
        <w:rPr>
          <w:b/>
          <w:color w:val="000000" w:themeColor="text1"/>
          <w:lang w:val="es-CO"/>
        </w:rPr>
      </w:pPr>
      <w:r w:rsidRPr="0013707D">
        <w:rPr>
          <w:b/>
          <w:color w:val="000000"/>
          <w:lang w:val="es-CO"/>
        </w:rPr>
        <w:t xml:space="preserve">Unificación de puntos en el SNT </w:t>
      </w:r>
    </w:p>
    <w:p w14:paraId="3164F95E" w14:textId="77777777" w:rsidR="0006302B" w:rsidRPr="0013707D" w:rsidRDefault="0006302B" w:rsidP="0006302B">
      <w:pPr>
        <w:autoSpaceDE w:val="0"/>
        <w:autoSpaceDN w:val="0"/>
        <w:adjustRightInd w:val="0"/>
        <w:ind w:left="0"/>
        <w:jc w:val="both"/>
        <w:rPr>
          <w:rFonts w:ascii="Bookman Old Style" w:hAnsi="Bookman Old Style"/>
          <w:color w:val="000000" w:themeColor="text1"/>
          <w:lang w:val="es-CO"/>
        </w:rPr>
      </w:pPr>
    </w:p>
    <w:p w14:paraId="09BF6A9C" w14:textId="77777777" w:rsidR="0006302B" w:rsidRPr="0013707D" w:rsidRDefault="0006302B" w:rsidP="0006302B">
      <w:pPr>
        <w:autoSpaceDE w:val="0"/>
        <w:autoSpaceDN w:val="0"/>
        <w:adjustRightInd w:val="0"/>
        <w:jc w:val="both"/>
        <w:rPr>
          <w:rFonts w:ascii="Bookman Old Style" w:hAnsi="Bookman Old Style"/>
          <w:color w:val="000000"/>
          <w:lang w:val="es-CO"/>
        </w:rPr>
      </w:pPr>
      <w:r w:rsidRPr="0013707D">
        <w:rPr>
          <w:rFonts w:ascii="Bookman Old Style" w:hAnsi="Bookman Old Style"/>
          <w:color w:val="000000"/>
          <w:lang w:val="es-CO"/>
        </w:rPr>
        <w:t xml:space="preserve">Los puntos sobre el SNT en los que se pueda generar información relevante para el mercado, se deberán codificar teniendo en cuenta los siguientes aspectos: </w:t>
      </w:r>
    </w:p>
    <w:p w14:paraId="0F69A5E3" w14:textId="77777777" w:rsidR="0006302B" w:rsidRPr="0013707D" w:rsidRDefault="0006302B" w:rsidP="0006302B">
      <w:pPr>
        <w:autoSpaceDE w:val="0"/>
        <w:autoSpaceDN w:val="0"/>
        <w:adjustRightInd w:val="0"/>
        <w:ind w:left="0"/>
        <w:jc w:val="both"/>
        <w:rPr>
          <w:rFonts w:ascii="Bookman Old Style" w:hAnsi="Bookman Old Style"/>
          <w:color w:val="000000"/>
          <w:lang w:val="es-CO"/>
        </w:rPr>
      </w:pPr>
    </w:p>
    <w:p w14:paraId="630DA651" w14:textId="77777777" w:rsidR="0006302B" w:rsidRPr="0013707D" w:rsidRDefault="0006302B" w:rsidP="00A4790E">
      <w:pPr>
        <w:pStyle w:val="Prrafodelista"/>
        <w:numPr>
          <w:ilvl w:val="0"/>
          <w:numId w:val="69"/>
        </w:numPr>
        <w:autoSpaceDE w:val="0"/>
        <w:autoSpaceDN w:val="0"/>
        <w:adjustRightInd w:val="0"/>
        <w:ind w:left="1134" w:hanging="567"/>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Información que debe declara el transportador:</w:t>
      </w:r>
    </w:p>
    <w:p w14:paraId="1DB25BC0" w14:textId="77777777" w:rsidR="0006302B" w:rsidRPr="0013707D" w:rsidRDefault="0006302B" w:rsidP="0006302B">
      <w:pPr>
        <w:autoSpaceDE w:val="0"/>
        <w:autoSpaceDN w:val="0"/>
        <w:adjustRightInd w:val="0"/>
        <w:jc w:val="both"/>
        <w:rPr>
          <w:rFonts w:ascii="Bookman Old Style" w:hAnsi="Bookman Old Style"/>
          <w:bCs/>
          <w:color w:val="000000" w:themeColor="text1"/>
          <w:lang w:val="es-CO"/>
        </w:rPr>
      </w:pPr>
    </w:p>
    <w:p w14:paraId="5E76A4EC" w14:textId="2A5553F3" w:rsidR="0006302B" w:rsidRPr="0013707D" w:rsidRDefault="0006302B" w:rsidP="00A4790E">
      <w:pPr>
        <w:pStyle w:val="Prrafodelista"/>
        <w:numPr>
          <w:ilvl w:val="0"/>
          <w:numId w:val="70"/>
        </w:numPr>
        <w:ind w:left="1560" w:hanging="426"/>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 xml:space="preserve">Para cada punto de entrada y de salida del sistema de transporte, los transportadores deberán declarar al </w:t>
      </w:r>
      <w:r w:rsidR="003F3A91" w:rsidRPr="00956510">
        <w:rPr>
          <w:rFonts w:ascii="Bookman Old Style" w:hAnsi="Bookman Old Style"/>
          <w:sz w:val="24"/>
          <w:szCs w:val="24"/>
          <w:u w:color="FF0000"/>
        </w:rPr>
        <w:t>Gesto</w:t>
      </w:r>
      <w:r w:rsidR="003F3A91" w:rsidRPr="00E53E99">
        <w:rPr>
          <w:rFonts w:ascii="Bookman Old Style" w:hAnsi="Bookman Old Style"/>
          <w:sz w:val="24"/>
          <w:szCs w:val="24"/>
          <w:u w:color="FF0000"/>
        </w:rPr>
        <w:t>r</w:t>
      </w:r>
      <w:r w:rsidR="003F3A91" w:rsidRPr="00956510" w:rsidDel="00E53E99">
        <w:rPr>
          <w:color w:val="FF0000"/>
          <w:sz w:val="28"/>
          <w:u w:color="FF0000"/>
        </w:rPr>
        <w:t xml:space="preserve"> </w:t>
      </w:r>
      <w:r>
        <w:rPr>
          <w:rFonts w:ascii="Bookman Old Style" w:hAnsi="Bookman Old Style"/>
          <w:bCs/>
          <w:color w:val="000000" w:themeColor="text1"/>
          <w:sz w:val="24"/>
          <w:szCs w:val="24"/>
        </w:rPr>
        <w:t>del Mercado</w:t>
      </w:r>
      <w:r w:rsidRPr="0013707D">
        <w:rPr>
          <w:rFonts w:ascii="Bookman Old Style" w:hAnsi="Bookman Old Style"/>
          <w:bCs/>
          <w:color w:val="000000" w:themeColor="text1"/>
          <w:sz w:val="24"/>
          <w:szCs w:val="24"/>
        </w:rPr>
        <w:t>, y cada vez que exista una modificación o actualización, la siguiente información para todos los tramos del SNT que corresponda:</w:t>
      </w:r>
    </w:p>
    <w:p w14:paraId="08A1D937" w14:textId="77777777" w:rsidR="0006302B" w:rsidRPr="0013707D" w:rsidRDefault="0006302B" w:rsidP="0006302B">
      <w:pPr>
        <w:ind w:left="0"/>
        <w:rPr>
          <w:rFonts w:ascii="Bookman Old Style" w:hAnsi="Bookman Old Style"/>
          <w:lang w:val="es-CO"/>
        </w:rPr>
      </w:pPr>
    </w:p>
    <w:p w14:paraId="4416C089"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 xml:space="preserve">Nombre </w:t>
      </w:r>
    </w:p>
    <w:p w14:paraId="37E53265"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 xml:space="preserve">Ubicación, indicando el código de la División Político-administrativa, </w:t>
      </w:r>
      <w:proofErr w:type="spellStart"/>
      <w:r w:rsidRPr="0013707D">
        <w:rPr>
          <w:rFonts w:ascii="Bookman Old Style" w:hAnsi="Bookman Old Style"/>
          <w:bCs/>
          <w:color w:val="000000" w:themeColor="text1"/>
          <w:sz w:val="24"/>
          <w:szCs w:val="24"/>
        </w:rPr>
        <w:t>Divipola</w:t>
      </w:r>
      <w:proofErr w:type="spellEnd"/>
      <w:r w:rsidRPr="0013707D">
        <w:rPr>
          <w:rFonts w:ascii="Bookman Old Style" w:hAnsi="Bookman Old Style"/>
          <w:bCs/>
          <w:color w:val="000000" w:themeColor="text1"/>
          <w:sz w:val="24"/>
          <w:szCs w:val="24"/>
        </w:rPr>
        <w:t xml:space="preserve"> vigente, publicado en la página web del Departamento Nacional de Estadística, DANE, del centro poblado.</w:t>
      </w:r>
    </w:p>
    <w:p w14:paraId="6ECB125F"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lastRenderedPageBreak/>
        <w:t>Tramo o grupo de gasoductos sobre el cual está ubicado el punto de salida o de entrada, de acuerdo con aquellos tramos o grupos de gasoducto definidos en las resoluciones de cargos regulados aprobados por la CREG.</w:t>
      </w:r>
    </w:p>
    <w:p w14:paraId="7F8CC3DD" w14:textId="6663BEE8" w:rsidR="0006302B"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Un diagrama donde se relacione la información anterior.</w:t>
      </w:r>
    </w:p>
    <w:p w14:paraId="1B9FC295" w14:textId="77777777" w:rsidR="00472E28" w:rsidRPr="0013707D" w:rsidRDefault="00472E28" w:rsidP="00472E28">
      <w:pPr>
        <w:pStyle w:val="Prrafodelista"/>
        <w:autoSpaceDE w:val="0"/>
        <w:autoSpaceDN w:val="0"/>
        <w:adjustRightInd w:val="0"/>
        <w:ind w:left="1985"/>
        <w:jc w:val="both"/>
        <w:rPr>
          <w:rFonts w:ascii="Bookman Old Style" w:hAnsi="Bookman Old Style"/>
          <w:bCs/>
          <w:color w:val="000000" w:themeColor="text1"/>
          <w:sz w:val="24"/>
          <w:szCs w:val="24"/>
        </w:rPr>
      </w:pPr>
    </w:p>
    <w:p w14:paraId="6129D5A8" w14:textId="71CD6CAA" w:rsidR="0006302B" w:rsidRPr="0013707D" w:rsidRDefault="0006302B" w:rsidP="00A4790E">
      <w:pPr>
        <w:pStyle w:val="Prrafodelista"/>
        <w:numPr>
          <w:ilvl w:val="0"/>
          <w:numId w:val="70"/>
        </w:numPr>
        <w:ind w:left="1560" w:hanging="426"/>
        <w:jc w:val="both"/>
        <w:rPr>
          <w:rFonts w:ascii="Bookman Old Style" w:hAnsi="Bookman Old Style"/>
          <w:bCs/>
          <w:color w:val="000000"/>
          <w:sz w:val="28"/>
        </w:rPr>
      </w:pPr>
      <w:r w:rsidRPr="0013707D">
        <w:rPr>
          <w:rFonts w:ascii="Bookman Old Style" w:hAnsi="Bookman Old Style"/>
          <w:bCs/>
          <w:color w:val="000000" w:themeColor="text1"/>
          <w:sz w:val="24"/>
          <w:szCs w:val="24"/>
        </w:rPr>
        <w:t xml:space="preserve">Para (i) cada punto sobre el troncal o gasoducto principal del que se desprende un gasoducto ramal; (ii) cada punto sobre el sistema de transporte donde termina un tramo de gasoducto, definido en las resoluciones de cargos regulados aprobados por la CREG, e inicia el siguiente tramo; (iii) cada punto sobre sistema donde se ubica una estación de compresión; (iv) cada punto donde se presenta transferencia de custodia entre transportadores; el transportador declarará al </w:t>
      </w:r>
      <w:r w:rsidR="003F3A91" w:rsidRPr="00956510">
        <w:rPr>
          <w:rFonts w:ascii="Bookman Old Style" w:hAnsi="Bookman Old Style"/>
          <w:sz w:val="24"/>
          <w:szCs w:val="24"/>
          <w:u w:color="FF0000"/>
        </w:rPr>
        <w:t>Gesto</w:t>
      </w:r>
      <w:r w:rsidR="003F3A91" w:rsidRPr="00E53E99">
        <w:rPr>
          <w:rFonts w:ascii="Bookman Old Style" w:hAnsi="Bookman Old Style"/>
          <w:sz w:val="24"/>
          <w:szCs w:val="24"/>
          <w:u w:color="FF0000"/>
        </w:rPr>
        <w:t>r</w:t>
      </w:r>
      <w:r w:rsidR="003F3A91" w:rsidRPr="00956510" w:rsidDel="00E53E99">
        <w:rPr>
          <w:color w:val="FF0000"/>
          <w:sz w:val="28"/>
          <w:u w:color="FF0000"/>
        </w:rPr>
        <w:t xml:space="preserve"> </w:t>
      </w:r>
      <w:r>
        <w:rPr>
          <w:rFonts w:ascii="Bookman Old Style" w:hAnsi="Bookman Old Style"/>
          <w:bCs/>
          <w:color w:val="000000" w:themeColor="text1"/>
          <w:sz w:val="24"/>
          <w:szCs w:val="24"/>
        </w:rPr>
        <w:t>del Mercado</w:t>
      </w:r>
      <w:r w:rsidRPr="0013707D">
        <w:rPr>
          <w:rFonts w:ascii="Bookman Old Style" w:hAnsi="Bookman Old Style"/>
          <w:bCs/>
          <w:color w:val="000000" w:themeColor="text1"/>
          <w:sz w:val="24"/>
          <w:szCs w:val="24"/>
        </w:rPr>
        <w:t xml:space="preserve"> la siguiente información:</w:t>
      </w:r>
    </w:p>
    <w:p w14:paraId="1CF6773C" w14:textId="77777777" w:rsidR="0006302B" w:rsidRPr="0013707D" w:rsidRDefault="0006302B" w:rsidP="0006302B">
      <w:pPr>
        <w:pStyle w:val="Prrafodelista"/>
        <w:autoSpaceDE w:val="0"/>
        <w:autoSpaceDN w:val="0"/>
        <w:adjustRightInd w:val="0"/>
        <w:ind w:left="1134"/>
        <w:jc w:val="both"/>
        <w:rPr>
          <w:rFonts w:ascii="Bookman Old Style" w:hAnsi="Bookman Old Style"/>
          <w:bCs/>
          <w:color w:val="000000"/>
          <w:sz w:val="28"/>
        </w:rPr>
      </w:pPr>
    </w:p>
    <w:p w14:paraId="3648ED2C"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 xml:space="preserve">Nombre </w:t>
      </w:r>
    </w:p>
    <w:p w14:paraId="26BF898D"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 xml:space="preserve">Ubicación, indicando el código de la División Político-administrativa, </w:t>
      </w:r>
      <w:proofErr w:type="spellStart"/>
      <w:r w:rsidRPr="0013707D">
        <w:rPr>
          <w:rFonts w:ascii="Bookman Old Style" w:hAnsi="Bookman Old Style"/>
          <w:bCs/>
          <w:color w:val="000000" w:themeColor="text1"/>
          <w:sz w:val="24"/>
          <w:szCs w:val="24"/>
        </w:rPr>
        <w:t>Divipola</w:t>
      </w:r>
      <w:proofErr w:type="spellEnd"/>
      <w:r w:rsidRPr="0013707D">
        <w:rPr>
          <w:rFonts w:ascii="Bookman Old Style" w:hAnsi="Bookman Old Style"/>
          <w:bCs/>
          <w:color w:val="000000" w:themeColor="text1"/>
          <w:sz w:val="24"/>
          <w:szCs w:val="24"/>
        </w:rPr>
        <w:t xml:space="preserve"> vigente, publicado en la página web del Departamento Nacional de Estadística, DANE del centro poblado. Tramo o grupo de gasoductos asociado, de acuerdo con aquellos definidos en las resoluciones de cargos regulados aprobados por la CREG.</w:t>
      </w:r>
    </w:p>
    <w:p w14:paraId="1D0CB486"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En el caso de puntos de transferencia de custodia, se deberá declarar el nombre del transportador a quien le transfiere la custodia del gas en ese punto.</w:t>
      </w:r>
    </w:p>
    <w:p w14:paraId="0B764B67" w14:textId="77777777" w:rsidR="0006302B" w:rsidRPr="0013707D" w:rsidRDefault="0006302B" w:rsidP="00A4790E">
      <w:pPr>
        <w:pStyle w:val="Prrafodelista"/>
        <w:numPr>
          <w:ilvl w:val="0"/>
          <w:numId w:val="71"/>
        </w:numPr>
        <w:autoSpaceDE w:val="0"/>
        <w:autoSpaceDN w:val="0"/>
        <w:adjustRightInd w:val="0"/>
        <w:ind w:left="1985" w:hanging="425"/>
        <w:jc w:val="both"/>
        <w:rPr>
          <w:rFonts w:ascii="Bookman Old Style" w:hAnsi="Bookman Old Style"/>
          <w:bCs/>
          <w:color w:val="000000" w:themeColor="text1"/>
          <w:sz w:val="24"/>
          <w:szCs w:val="24"/>
        </w:rPr>
      </w:pPr>
      <w:r w:rsidRPr="0013707D">
        <w:rPr>
          <w:rFonts w:ascii="Bookman Old Style" w:hAnsi="Bookman Old Style"/>
          <w:bCs/>
          <w:color w:val="000000" w:themeColor="text1"/>
          <w:sz w:val="24"/>
          <w:szCs w:val="24"/>
        </w:rPr>
        <w:t>Un diagrama donde se relacione la información anterior.</w:t>
      </w:r>
    </w:p>
    <w:p w14:paraId="54377646" w14:textId="77777777" w:rsidR="0006302B" w:rsidRPr="0013707D" w:rsidRDefault="0006302B" w:rsidP="0006302B">
      <w:pPr>
        <w:pStyle w:val="Prrafodelista"/>
        <w:autoSpaceDE w:val="0"/>
        <w:autoSpaceDN w:val="0"/>
        <w:adjustRightInd w:val="0"/>
        <w:ind w:left="2367"/>
        <w:jc w:val="both"/>
        <w:rPr>
          <w:rFonts w:ascii="Bookman Old Style" w:hAnsi="Bookman Old Style"/>
          <w:bCs/>
          <w:color w:val="000000" w:themeColor="text1"/>
          <w:sz w:val="24"/>
          <w:szCs w:val="24"/>
        </w:rPr>
      </w:pPr>
    </w:p>
    <w:p w14:paraId="6EC13CAF" w14:textId="154939B4" w:rsidR="0006302B" w:rsidRPr="0013707D" w:rsidRDefault="0006302B" w:rsidP="0006302B">
      <w:pPr>
        <w:pStyle w:val="Prrafodelista"/>
        <w:ind w:left="1134"/>
        <w:jc w:val="both"/>
        <w:rPr>
          <w:rFonts w:ascii="Bookman Old Style" w:hAnsi="Bookman Old Style"/>
          <w:bCs/>
          <w:color w:val="000000"/>
          <w:sz w:val="24"/>
          <w:szCs w:val="24"/>
        </w:rPr>
      </w:pPr>
      <w:r w:rsidRPr="0013707D">
        <w:rPr>
          <w:rFonts w:ascii="Bookman Old Style" w:hAnsi="Bookman Old Style"/>
          <w:bCs/>
          <w:color w:val="000000"/>
          <w:sz w:val="24"/>
          <w:szCs w:val="24"/>
        </w:rPr>
        <w:t xml:space="preserve">La anterior información deberá ser declarada de manera completa, ordenada y exhaustiva, de acuerdo con los formatos que establezca el </w:t>
      </w:r>
      <w:r w:rsidR="003F3A91" w:rsidRPr="00956510">
        <w:rPr>
          <w:rFonts w:ascii="Bookman Old Style" w:hAnsi="Bookman Old Style"/>
          <w:sz w:val="24"/>
          <w:szCs w:val="24"/>
          <w:u w:color="FF0000"/>
        </w:rPr>
        <w:t>Gesto</w:t>
      </w:r>
      <w:r w:rsidR="003F3A91" w:rsidRPr="00E53E99">
        <w:rPr>
          <w:rFonts w:ascii="Bookman Old Style" w:hAnsi="Bookman Old Style"/>
          <w:sz w:val="24"/>
          <w:szCs w:val="24"/>
          <w:u w:color="FF0000"/>
        </w:rPr>
        <w:t>r</w:t>
      </w:r>
      <w:r w:rsidR="003F3A91" w:rsidRPr="00956510" w:rsidDel="00E53E99">
        <w:rPr>
          <w:color w:val="FF0000"/>
          <w:sz w:val="28"/>
          <w:u w:color="FF0000"/>
        </w:rPr>
        <w:t xml:space="preserve"> </w:t>
      </w:r>
      <w:r>
        <w:rPr>
          <w:rFonts w:ascii="Bookman Old Style" w:hAnsi="Bookman Old Style"/>
          <w:bCs/>
          <w:color w:val="000000"/>
          <w:sz w:val="24"/>
          <w:szCs w:val="24"/>
        </w:rPr>
        <w:t>del Mercado</w:t>
      </w:r>
      <w:r w:rsidRPr="0013707D">
        <w:rPr>
          <w:rFonts w:ascii="Bookman Old Style" w:hAnsi="Bookman Old Style"/>
          <w:bCs/>
          <w:color w:val="000000"/>
          <w:sz w:val="24"/>
          <w:szCs w:val="24"/>
        </w:rPr>
        <w:t xml:space="preserve">. El </w:t>
      </w:r>
      <w:r w:rsidR="003F3A91" w:rsidRPr="00956510">
        <w:rPr>
          <w:rFonts w:ascii="Bookman Old Style" w:hAnsi="Bookman Old Style"/>
          <w:sz w:val="24"/>
          <w:szCs w:val="24"/>
          <w:u w:color="FF0000"/>
        </w:rPr>
        <w:t>Gesto</w:t>
      </w:r>
      <w:r w:rsidR="003F3A91" w:rsidRPr="00E53E99">
        <w:rPr>
          <w:rFonts w:ascii="Bookman Old Style" w:hAnsi="Bookman Old Style"/>
          <w:sz w:val="24"/>
          <w:szCs w:val="24"/>
          <w:u w:color="FF0000"/>
        </w:rPr>
        <w:t>r</w:t>
      </w:r>
      <w:r w:rsidR="003F3A91" w:rsidRPr="00956510" w:rsidDel="00E53E99">
        <w:rPr>
          <w:color w:val="FF0000"/>
          <w:sz w:val="28"/>
          <w:u w:color="FF0000"/>
        </w:rPr>
        <w:t xml:space="preserve"> </w:t>
      </w:r>
      <w:r w:rsidRPr="0013707D">
        <w:rPr>
          <w:rFonts w:ascii="Bookman Old Style" w:hAnsi="Bookman Old Style"/>
          <w:bCs/>
          <w:color w:val="000000"/>
          <w:sz w:val="24"/>
          <w:szCs w:val="24"/>
        </w:rPr>
        <w:t>establecerá estos formatos previa coordinación con los transportadores.</w:t>
      </w:r>
    </w:p>
    <w:p w14:paraId="0641FCF0" w14:textId="77777777" w:rsidR="0006302B" w:rsidRPr="0013707D" w:rsidRDefault="0006302B" w:rsidP="0006302B">
      <w:pPr>
        <w:autoSpaceDE w:val="0"/>
        <w:autoSpaceDN w:val="0"/>
        <w:adjustRightInd w:val="0"/>
        <w:ind w:left="0"/>
        <w:jc w:val="both"/>
        <w:rPr>
          <w:rFonts w:ascii="Bookman Old Style" w:hAnsi="Bookman Old Style"/>
          <w:color w:val="000000"/>
          <w:lang w:val="es-CO"/>
        </w:rPr>
      </w:pPr>
    </w:p>
    <w:p w14:paraId="2C91444D" w14:textId="77777777" w:rsidR="0006302B" w:rsidRPr="0013707D" w:rsidRDefault="0006302B" w:rsidP="00A4790E">
      <w:pPr>
        <w:pStyle w:val="Prrafodelista"/>
        <w:numPr>
          <w:ilvl w:val="0"/>
          <w:numId w:val="69"/>
        </w:numPr>
        <w:autoSpaceDE w:val="0"/>
        <w:autoSpaceDN w:val="0"/>
        <w:adjustRightInd w:val="0"/>
        <w:ind w:left="1134" w:hanging="567"/>
        <w:jc w:val="both"/>
        <w:rPr>
          <w:rFonts w:ascii="Bookman Old Style" w:hAnsi="Bookman Old Style"/>
          <w:color w:val="000000"/>
          <w:sz w:val="24"/>
          <w:szCs w:val="24"/>
        </w:rPr>
      </w:pPr>
      <w:r w:rsidRPr="0013707D">
        <w:rPr>
          <w:rFonts w:ascii="Bookman Old Style" w:hAnsi="Bookman Old Style"/>
          <w:color w:val="000000"/>
          <w:sz w:val="24"/>
          <w:szCs w:val="24"/>
        </w:rPr>
        <w:t>Unificación de puntos sobre el SNT</w:t>
      </w:r>
    </w:p>
    <w:p w14:paraId="5BF611E4" w14:textId="77777777" w:rsidR="0006302B" w:rsidRPr="0013707D" w:rsidRDefault="0006302B" w:rsidP="0006302B">
      <w:pPr>
        <w:autoSpaceDE w:val="0"/>
        <w:autoSpaceDN w:val="0"/>
        <w:adjustRightInd w:val="0"/>
        <w:jc w:val="both"/>
        <w:rPr>
          <w:rFonts w:ascii="Bookman Old Style" w:hAnsi="Bookman Old Style"/>
          <w:color w:val="000000"/>
          <w:lang w:val="es-CO"/>
        </w:rPr>
      </w:pPr>
    </w:p>
    <w:p w14:paraId="0A194274" w14:textId="293C4D1D" w:rsidR="0006302B" w:rsidRPr="0013707D" w:rsidRDefault="0006302B" w:rsidP="0006302B">
      <w:pPr>
        <w:autoSpaceDE w:val="0"/>
        <w:autoSpaceDN w:val="0"/>
        <w:adjustRightInd w:val="0"/>
        <w:ind w:left="1134"/>
        <w:jc w:val="both"/>
        <w:rPr>
          <w:rFonts w:ascii="Bookman Old Style" w:hAnsi="Bookman Old Style"/>
          <w:color w:val="000000"/>
          <w:lang w:val="es-CO"/>
        </w:rPr>
      </w:pPr>
      <w:r w:rsidRPr="0013707D">
        <w:rPr>
          <w:rFonts w:ascii="Bookman Old Style" w:hAnsi="Bookman Old Style"/>
          <w:color w:val="000000"/>
          <w:lang w:val="es-CO"/>
        </w:rPr>
        <w:t xml:space="preserve">El </w:t>
      </w:r>
      <w:r w:rsidR="003F3A91" w:rsidRPr="00956510">
        <w:rPr>
          <w:rFonts w:ascii="Bookman Old Style" w:hAnsi="Bookman Old Style"/>
          <w:u w:color="FF0000"/>
          <w:lang w:val="es-CO"/>
        </w:rPr>
        <w:t>Gesto</w:t>
      </w:r>
      <w:r w:rsidR="003F3A91" w:rsidRPr="00E53E99">
        <w:rPr>
          <w:rFonts w:ascii="Bookman Old Style" w:hAnsi="Bookman Old Style"/>
          <w:u w:color="FF0000"/>
          <w:lang w:val="es-CO"/>
        </w:rPr>
        <w:t>r</w:t>
      </w:r>
      <w:r w:rsidR="003F3A91" w:rsidRPr="00956510" w:rsidDel="00E53E99">
        <w:rPr>
          <w:color w:val="FF0000"/>
          <w:sz w:val="28"/>
          <w:u w:color="FF0000"/>
          <w:lang w:val="es-CO"/>
        </w:rPr>
        <w:t xml:space="preserve"> </w:t>
      </w:r>
      <w:r>
        <w:rPr>
          <w:rFonts w:ascii="Bookman Old Style" w:hAnsi="Bookman Old Style"/>
          <w:color w:val="000000"/>
          <w:lang w:val="es-CO"/>
        </w:rPr>
        <w:t>del Mercado</w:t>
      </w:r>
      <w:r w:rsidRPr="0013707D">
        <w:rPr>
          <w:rFonts w:ascii="Bookman Old Style" w:hAnsi="Bookman Old Style"/>
          <w:color w:val="000000"/>
          <w:lang w:val="es-CO"/>
        </w:rPr>
        <w:t xml:space="preserve"> deberá unificar la información sobre puntos de entrada, puntos de salida, punto sobre el troncal o gasoducto principal del que se desprende un gasoducto ramal, punto sobre el sistema de transporte donde termina un tramo de gasoducto, punto sobre el sistema donde se ubica una estación de compresión y </w:t>
      </w:r>
      <w:r w:rsidRPr="0013707D">
        <w:rPr>
          <w:rFonts w:ascii="Bookman Old Style" w:hAnsi="Bookman Old Style"/>
          <w:bCs/>
          <w:color w:val="000000" w:themeColor="text1"/>
          <w:lang w:val="es-CO"/>
        </w:rPr>
        <w:t>punto donde se presenta transferencia de custodia entre transportadores</w:t>
      </w:r>
      <w:r w:rsidRPr="0013707D">
        <w:rPr>
          <w:rFonts w:ascii="Bookman Old Style" w:hAnsi="Bookman Old Style"/>
          <w:color w:val="000000"/>
          <w:lang w:val="es-CO"/>
        </w:rPr>
        <w:t xml:space="preserve"> del SNT declarada por los transportadores, de tal modo que sean únicos y fácilmente identificables.</w:t>
      </w:r>
    </w:p>
    <w:p w14:paraId="061721D4" w14:textId="77777777" w:rsidR="0006302B" w:rsidRPr="0013707D" w:rsidRDefault="0006302B" w:rsidP="0006302B">
      <w:pPr>
        <w:autoSpaceDE w:val="0"/>
        <w:autoSpaceDN w:val="0"/>
        <w:adjustRightInd w:val="0"/>
        <w:ind w:left="1701"/>
        <w:jc w:val="both"/>
        <w:rPr>
          <w:rFonts w:ascii="Bookman Old Style" w:hAnsi="Bookman Old Style"/>
          <w:color w:val="000000"/>
          <w:lang w:val="es-CO"/>
        </w:rPr>
      </w:pPr>
    </w:p>
    <w:p w14:paraId="407972A5" w14:textId="77777777" w:rsidR="0006302B" w:rsidRPr="0013707D" w:rsidRDefault="0006302B" w:rsidP="0006302B">
      <w:pPr>
        <w:autoSpaceDE w:val="0"/>
        <w:autoSpaceDN w:val="0"/>
        <w:adjustRightInd w:val="0"/>
        <w:ind w:left="1134"/>
        <w:jc w:val="both"/>
        <w:rPr>
          <w:rFonts w:ascii="Bookman Old Style" w:hAnsi="Bookman Old Style"/>
          <w:color w:val="000000"/>
          <w:lang w:val="es-CO"/>
        </w:rPr>
      </w:pPr>
      <w:r w:rsidRPr="0013707D">
        <w:rPr>
          <w:rFonts w:ascii="Bookman Old Style" w:hAnsi="Bookman Old Style"/>
          <w:color w:val="000000"/>
          <w:lang w:val="es-CO"/>
        </w:rPr>
        <w:t xml:space="preserve">Esta codificación seguirá una numeración secuencial, y deberá ser publicada en el BEC. </w:t>
      </w:r>
    </w:p>
    <w:p w14:paraId="0E2FF95D" w14:textId="77777777" w:rsidR="0006302B" w:rsidRPr="0013707D" w:rsidRDefault="0006302B" w:rsidP="0006302B">
      <w:pPr>
        <w:autoSpaceDE w:val="0"/>
        <w:autoSpaceDN w:val="0"/>
        <w:adjustRightInd w:val="0"/>
        <w:ind w:left="851"/>
        <w:jc w:val="both"/>
        <w:rPr>
          <w:rFonts w:ascii="Bookman Old Style" w:hAnsi="Bookman Old Style"/>
          <w:color w:val="000000"/>
          <w:lang w:val="es-CO"/>
        </w:rPr>
      </w:pPr>
    </w:p>
    <w:p w14:paraId="617E1AF5" w14:textId="55009EAB" w:rsidR="0006302B" w:rsidRPr="0013707D" w:rsidRDefault="0006302B" w:rsidP="00A4790E">
      <w:pPr>
        <w:pStyle w:val="Prrafodelista"/>
        <w:numPr>
          <w:ilvl w:val="0"/>
          <w:numId w:val="69"/>
        </w:numPr>
        <w:autoSpaceDE w:val="0"/>
        <w:autoSpaceDN w:val="0"/>
        <w:adjustRightInd w:val="0"/>
        <w:ind w:left="1134" w:hanging="567"/>
        <w:jc w:val="both"/>
        <w:rPr>
          <w:rFonts w:ascii="Bookman Old Style" w:hAnsi="Bookman Old Style"/>
          <w:color w:val="000000" w:themeColor="text1"/>
        </w:rPr>
      </w:pPr>
      <w:r w:rsidRPr="0013707D">
        <w:rPr>
          <w:rFonts w:ascii="Bookman Old Style" w:hAnsi="Bookman Old Style"/>
          <w:color w:val="000000"/>
          <w:sz w:val="24"/>
          <w:szCs w:val="24"/>
        </w:rPr>
        <w:t xml:space="preserve">Una vez el </w:t>
      </w:r>
      <w:r w:rsidR="003F3A91" w:rsidRPr="00956510">
        <w:rPr>
          <w:rFonts w:ascii="Bookman Old Style" w:hAnsi="Bookman Old Style"/>
          <w:sz w:val="24"/>
          <w:szCs w:val="24"/>
          <w:u w:color="FF0000"/>
        </w:rPr>
        <w:t>Gesto</w:t>
      </w:r>
      <w:r w:rsidR="003F3A91" w:rsidRPr="00E53E99">
        <w:rPr>
          <w:rFonts w:ascii="Bookman Old Style" w:hAnsi="Bookman Old Style"/>
          <w:sz w:val="24"/>
          <w:szCs w:val="24"/>
          <w:u w:color="FF0000"/>
        </w:rPr>
        <w:t>r</w:t>
      </w:r>
      <w:r w:rsidR="003F3A91" w:rsidRPr="00956510" w:rsidDel="00E53E99">
        <w:rPr>
          <w:color w:val="FF0000"/>
          <w:sz w:val="28"/>
          <w:u w:color="FF0000"/>
        </w:rPr>
        <w:t xml:space="preserve"> </w:t>
      </w:r>
      <w:r>
        <w:rPr>
          <w:rFonts w:ascii="Bookman Old Style" w:hAnsi="Bookman Old Style"/>
          <w:color w:val="000000"/>
          <w:sz w:val="24"/>
          <w:szCs w:val="24"/>
        </w:rPr>
        <w:t>del Mercado</w:t>
      </w:r>
      <w:r w:rsidRPr="0013707D">
        <w:rPr>
          <w:rFonts w:ascii="Bookman Old Style" w:hAnsi="Bookman Old Style"/>
          <w:color w:val="000000"/>
          <w:sz w:val="24"/>
          <w:szCs w:val="24"/>
        </w:rPr>
        <w:t xml:space="preserve"> publique la codificación en el BEC, la misma deberá ser utilizada en el registro de información de que trata este Anexo.</w:t>
      </w:r>
    </w:p>
    <w:p w14:paraId="3DDD0F5B" w14:textId="77777777" w:rsidR="0006302B" w:rsidRPr="001A583F" w:rsidRDefault="0006302B" w:rsidP="0006302B">
      <w:pPr>
        <w:autoSpaceDE w:val="0"/>
        <w:autoSpaceDN w:val="0"/>
        <w:adjustRightInd w:val="0"/>
        <w:ind w:left="0"/>
        <w:jc w:val="both"/>
        <w:rPr>
          <w:rFonts w:ascii="Bookman Old Style" w:hAnsi="Bookman Old Style"/>
          <w:color w:val="000000" w:themeColor="text1"/>
          <w:u w:val="single"/>
          <w:lang w:val="es-CO"/>
        </w:rPr>
      </w:pPr>
    </w:p>
    <w:p w14:paraId="54875BAE" w14:textId="4CE56AC2" w:rsidR="0006302B" w:rsidRPr="001A583F" w:rsidRDefault="0006302B" w:rsidP="0006302B">
      <w:pPr>
        <w:autoSpaceDE w:val="0"/>
        <w:autoSpaceDN w:val="0"/>
        <w:adjustRightInd w:val="0"/>
        <w:ind w:left="0"/>
        <w:jc w:val="both"/>
        <w:rPr>
          <w:rFonts w:ascii="Bookman Old Style" w:hAnsi="Bookman Old Style"/>
          <w:color w:val="000000" w:themeColor="text1"/>
          <w:u w:val="single"/>
          <w:lang w:val="es-CO"/>
        </w:rPr>
      </w:pPr>
    </w:p>
    <w:p w14:paraId="5AB18FBD" w14:textId="5C849894" w:rsidR="002E28ED" w:rsidRPr="00472E28" w:rsidRDefault="002E28ED" w:rsidP="00A4790E">
      <w:pPr>
        <w:pStyle w:val="ARTICULOS"/>
        <w:keepNext/>
        <w:numPr>
          <w:ilvl w:val="1"/>
          <w:numId w:val="36"/>
        </w:numPr>
        <w:ind w:left="567" w:hanging="567"/>
        <w:rPr>
          <w:b/>
          <w:color w:val="000000" w:themeColor="text1"/>
          <w:lang w:val="es-CO"/>
        </w:rPr>
      </w:pPr>
      <w:r w:rsidRPr="00472E28">
        <w:rPr>
          <w:b/>
          <w:color w:val="000000" w:themeColor="text1"/>
          <w:lang w:val="es-CO"/>
        </w:rPr>
        <w:t>Indicadores del mercado secundario (MS)</w:t>
      </w:r>
    </w:p>
    <w:p w14:paraId="68E41D40" w14:textId="77777777" w:rsidR="002E28ED" w:rsidRPr="00472E28" w:rsidRDefault="002E28ED" w:rsidP="002E28ED">
      <w:pPr>
        <w:autoSpaceDE w:val="0"/>
        <w:autoSpaceDN w:val="0"/>
        <w:adjustRightInd w:val="0"/>
        <w:ind w:left="0"/>
        <w:jc w:val="both"/>
        <w:rPr>
          <w:rFonts w:ascii="Bookman Old Style" w:hAnsi="Bookman Old Style"/>
          <w:color w:val="000000" w:themeColor="text1"/>
          <w:lang w:val="es-CO"/>
        </w:rPr>
      </w:pPr>
    </w:p>
    <w:p w14:paraId="1243070E" w14:textId="1AAE1A67" w:rsidR="002E28ED" w:rsidRPr="00472E28" w:rsidRDefault="002E28ED" w:rsidP="002E28ED">
      <w:pPr>
        <w:ind w:left="0"/>
        <w:jc w:val="both"/>
        <w:rPr>
          <w:rFonts w:ascii="Bookman Old Style" w:hAnsi="Bookman Old Style" w:cs="Arial"/>
          <w:b/>
          <w:bCs/>
          <w:color w:val="000000" w:themeColor="text1"/>
          <w:lang w:val="es-CO"/>
        </w:rPr>
      </w:pPr>
      <w:r w:rsidRPr="00472E28">
        <w:rPr>
          <w:rFonts w:ascii="Bookman Old Style" w:hAnsi="Bookman Old Style" w:cs="Arial"/>
          <w:b/>
          <w:bCs/>
          <w:color w:val="000000" w:themeColor="text1"/>
          <w:lang w:val="es-CO"/>
        </w:rPr>
        <w:t xml:space="preserve">El </w:t>
      </w:r>
      <w:r w:rsidRPr="00472E28">
        <w:rPr>
          <w:rFonts w:ascii="Bookman Old Style" w:hAnsi="Bookman Old Style" w:cs="Arial"/>
          <w:b/>
          <w:bCs/>
          <w:lang w:val="es-CO"/>
        </w:rPr>
        <w:t xml:space="preserve">Gestor del </w:t>
      </w:r>
      <w:r w:rsidRPr="00472E28">
        <w:rPr>
          <w:rFonts w:ascii="Bookman Old Style" w:hAnsi="Bookman Old Style" w:cs="Arial"/>
          <w:b/>
          <w:bCs/>
          <w:color w:val="000000" w:themeColor="text1"/>
          <w:lang w:val="es-CO"/>
        </w:rPr>
        <w:t xml:space="preserve">Mercado deberá </w:t>
      </w:r>
      <w:r w:rsidRPr="00472E28">
        <w:rPr>
          <w:rFonts w:ascii="Bookman Old Style" w:hAnsi="Bookman Old Style" w:cs="Arial"/>
          <w:b/>
          <w:bCs/>
          <w:lang w:val="es-CO"/>
        </w:rPr>
        <w:t>calcular, con la periodicidad que en cada caso se expone y a partir de la información recolectada con base en el presente Anexo, los indicadores del mercado secundario que se describen a continuación:</w:t>
      </w:r>
    </w:p>
    <w:p w14:paraId="183D77C3" w14:textId="2437B1E5" w:rsidR="002E28ED" w:rsidRPr="00472E28" w:rsidRDefault="002E28ED" w:rsidP="0006302B">
      <w:pPr>
        <w:autoSpaceDE w:val="0"/>
        <w:autoSpaceDN w:val="0"/>
        <w:adjustRightInd w:val="0"/>
        <w:ind w:left="0"/>
        <w:jc w:val="both"/>
        <w:rPr>
          <w:rFonts w:ascii="Bookman Old Style" w:hAnsi="Bookman Old Style"/>
          <w:color w:val="000000" w:themeColor="text1"/>
          <w:lang w:val="es-CO"/>
        </w:rPr>
      </w:pPr>
    </w:p>
    <w:p w14:paraId="07B054D1" w14:textId="12B2995D" w:rsidR="002E28ED" w:rsidRPr="00472E28" w:rsidRDefault="002E28ED" w:rsidP="0006302B">
      <w:pPr>
        <w:autoSpaceDE w:val="0"/>
        <w:autoSpaceDN w:val="0"/>
        <w:adjustRightInd w:val="0"/>
        <w:ind w:left="0"/>
        <w:jc w:val="both"/>
        <w:rPr>
          <w:rFonts w:ascii="Bookman Old Style" w:hAnsi="Bookman Old Style"/>
          <w:color w:val="000000" w:themeColor="text1"/>
          <w:lang w:val="es-CO"/>
        </w:rPr>
      </w:pPr>
    </w:p>
    <w:tbl>
      <w:tblPr>
        <w:tblStyle w:val="Tablaconcuadrcula"/>
        <w:tblW w:w="0" w:type="auto"/>
        <w:tblLook w:val="04A0" w:firstRow="1" w:lastRow="0" w:firstColumn="1" w:lastColumn="0" w:noHBand="0" w:noVBand="1"/>
      </w:tblPr>
      <w:tblGrid>
        <w:gridCol w:w="821"/>
        <w:gridCol w:w="68"/>
        <w:gridCol w:w="3036"/>
        <w:gridCol w:w="3157"/>
        <w:gridCol w:w="27"/>
        <w:gridCol w:w="2242"/>
      </w:tblGrid>
      <w:tr w:rsidR="007B1F69" w:rsidRPr="00472E28" w14:paraId="4056776B" w14:textId="77777777" w:rsidTr="007B1F69">
        <w:trPr>
          <w:tblHeader/>
        </w:trPr>
        <w:tc>
          <w:tcPr>
            <w:tcW w:w="917" w:type="dxa"/>
            <w:gridSpan w:val="2"/>
            <w:vAlign w:val="center"/>
          </w:tcPr>
          <w:p w14:paraId="5A750689"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hAnsi="Bookman Old Style" w:cs="Arial"/>
                <w:b/>
                <w:sz w:val="20"/>
                <w:szCs w:val="20"/>
                <w:lang w:val="es-CO"/>
              </w:rPr>
              <w:t>No.</w:t>
            </w:r>
          </w:p>
        </w:tc>
        <w:tc>
          <w:tcPr>
            <w:tcW w:w="2764" w:type="dxa"/>
            <w:vAlign w:val="center"/>
          </w:tcPr>
          <w:p w14:paraId="56888EC9"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hAnsi="Bookman Old Style" w:cs="Arial"/>
                <w:b/>
                <w:sz w:val="20"/>
                <w:szCs w:val="20"/>
                <w:lang w:val="es-CO"/>
              </w:rPr>
              <w:t>Indicador</w:t>
            </w:r>
          </w:p>
        </w:tc>
        <w:tc>
          <w:tcPr>
            <w:tcW w:w="3360" w:type="dxa"/>
            <w:gridSpan w:val="2"/>
            <w:vAlign w:val="center"/>
          </w:tcPr>
          <w:p w14:paraId="4FDA86C4" w14:textId="6BC95DE9" w:rsidR="007B1F69" w:rsidRPr="003E5827" w:rsidRDefault="00640A5A" w:rsidP="003E5827">
            <w:pPr>
              <w:autoSpaceDE w:val="0"/>
              <w:autoSpaceDN w:val="0"/>
              <w:adjustRightInd w:val="0"/>
              <w:ind w:left="0"/>
              <w:jc w:val="center"/>
              <w:rPr>
                <w:rFonts w:ascii="Bookman Old Style" w:hAnsi="Bookman Old Style"/>
                <w:color w:val="000000" w:themeColor="text1"/>
                <w:sz w:val="20"/>
                <w:szCs w:val="20"/>
                <w:lang w:val="es-CO"/>
              </w:rPr>
            </w:pPr>
            <w:r>
              <w:rPr>
                <w:rFonts w:ascii="Bookman Old Style" w:hAnsi="Bookman Old Style" w:cs="Arial"/>
                <w:b/>
                <w:sz w:val="20"/>
                <w:szCs w:val="20"/>
                <w:lang w:val="es-CO"/>
              </w:rPr>
              <w:t>Alcance del indicador</w:t>
            </w:r>
          </w:p>
        </w:tc>
        <w:tc>
          <w:tcPr>
            <w:tcW w:w="2310" w:type="dxa"/>
            <w:vAlign w:val="center"/>
          </w:tcPr>
          <w:p w14:paraId="0D70ED90"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hAnsi="Bookman Old Style" w:cs="Arial"/>
                <w:b/>
                <w:sz w:val="20"/>
                <w:szCs w:val="20"/>
                <w:lang w:val="es-CO"/>
              </w:rPr>
              <w:t>Visible para</w:t>
            </w:r>
          </w:p>
        </w:tc>
      </w:tr>
      <w:tr w:rsidR="007B1F69" w:rsidRPr="00472E28" w14:paraId="693CBEE1" w14:textId="77777777" w:rsidTr="007B1F69">
        <w:tc>
          <w:tcPr>
            <w:tcW w:w="917" w:type="dxa"/>
            <w:gridSpan w:val="2"/>
            <w:vAlign w:val="center"/>
          </w:tcPr>
          <w:p w14:paraId="50300FFF"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MS1</w:t>
            </w:r>
          </w:p>
        </w:tc>
        <w:tc>
          <w:tcPr>
            <w:tcW w:w="2764" w:type="dxa"/>
            <w:vAlign w:val="center"/>
          </w:tcPr>
          <w:p w14:paraId="5EE29874" w14:textId="3A7F5B72"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Suministro total adquirido en firme en el MP de cada agente comercializador</w:t>
            </w:r>
          </w:p>
        </w:tc>
        <w:tc>
          <w:tcPr>
            <w:tcW w:w="3360" w:type="dxa"/>
            <w:gridSpan w:val="2"/>
          </w:tcPr>
          <w:p w14:paraId="35FF8CC8"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Calcular la cantidad </w:t>
            </w:r>
            <w:r>
              <w:rPr>
                <w:rFonts w:ascii="Bookman Old Style" w:hAnsi="Bookman Old Style"/>
                <w:b/>
                <w:bCs/>
                <w:color w:val="000000" w:themeColor="text1"/>
                <w:sz w:val="20"/>
                <w:szCs w:val="20"/>
                <w:lang w:val="es-CO"/>
              </w:rPr>
              <w:t>contratada como comprador de tipo firme o con garantía de firmeza del comercializador en el Mercado Primario</w:t>
            </w:r>
          </w:p>
          <w:p w14:paraId="27C8AB0D"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5856D5C2"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Periodicidad de cálculo: mensual</w:t>
            </w:r>
          </w:p>
          <w:p w14:paraId="16534A9F"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146272C2" w14:textId="77777777" w:rsidR="007B1F69" w:rsidRPr="003E5827"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Horizonte de cálculo: para cada uno de los sesenta (60) meses siguientes a la fecha de publicación</w:t>
            </w:r>
          </w:p>
        </w:tc>
        <w:tc>
          <w:tcPr>
            <w:tcW w:w="2310" w:type="dxa"/>
            <w:vAlign w:val="center"/>
          </w:tcPr>
          <w:p w14:paraId="1FD92A69"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eastAsia="Calibri" w:hAnsi="Bookman Old Style" w:cs="Arial"/>
                <w:b/>
                <w:bCs/>
                <w:color w:val="000000"/>
                <w:kern w:val="24"/>
                <w:sz w:val="18"/>
                <w:szCs w:val="18"/>
                <w:lang w:val="es-CO" w:eastAsia="es-MX"/>
              </w:rPr>
              <w:t>Para la SSPD, SIC y CREG</w:t>
            </w:r>
          </w:p>
        </w:tc>
      </w:tr>
      <w:tr w:rsidR="007B1F69" w:rsidRPr="00472E28" w14:paraId="289127AA" w14:textId="77777777" w:rsidTr="007B1F69">
        <w:tc>
          <w:tcPr>
            <w:tcW w:w="917" w:type="dxa"/>
            <w:gridSpan w:val="2"/>
            <w:vAlign w:val="center"/>
          </w:tcPr>
          <w:p w14:paraId="5A73BB8B"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MS2</w:t>
            </w:r>
          </w:p>
        </w:tc>
        <w:tc>
          <w:tcPr>
            <w:tcW w:w="2764" w:type="dxa"/>
            <w:vAlign w:val="center"/>
          </w:tcPr>
          <w:p w14:paraId="24EE9C5D" w14:textId="42E3F6E9"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Suministro total adquirido en firme en el MS de cada agente comercializador</w:t>
            </w:r>
          </w:p>
        </w:tc>
        <w:tc>
          <w:tcPr>
            <w:tcW w:w="3360" w:type="dxa"/>
            <w:gridSpan w:val="2"/>
          </w:tcPr>
          <w:p w14:paraId="70F15F98"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Calcular la cantidad </w:t>
            </w:r>
            <w:r>
              <w:rPr>
                <w:rFonts w:ascii="Bookman Old Style" w:hAnsi="Bookman Old Style"/>
                <w:b/>
                <w:bCs/>
                <w:color w:val="000000" w:themeColor="text1"/>
                <w:sz w:val="20"/>
                <w:szCs w:val="20"/>
                <w:lang w:val="es-CO"/>
              </w:rPr>
              <w:t>contratada como comprador de tipo firme o con garantía de firmeza del comercializador en el Mercado Secundario</w:t>
            </w:r>
          </w:p>
          <w:p w14:paraId="76ED32D1"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04C36BA6"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Periodicidad de cálculo: mensual</w:t>
            </w:r>
          </w:p>
          <w:p w14:paraId="58056C30"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63143FB5" w14:textId="77777777" w:rsidR="007B1F69" w:rsidRPr="003E5827" w:rsidRDefault="007B1F69" w:rsidP="003E5827">
            <w:pPr>
              <w:autoSpaceDE w:val="0"/>
              <w:autoSpaceDN w:val="0"/>
              <w:adjustRightInd w:val="0"/>
              <w:ind w:left="0"/>
              <w:jc w:val="both"/>
              <w:rPr>
                <w:rFonts w:ascii="Bookman Old Style" w:hAnsi="Bookman Old Style"/>
                <w:color w:val="000000" w:themeColor="text1"/>
                <w:sz w:val="20"/>
                <w:szCs w:val="20"/>
                <w:lang w:val="es-CO"/>
              </w:rPr>
            </w:pPr>
            <w:r>
              <w:rPr>
                <w:rFonts w:ascii="Bookman Old Style" w:hAnsi="Bookman Old Style"/>
                <w:b/>
                <w:bCs/>
                <w:color w:val="000000" w:themeColor="text1"/>
                <w:sz w:val="20"/>
                <w:szCs w:val="20"/>
                <w:lang w:val="es-CO"/>
              </w:rPr>
              <w:t>Horizonte de cálculo: para cada uno de los sesenta (60) meses siguientes a la fecha de publicación</w:t>
            </w:r>
          </w:p>
        </w:tc>
        <w:tc>
          <w:tcPr>
            <w:tcW w:w="2310" w:type="dxa"/>
            <w:vAlign w:val="center"/>
          </w:tcPr>
          <w:p w14:paraId="1ADCED88"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eastAsia="Calibri" w:hAnsi="Bookman Old Style" w:cs="Arial"/>
                <w:b/>
                <w:bCs/>
                <w:color w:val="000000"/>
                <w:kern w:val="24"/>
                <w:sz w:val="18"/>
                <w:szCs w:val="18"/>
                <w:lang w:val="es-CO" w:eastAsia="es-MX"/>
              </w:rPr>
              <w:t>Para la SSPD, SIC y CREG</w:t>
            </w:r>
          </w:p>
        </w:tc>
      </w:tr>
      <w:tr w:rsidR="007B1F69" w:rsidRPr="00472E28" w14:paraId="4432A092" w14:textId="77777777" w:rsidTr="007B1F69">
        <w:tc>
          <w:tcPr>
            <w:tcW w:w="917" w:type="dxa"/>
            <w:gridSpan w:val="2"/>
            <w:vAlign w:val="center"/>
          </w:tcPr>
          <w:p w14:paraId="63AB7381"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MS3</w:t>
            </w:r>
          </w:p>
        </w:tc>
        <w:tc>
          <w:tcPr>
            <w:tcW w:w="2764" w:type="dxa"/>
            <w:vAlign w:val="center"/>
          </w:tcPr>
          <w:p w14:paraId="437B1865"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Suministro total adquirido en </w:t>
            </w:r>
            <w:proofErr w:type="spellStart"/>
            <w:r w:rsidRPr="003E5827">
              <w:rPr>
                <w:rFonts w:ascii="Bookman Old Style" w:hAnsi="Bookman Old Style"/>
                <w:b/>
                <w:bCs/>
                <w:color w:val="000000" w:themeColor="text1"/>
                <w:sz w:val="20"/>
                <w:szCs w:val="20"/>
                <w:lang w:val="es-CO"/>
              </w:rPr>
              <w:t>UoVCP</w:t>
            </w:r>
            <w:proofErr w:type="spellEnd"/>
            <w:r w:rsidRPr="003E5827">
              <w:rPr>
                <w:rFonts w:ascii="Bookman Old Style" w:hAnsi="Bookman Old Style"/>
                <w:b/>
                <w:bCs/>
                <w:color w:val="000000" w:themeColor="text1"/>
                <w:sz w:val="20"/>
                <w:szCs w:val="20"/>
                <w:lang w:val="es-CO"/>
              </w:rPr>
              <w:t xml:space="preserve"> de cada agente comercializador</w:t>
            </w:r>
          </w:p>
        </w:tc>
        <w:tc>
          <w:tcPr>
            <w:tcW w:w="3360" w:type="dxa"/>
            <w:gridSpan w:val="2"/>
          </w:tcPr>
          <w:p w14:paraId="6463B02F"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Calcular toda la cantidad </w:t>
            </w:r>
            <w:r>
              <w:rPr>
                <w:rFonts w:ascii="Bookman Old Style" w:hAnsi="Bookman Old Style"/>
                <w:b/>
                <w:bCs/>
                <w:color w:val="000000" w:themeColor="text1"/>
                <w:sz w:val="20"/>
                <w:szCs w:val="20"/>
                <w:lang w:val="es-CO"/>
              </w:rPr>
              <w:t xml:space="preserve">promedio ponderado diario mensual </w:t>
            </w:r>
          </w:p>
          <w:p w14:paraId="5F6ADE94"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21E9B600"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Periodicidad de cálculo: trimestral</w:t>
            </w:r>
          </w:p>
          <w:p w14:paraId="1DF7D680"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47EC9E54" w14:textId="77777777" w:rsidR="007B1F69" w:rsidRPr="003E5827" w:rsidRDefault="007B1F69" w:rsidP="003E5827">
            <w:pPr>
              <w:autoSpaceDE w:val="0"/>
              <w:autoSpaceDN w:val="0"/>
              <w:adjustRightInd w:val="0"/>
              <w:ind w:left="0"/>
              <w:jc w:val="both"/>
              <w:rPr>
                <w:rFonts w:ascii="Bookman Old Style" w:hAnsi="Bookman Old Style"/>
                <w:color w:val="000000" w:themeColor="text1"/>
                <w:sz w:val="20"/>
                <w:szCs w:val="20"/>
                <w:lang w:val="es-CO"/>
              </w:rPr>
            </w:pPr>
            <w:r>
              <w:rPr>
                <w:rFonts w:ascii="Bookman Old Style" w:hAnsi="Bookman Old Style"/>
                <w:b/>
                <w:bCs/>
                <w:color w:val="000000" w:themeColor="text1"/>
                <w:sz w:val="20"/>
                <w:szCs w:val="20"/>
                <w:lang w:val="es-CO"/>
              </w:rPr>
              <w:t>Horizonte de cálculo: doce meses anteriores a la fecha de publicación</w:t>
            </w:r>
          </w:p>
        </w:tc>
        <w:tc>
          <w:tcPr>
            <w:tcW w:w="2310" w:type="dxa"/>
            <w:vAlign w:val="center"/>
          </w:tcPr>
          <w:p w14:paraId="5B82CE56"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eastAsia="Calibri" w:hAnsi="Bookman Old Style" w:cs="Arial"/>
                <w:b/>
                <w:bCs/>
                <w:color w:val="000000"/>
                <w:kern w:val="24"/>
                <w:sz w:val="18"/>
                <w:szCs w:val="18"/>
                <w:lang w:val="es-CO" w:eastAsia="es-MX"/>
              </w:rPr>
              <w:t>Para la SSPD, SIC y CREG</w:t>
            </w:r>
          </w:p>
        </w:tc>
      </w:tr>
      <w:tr w:rsidR="007B1F69" w:rsidRPr="00472E28" w14:paraId="07576382" w14:textId="77777777" w:rsidTr="007B1F69">
        <w:tc>
          <w:tcPr>
            <w:tcW w:w="917" w:type="dxa"/>
            <w:gridSpan w:val="2"/>
            <w:vAlign w:val="center"/>
          </w:tcPr>
          <w:p w14:paraId="6546C705"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MS4</w:t>
            </w:r>
          </w:p>
        </w:tc>
        <w:tc>
          <w:tcPr>
            <w:tcW w:w="2764" w:type="dxa"/>
            <w:vAlign w:val="center"/>
          </w:tcPr>
          <w:p w14:paraId="674DFDAE" w14:textId="3E8421F6"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Ventas totales en firme en el MS de cada agente comercializador</w:t>
            </w:r>
          </w:p>
        </w:tc>
        <w:tc>
          <w:tcPr>
            <w:tcW w:w="3360" w:type="dxa"/>
            <w:gridSpan w:val="2"/>
          </w:tcPr>
          <w:p w14:paraId="3609E782"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Calcular la cantidad </w:t>
            </w:r>
            <w:r>
              <w:rPr>
                <w:rFonts w:ascii="Bookman Old Style" w:hAnsi="Bookman Old Style"/>
                <w:b/>
                <w:bCs/>
                <w:color w:val="000000" w:themeColor="text1"/>
                <w:sz w:val="20"/>
                <w:szCs w:val="20"/>
                <w:lang w:val="es-CO"/>
              </w:rPr>
              <w:t>contratada como vendedor de tipo firme o con garantía de firmeza del comercializador en el Mercado Secundario</w:t>
            </w:r>
          </w:p>
          <w:p w14:paraId="35034443"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595E969B"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Periodicidad de cálculo: mensual</w:t>
            </w:r>
          </w:p>
          <w:p w14:paraId="1CC4911A"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3BFF4F4A" w14:textId="77777777" w:rsidR="007B1F69" w:rsidRPr="003E5827" w:rsidRDefault="007B1F69" w:rsidP="003E5827">
            <w:pPr>
              <w:autoSpaceDE w:val="0"/>
              <w:autoSpaceDN w:val="0"/>
              <w:adjustRightInd w:val="0"/>
              <w:ind w:left="0"/>
              <w:jc w:val="both"/>
              <w:rPr>
                <w:rFonts w:ascii="Bookman Old Style" w:hAnsi="Bookman Old Style"/>
                <w:color w:val="000000" w:themeColor="text1"/>
                <w:sz w:val="20"/>
                <w:szCs w:val="20"/>
                <w:lang w:val="es-CO"/>
              </w:rPr>
            </w:pPr>
            <w:r>
              <w:rPr>
                <w:rFonts w:ascii="Bookman Old Style" w:hAnsi="Bookman Old Style"/>
                <w:b/>
                <w:bCs/>
                <w:color w:val="000000" w:themeColor="text1"/>
                <w:sz w:val="20"/>
                <w:szCs w:val="20"/>
                <w:lang w:val="es-CO"/>
              </w:rPr>
              <w:t xml:space="preserve">Horizonte de cálculo: para cada uno de los sesenta (60) </w:t>
            </w:r>
            <w:r>
              <w:rPr>
                <w:rFonts w:ascii="Bookman Old Style" w:hAnsi="Bookman Old Style"/>
                <w:b/>
                <w:bCs/>
                <w:color w:val="000000" w:themeColor="text1"/>
                <w:sz w:val="20"/>
                <w:szCs w:val="20"/>
                <w:lang w:val="es-CO"/>
              </w:rPr>
              <w:lastRenderedPageBreak/>
              <w:t>meses siguientes a la fecha de publicación</w:t>
            </w:r>
          </w:p>
        </w:tc>
        <w:tc>
          <w:tcPr>
            <w:tcW w:w="2310" w:type="dxa"/>
            <w:vAlign w:val="center"/>
          </w:tcPr>
          <w:p w14:paraId="4C91903D"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eastAsia="Calibri" w:hAnsi="Bookman Old Style" w:cs="Arial"/>
                <w:b/>
                <w:bCs/>
                <w:color w:val="000000"/>
                <w:kern w:val="24"/>
                <w:sz w:val="18"/>
                <w:szCs w:val="18"/>
                <w:lang w:val="es-CO" w:eastAsia="es-MX"/>
              </w:rPr>
              <w:lastRenderedPageBreak/>
              <w:t>Para la SSPD, SIC y CREG</w:t>
            </w:r>
          </w:p>
        </w:tc>
      </w:tr>
      <w:tr w:rsidR="007B1F69" w:rsidRPr="00472E28" w14:paraId="0AFA392D" w14:textId="77777777" w:rsidTr="007B1F69">
        <w:tc>
          <w:tcPr>
            <w:tcW w:w="917" w:type="dxa"/>
            <w:gridSpan w:val="2"/>
            <w:vAlign w:val="center"/>
          </w:tcPr>
          <w:p w14:paraId="3E91228E"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MS5</w:t>
            </w:r>
          </w:p>
        </w:tc>
        <w:tc>
          <w:tcPr>
            <w:tcW w:w="2764" w:type="dxa"/>
            <w:vAlign w:val="center"/>
          </w:tcPr>
          <w:p w14:paraId="60E7817E" w14:textId="77777777" w:rsidR="007B1F69" w:rsidRPr="003E5827" w:rsidRDefault="007B1F69" w:rsidP="007B1F69">
            <w:pPr>
              <w:autoSpaceDE w:val="0"/>
              <w:autoSpaceDN w:val="0"/>
              <w:adjustRightInd w:val="0"/>
              <w:ind w:left="0"/>
              <w:jc w:val="center"/>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Ventas totales del agente comercializador en el </w:t>
            </w:r>
            <w:proofErr w:type="spellStart"/>
            <w:r w:rsidRPr="003E5827">
              <w:rPr>
                <w:rFonts w:ascii="Bookman Old Style" w:hAnsi="Bookman Old Style"/>
                <w:b/>
                <w:bCs/>
                <w:color w:val="000000" w:themeColor="text1"/>
                <w:sz w:val="20"/>
                <w:szCs w:val="20"/>
                <w:lang w:val="es-CO"/>
              </w:rPr>
              <w:t>UoVCP</w:t>
            </w:r>
            <w:proofErr w:type="spellEnd"/>
          </w:p>
        </w:tc>
        <w:tc>
          <w:tcPr>
            <w:tcW w:w="3360" w:type="dxa"/>
            <w:gridSpan w:val="2"/>
          </w:tcPr>
          <w:p w14:paraId="2C5FABCC"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sidRPr="003E5827">
              <w:rPr>
                <w:rFonts w:ascii="Bookman Old Style" w:hAnsi="Bookman Old Style"/>
                <w:b/>
                <w:bCs/>
                <w:color w:val="000000" w:themeColor="text1"/>
                <w:sz w:val="20"/>
                <w:szCs w:val="20"/>
                <w:lang w:val="es-CO"/>
              </w:rPr>
              <w:t xml:space="preserve">Calcular toda la cantidad </w:t>
            </w:r>
            <w:r>
              <w:rPr>
                <w:rFonts w:ascii="Bookman Old Style" w:hAnsi="Bookman Old Style"/>
                <w:b/>
                <w:bCs/>
                <w:color w:val="000000" w:themeColor="text1"/>
                <w:sz w:val="20"/>
                <w:szCs w:val="20"/>
                <w:lang w:val="es-CO"/>
              </w:rPr>
              <w:t xml:space="preserve">promedio ponderado diario mensual </w:t>
            </w:r>
          </w:p>
          <w:p w14:paraId="6D4E6F99"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751C2D26"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Periodicidad de cálculo: trimestral</w:t>
            </w:r>
          </w:p>
          <w:p w14:paraId="54FD12A6"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p>
          <w:p w14:paraId="0BC15049" w14:textId="77777777" w:rsidR="007B1F69" w:rsidRDefault="007B1F69" w:rsidP="003E5827">
            <w:pPr>
              <w:autoSpaceDE w:val="0"/>
              <w:autoSpaceDN w:val="0"/>
              <w:adjustRightInd w:val="0"/>
              <w:ind w:left="0"/>
              <w:jc w:val="both"/>
              <w:rPr>
                <w:rFonts w:ascii="Bookman Old Style" w:hAnsi="Bookman Old Style"/>
                <w:b/>
                <w:bCs/>
                <w:color w:val="000000" w:themeColor="text1"/>
                <w:sz w:val="20"/>
                <w:szCs w:val="20"/>
                <w:lang w:val="es-CO"/>
              </w:rPr>
            </w:pPr>
            <w:r>
              <w:rPr>
                <w:rFonts w:ascii="Bookman Old Style" w:hAnsi="Bookman Old Style"/>
                <w:b/>
                <w:bCs/>
                <w:color w:val="000000" w:themeColor="text1"/>
                <w:sz w:val="20"/>
                <w:szCs w:val="20"/>
                <w:lang w:val="es-CO"/>
              </w:rPr>
              <w:t>Horizonte de cálculo: doce meses anteriores a la fecha de publicación</w:t>
            </w:r>
            <w:r w:rsidRPr="003E5827">
              <w:rPr>
                <w:rFonts w:ascii="Bookman Old Style" w:hAnsi="Bookman Old Style"/>
                <w:b/>
                <w:bCs/>
                <w:color w:val="000000" w:themeColor="text1"/>
                <w:sz w:val="20"/>
                <w:szCs w:val="20"/>
                <w:lang w:val="es-CO"/>
              </w:rPr>
              <w:t xml:space="preserve"> Calcular toda la cantidad comprometida en contratos de tipo firme</w:t>
            </w:r>
          </w:p>
          <w:p w14:paraId="1231BC2A" w14:textId="77777777" w:rsidR="007B1F69" w:rsidRPr="003E5827" w:rsidRDefault="007B1F69" w:rsidP="003E5827">
            <w:pPr>
              <w:autoSpaceDE w:val="0"/>
              <w:autoSpaceDN w:val="0"/>
              <w:adjustRightInd w:val="0"/>
              <w:ind w:left="0"/>
              <w:jc w:val="both"/>
              <w:rPr>
                <w:rFonts w:ascii="Bookman Old Style" w:hAnsi="Bookman Old Style"/>
                <w:color w:val="000000" w:themeColor="text1"/>
                <w:sz w:val="20"/>
                <w:szCs w:val="20"/>
                <w:lang w:val="es-CO"/>
              </w:rPr>
            </w:pPr>
          </w:p>
        </w:tc>
        <w:tc>
          <w:tcPr>
            <w:tcW w:w="2310" w:type="dxa"/>
            <w:vAlign w:val="center"/>
          </w:tcPr>
          <w:p w14:paraId="190C6137" w14:textId="77777777" w:rsidR="007B1F69" w:rsidRPr="003E5827" w:rsidRDefault="007B1F69" w:rsidP="007B1F69">
            <w:pPr>
              <w:autoSpaceDE w:val="0"/>
              <w:autoSpaceDN w:val="0"/>
              <w:adjustRightInd w:val="0"/>
              <w:ind w:left="0"/>
              <w:jc w:val="center"/>
              <w:rPr>
                <w:rFonts w:ascii="Bookman Old Style" w:hAnsi="Bookman Old Style"/>
                <w:color w:val="000000" w:themeColor="text1"/>
                <w:sz w:val="20"/>
                <w:szCs w:val="20"/>
                <w:lang w:val="es-CO"/>
              </w:rPr>
            </w:pPr>
            <w:r w:rsidRPr="003E5827">
              <w:rPr>
                <w:rFonts w:ascii="Bookman Old Style" w:eastAsia="Calibri" w:hAnsi="Bookman Old Style" w:cs="Arial"/>
                <w:b/>
                <w:bCs/>
                <w:color w:val="000000"/>
                <w:kern w:val="24"/>
                <w:sz w:val="18"/>
                <w:szCs w:val="18"/>
                <w:lang w:val="es-CO" w:eastAsia="es-MX"/>
              </w:rPr>
              <w:t>Para la SSPD, SIC y CREG</w:t>
            </w:r>
          </w:p>
        </w:tc>
      </w:tr>
      <w:tr w:rsidR="007B1F69" w:rsidRPr="00472E28" w14:paraId="1EC46B05" w14:textId="77777777" w:rsidTr="007B1F69">
        <w:tc>
          <w:tcPr>
            <w:tcW w:w="846" w:type="dxa"/>
            <w:vAlign w:val="center"/>
          </w:tcPr>
          <w:p w14:paraId="3C701DAF" w14:textId="77777777" w:rsidR="007B1F69" w:rsidRPr="00F80533" w:rsidRDefault="007B1F69" w:rsidP="007B1F69">
            <w:pPr>
              <w:autoSpaceDE w:val="0"/>
              <w:autoSpaceDN w:val="0"/>
              <w:adjustRightInd w:val="0"/>
              <w:ind w:left="0"/>
              <w:jc w:val="center"/>
              <w:rPr>
                <w:rFonts w:ascii="Bookman Old Style" w:hAnsi="Bookman Old Style"/>
                <w:b/>
                <w:bCs/>
                <w:color w:val="000000" w:themeColor="text1"/>
                <w:lang w:val="es-CO"/>
              </w:rPr>
            </w:pPr>
            <w:r w:rsidRPr="003E5827">
              <w:rPr>
                <w:rFonts w:ascii="Bookman Old Style" w:hAnsi="Bookman Old Style" w:cs="Arial"/>
                <w:b/>
                <w:bCs/>
                <w:color w:val="000000"/>
                <w:kern w:val="24"/>
                <w:sz w:val="16"/>
                <w:szCs w:val="20"/>
                <w:lang w:val="es-CO" w:eastAsia="es-MX"/>
              </w:rPr>
              <w:t>MS8</w:t>
            </w:r>
          </w:p>
        </w:tc>
        <w:tc>
          <w:tcPr>
            <w:tcW w:w="2835" w:type="dxa"/>
            <w:gridSpan w:val="2"/>
            <w:vAlign w:val="center"/>
          </w:tcPr>
          <w:p w14:paraId="342F8E1A" w14:textId="0788EA70" w:rsidR="007B1F69" w:rsidRPr="00472E28" w:rsidRDefault="007B1F69" w:rsidP="007B1F69">
            <w:pPr>
              <w:autoSpaceDE w:val="0"/>
              <w:autoSpaceDN w:val="0"/>
              <w:adjustRightInd w:val="0"/>
              <w:ind w:left="0"/>
              <w:jc w:val="center"/>
              <w:rPr>
                <w:rFonts w:ascii="Bookman Old Style" w:hAnsi="Bookman Old Style"/>
                <w:b/>
                <w:bCs/>
                <w:color w:val="000000" w:themeColor="text1"/>
                <w:lang w:val="es-CO"/>
              </w:rPr>
            </w:pPr>
            <m:oMath>
              <m:r>
                <m:rPr>
                  <m:sty m:val="b"/>
                </m:rPr>
                <w:rPr>
                  <w:rFonts w:ascii="Cambria Math" w:hAnsi="Cambria Math" w:cs="Arial"/>
                  <w:sz w:val="18"/>
                  <w:lang w:val="es-CO" w:eastAsia="es-MX"/>
                </w:rPr>
                <m:t>OCTGF</m:t>
              </m:r>
            </m:oMath>
            <w:r>
              <w:rPr>
                <w:rFonts w:ascii="Bookman Old Style" w:hAnsi="Bookman Old Style" w:cs="Arial"/>
                <w:b/>
                <w:sz w:val="18"/>
                <w:lang w:val="es-CO" w:eastAsia="es-MX"/>
              </w:rPr>
              <w:t xml:space="preserve"> (Anexo 5)</w:t>
            </w:r>
          </w:p>
        </w:tc>
        <w:tc>
          <w:tcPr>
            <w:tcW w:w="3332" w:type="dxa"/>
            <w:vAlign w:val="center"/>
          </w:tcPr>
          <w:p w14:paraId="1F6B58E2" w14:textId="77777777" w:rsidR="007B1F69" w:rsidRPr="007B1F69" w:rsidRDefault="007B1F69" w:rsidP="003E5827">
            <w:pPr>
              <w:ind w:left="0"/>
              <w:jc w:val="both"/>
              <w:rPr>
                <w:rFonts w:ascii="Bookman Old Style" w:eastAsia="Calibri" w:hAnsi="Bookman Old Style" w:cs="Arial"/>
                <w:b/>
                <w:bCs/>
                <w:color w:val="000000"/>
                <w:kern w:val="24"/>
                <w:sz w:val="20"/>
                <w:szCs w:val="20"/>
                <w:lang w:val="es-CO" w:eastAsia="es-MX"/>
              </w:rPr>
            </w:pPr>
            <w:r w:rsidRPr="007B1F69">
              <w:rPr>
                <w:rFonts w:ascii="Bookman Old Style" w:hAnsi="Bookman Old Style" w:cs="Arial"/>
                <w:b/>
                <w:bCs/>
                <w:color w:val="000000"/>
                <w:sz w:val="20"/>
                <w:szCs w:val="20"/>
                <w:lang w:val="es-CO"/>
              </w:rPr>
              <w:t xml:space="preserve">Calcular toda la oferta comprometida vigente en contratos firmes, CF95, CF80, OCG, CFC, TOP, y cualquier modalidad en las cantidades con garantía de firmeza. </w:t>
            </w:r>
          </w:p>
          <w:p w14:paraId="743D9CFB" w14:textId="77777777" w:rsidR="007B1F69" w:rsidRPr="007B1F69" w:rsidRDefault="007B1F69" w:rsidP="003E5827">
            <w:pPr>
              <w:ind w:left="0"/>
              <w:jc w:val="both"/>
              <w:rPr>
                <w:rFonts w:ascii="Bookman Old Style" w:hAnsi="Bookman Old Style" w:cs="Arial"/>
                <w:b/>
                <w:bCs/>
                <w:color w:val="000000"/>
                <w:sz w:val="20"/>
                <w:szCs w:val="20"/>
                <w:lang w:val="es-CO"/>
              </w:rPr>
            </w:pPr>
          </w:p>
          <w:p w14:paraId="7ABC42F0" w14:textId="77777777" w:rsidR="007B1F69" w:rsidRPr="007B1F69" w:rsidRDefault="007B1F69" w:rsidP="003E5827">
            <w:pPr>
              <w:ind w:left="0"/>
              <w:jc w:val="both"/>
              <w:rPr>
                <w:rFonts w:ascii="Bookman Old Style" w:hAnsi="Bookman Old Style" w:cs="Arial"/>
                <w:b/>
                <w:bCs/>
                <w:color w:val="000000"/>
                <w:sz w:val="20"/>
                <w:szCs w:val="20"/>
                <w:lang w:val="es-CO"/>
              </w:rPr>
            </w:pPr>
            <w:r w:rsidRPr="007B1F69">
              <w:rPr>
                <w:rFonts w:ascii="Bookman Old Style" w:hAnsi="Bookman Old Style" w:cs="Arial"/>
                <w:b/>
                <w:bCs/>
                <w:color w:val="000000"/>
                <w:sz w:val="20"/>
                <w:szCs w:val="20"/>
                <w:lang w:val="es-CO"/>
              </w:rPr>
              <w:t>Este indicador debe calcularse de manera nacional (i.e. agregado) y por comercializador</w:t>
            </w:r>
            <w:r w:rsidRPr="007B1F69">
              <w:rPr>
                <w:rFonts w:ascii="Bookman Old Style" w:hAnsi="Bookman Old Style" w:cs="Arial"/>
                <w:b/>
                <w:bCs/>
                <w:sz w:val="20"/>
                <w:szCs w:val="20"/>
                <w:lang w:val="es-CO" w:eastAsia="es-MX"/>
              </w:rPr>
              <w:t>.</w:t>
            </w:r>
          </w:p>
          <w:p w14:paraId="2360F7D6" w14:textId="77777777" w:rsidR="007B1F69" w:rsidRPr="007B1F69" w:rsidRDefault="007B1F69" w:rsidP="003E5827">
            <w:pPr>
              <w:jc w:val="both"/>
              <w:rPr>
                <w:rFonts w:ascii="Bookman Old Style" w:hAnsi="Bookman Old Style" w:cs="Arial"/>
                <w:b/>
                <w:bCs/>
                <w:color w:val="000000"/>
                <w:sz w:val="20"/>
                <w:szCs w:val="20"/>
                <w:lang w:val="es-CO"/>
              </w:rPr>
            </w:pPr>
          </w:p>
          <w:p w14:paraId="5A108FF4" w14:textId="77777777" w:rsidR="007B1F69" w:rsidRPr="007B1F69" w:rsidRDefault="007B1F69" w:rsidP="003E5827">
            <w:pPr>
              <w:ind w:left="0"/>
              <w:jc w:val="both"/>
              <w:rPr>
                <w:rFonts w:ascii="Bookman Old Style" w:eastAsia="Calibri" w:hAnsi="Bookman Old Style" w:cs="Arial"/>
                <w:b/>
                <w:bCs/>
                <w:color w:val="000000"/>
                <w:kern w:val="24"/>
                <w:sz w:val="20"/>
                <w:szCs w:val="20"/>
                <w:lang w:val="es-CO" w:eastAsia="es-MX"/>
              </w:rPr>
            </w:pPr>
            <w:r w:rsidRPr="007B1F69">
              <w:rPr>
                <w:rFonts w:ascii="Bookman Old Style" w:eastAsia="Calibri" w:hAnsi="Bookman Old Style" w:cs="Arial"/>
                <w:b/>
                <w:bCs/>
                <w:color w:val="000000"/>
                <w:kern w:val="24"/>
                <w:sz w:val="20"/>
                <w:szCs w:val="20"/>
                <w:lang w:val="es-CO" w:eastAsia="es-MX"/>
              </w:rPr>
              <w:t>Periodicidad de cálculo y de publicación: mensual dentro de los primeros tres (03) días hábiles del mes, con la información más reciente al momento de la publicación.</w:t>
            </w:r>
          </w:p>
          <w:p w14:paraId="486F5ADB" w14:textId="77777777" w:rsidR="007B1F69" w:rsidRPr="007B1F69" w:rsidRDefault="007B1F69" w:rsidP="003E5827">
            <w:pPr>
              <w:jc w:val="both"/>
              <w:rPr>
                <w:rFonts w:ascii="Bookman Old Style" w:eastAsia="Calibri" w:hAnsi="Bookman Old Style" w:cs="Arial"/>
                <w:b/>
                <w:bCs/>
                <w:color w:val="000000"/>
                <w:kern w:val="24"/>
                <w:sz w:val="20"/>
                <w:szCs w:val="20"/>
                <w:lang w:val="es-CO" w:eastAsia="es-MX"/>
              </w:rPr>
            </w:pPr>
          </w:p>
          <w:p w14:paraId="72FD6DE1" w14:textId="77777777" w:rsidR="007B1F69" w:rsidRPr="007B1F69" w:rsidRDefault="007B1F69" w:rsidP="003E5827">
            <w:pPr>
              <w:autoSpaceDE w:val="0"/>
              <w:autoSpaceDN w:val="0"/>
              <w:adjustRightInd w:val="0"/>
              <w:ind w:left="0"/>
              <w:jc w:val="both"/>
              <w:rPr>
                <w:rFonts w:ascii="Bookman Old Style" w:hAnsi="Bookman Old Style"/>
                <w:b/>
                <w:bCs/>
                <w:color w:val="000000" w:themeColor="text1"/>
                <w:lang w:val="es-CO"/>
              </w:rPr>
            </w:pPr>
            <w:r w:rsidRPr="007B1F69">
              <w:rPr>
                <w:rFonts w:ascii="Bookman Old Style" w:eastAsia="Calibri" w:hAnsi="Bookman Old Style" w:cs="Arial"/>
                <w:b/>
                <w:bCs/>
                <w:color w:val="000000"/>
                <w:kern w:val="24"/>
                <w:sz w:val="20"/>
                <w:szCs w:val="20"/>
                <w:lang w:val="es-CO" w:eastAsia="es-MX"/>
              </w:rPr>
              <w:t>Horizonte de cálculo: para los siguientes sesenta (60) meses siguientes a la fecha de publicación.</w:t>
            </w:r>
          </w:p>
        </w:tc>
        <w:tc>
          <w:tcPr>
            <w:tcW w:w="2338" w:type="dxa"/>
            <w:gridSpan w:val="2"/>
            <w:vAlign w:val="center"/>
          </w:tcPr>
          <w:p w14:paraId="7F6D4745" w14:textId="77777777" w:rsidR="007B1F69" w:rsidRPr="003E5827" w:rsidRDefault="007B1F69" w:rsidP="007B1F69">
            <w:pPr>
              <w:ind w:left="0"/>
              <w:contextualSpacing/>
              <w:jc w:val="center"/>
              <w:rPr>
                <w:rFonts w:ascii="Bookman Old Style" w:eastAsia="Calibri" w:hAnsi="Bookman Old Style" w:cs="Arial"/>
                <w:b/>
                <w:bCs/>
                <w:color w:val="000000"/>
                <w:kern w:val="24"/>
                <w:sz w:val="20"/>
                <w:szCs w:val="20"/>
                <w:lang w:val="es-CO" w:eastAsia="es-MX"/>
              </w:rPr>
            </w:pPr>
            <w:r w:rsidRPr="003E5827">
              <w:rPr>
                <w:rFonts w:ascii="Bookman Old Style" w:eastAsia="Calibri" w:hAnsi="Bookman Old Style" w:cs="Arial"/>
                <w:b/>
                <w:bCs/>
                <w:color w:val="000000"/>
                <w:kern w:val="24"/>
                <w:sz w:val="20"/>
                <w:szCs w:val="20"/>
                <w:lang w:val="es-CO" w:eastAsia="es-MX"/>
              </w:rPr>
              <w:t>Los indicadores nacional para el público general y los indicadores por comercializador para la SSPD, SIC y CREG</w:t>
            </w:r>
          </w:p>
          <w:p w14:paraId="1E54300F" w14:textId="1E579229" w:rsidR="007B1F69" w:rsidRPr="00472E28" w:rsidRDefault="007B1F69" w:rsidP="007B1F69">
            <w:pPr>
              <w:autoSpaceDE w:val="0"/>
              <w:autoSpaceDN w:val="0"/>
              <w:adjustRightInd w:val="0"/>
              <w:ind w:left="0"/>
              <w:jc w:val="center"/>
              <w:rPr>
                <w:rFonts w:ascii="Bookman Old Style" w:hAnsi="Bookman Old Style"/>
                <w:color w:val="000000" w:themeColor="text1"/>
                <w:lang w:val="es-CO"/>
              </w:rPr>
            </w:pPr>
          </w:p>
        </w:tc>
      </w:tr>
      <w:tr w:rsidR="007B1F69" w:rsidRPr="00472E28" w14:paraId="5FE91EFC" w14:textId="77777777" w:rsidTr="007B1F69">
        <w:tc>
          <w:tcPr>
            <w:tcW w:w="846" w:type="dxa"/>
            <w:vAlign w:val="center"/>
          </w:tcPr>
          <w:p w14:paraId="704A61CD" w14:textId="77777777" w:rsidR="007B1F69" w:rsidRPr="00F80533" w:rsidRDefault="007B1F69" w:rsidP="007B1F69">
            <w:pPr>
              <w:autoSpaceDE w:val="0"/>
              <w:autoSpaceDN w:val="0"/>
              <w:adjustRightInd w:val="0"/>
              <w:ind w:left="0"/>
              <w:jc w:val="center"/>
              <w:rPr>
                <w:rFonts w:ascii="Bookman Old Style" w:hAnsi="Bookman Old Style"/>
                <w:b/>
                <w:bCs/>
                <w:color w:val="000000" w:themeColor="text1"/>
                <w:lang w:val="es-CO"/>
              </w:rPr>
            </w:pPr>
            <w:r w:rsidRPr="003E5827">
              <w:rPr>
                <w:rFonts w:ascii="Bookman Old Style" w:hAnsi="Bookman Old Style" w:cs="Arial"/>
                <w:b/>
                <w:bCs/>
                <w:color w:val="000000"/>
                <w:kern w:val="24"/>
                <w:sz w:val="16"/>
                <w:szCs w:val="20"/>
                <w:lang w:val="es-CO" w:eastAsia="es-MX"/>
              </w:rPr>
              <w:t>MS10</w:t>
            </w:r>
          </w:p>
        </w:tc>
        <w:tc>
          <w:tcPr>
            <w:tcW w:w="2835" w:type="dxa"/>
            <w:gridSpan w:val="2"/>
            <w:vAlign w:val="center"/>
          </w:tcPr>
          <w:p w14:paraId="7096DE25" w14:textId="17E8A37A" w:rsidR="007B1F69" w:rsidRPr="00472E28" w:rsidRDefault="00FB7B28" w:rsidP="007B1F69">
            <w:pPr>
              <w:autoSpaceDE w:val="0"/>
              <w:autoSpaceDN w:val="0"/>
              <w:adjustRightInd w:val="0"/>
              <w:ind w:left="0"/>
              <w:jc w:val="center"/>
              <w:rPr>
                <w:rFonts w:ascii="Bookman Old Style" w:hAnsi="Bookman Old Style"/>
                <w:b/>
                <w:bCs/>
                <w:color w:val="000000" w:themeColor="text1"/>
                <w:lang w:val="es-CO"/>
              </w:rPr>
            </w:pPr>
            <m:oMathPara>
              <m:oMath>
                <m:f>
                  <m:fPr>
                    <m:ctrlPr>
                      <w:rPr>
                        <w:rFonts w:ascii="Cambria Math" w:hAnsi="Cambria Math" w:cs="Arial"/>
                        <w:b/>
                        <w:bCs/>
                        <w:sz w:val="18"/>
                        <w:lang w:val="es-CO" w:eastAsia="es-MX"/>
                      </w:rPr>
                    </m:ctrlPr>
                  </m:fPr>
                  <m:num>
                    <m:r>
                      <m:rPr>
                        <m:sty m:val="b"/>
                      </m:rPr>
                      <w:rPr>
                        <w:rFonts w:ascii="Cambria Math" w:hAnsi="Cambria Math" w:cs="Arial"/>
                        <w:sz w:val="18"/>
                        <w:lang w:val="es-CO" w:eastAsia="es-MX"/>
                      </w:rPr>
                      <m:t>OCTGF comercializador (Anexo 5)</m:t>
                    </m:r>
                  </m:num>
                  <m:den>
                    <m:r>
                      <m:rPr>
                        <m:sty m:val="b"/>
                      </m:rPr>
                      <w:rPr>
                        <w:rFonts w:ascii="Cambria Math" w:hAnsi="Cambria Math" w:cs="Arial"/>
                        <w:sz w:val="18"/>
                        <w:lang w:val="es-CO" w:eastAsia="es-MX"/>
                      </w:rPr>
                      <m:t>OCTGF</m:t>
                    </m:r>
                  </m:den>
                </m:f>
              </m:oMath>
            </m:oMathPara>
          </w:p>
        </w:tc>
        <w:tc>
          <w:tcPr>
            <w:tcW w:w="3332" w:type="dxa"/>
            <w:vAlign w:val="center"/>
          </w:tcPr>
          <w:p w14:paraId="66D52833" w14:textId="25312320" w:rsidR="007B1F69" w:rsidRPr="007B1F69" w:rsidRDefault="007B1F69" w:rsidP="003E5827">
            <w:pPr>
              <w:ind w:left="0"/>
              <w:jc w:val="both"/>
              <w:rPr>
                <w:rFonts w:ascii="Bookman Old Style" w:eastAsia="Calibri" w:hAnsi="Bookman Old Style" w:cs="Arial"/>
                <w:b/>
                <w:bCs/>
                <w:color w:val="000000"/>
                <w:kern w:val="24"/>
                <w:sz w:val="20"/>
                <w:szCs w:val="20"/>
                <w:lang w:val="es-CO" w:eastAsia="es-MX"/>
              </w:rPr>
            </w:pPr>
            <w:r w:rsidRPr="007B1F69">
              <w:rPr>
                <w:rFonts w:ascii="Bookman Old Style" w:hAnsi="Bookman Old Style" w:cs="Arial"/>
                <w:b/>
                <w:bCs/>
                <w:color w:val="000000"/>
                <w:sz w:val="20"/>
                <w:szCs w:val="20"/>
                <w:lang w:val="es-CO"/>
              </w:rPr>
              <w:t xml:space="preserve">Calcular toda la oferta comprometida vigente total nacional en contratos firmes, CF95, CF80, OCG, CFC, TOP, y cualquier modalidad </w:t>
            </w:r>
            <w:r w:rsidR="00DB6ECC">
              <w:rPr>
                <w:rFonts w:ascii="Bookman Old Style" w:hAnsi="Bookman Old Style" w:cs="Arial"/>
                <w:b/>
                <w:bCs/>
                <w:color w:val="000000"/>
                <w:sz w:val="20"/>
                <w:szCs w:val="20"/>
                <w:lang w:val="es-CO"/>
              </w:rPr>
              <w:t xml:space="preserve">del Mercado Mayorista </w:t>
            </w:r>
            <w:r w:rsidRPr="007B1F69">
              <w:rPr>
                <w:rFonts w:ascii="Bookman Old Style" w:hAnsi="Bookman Old Style" w:cs="Arial"/>
                <w:b/>
                <w:bCs/>
                <w:color w:val="000000"/>
                <w:sz w:val="20"/>
                <w:szCs w:val="20"/>
                <w:lang w:val="es-CO"/>
              </w:rPr>
              <w:t>en las cantidades con garantía de firmeza del comercializador respecto del total nacional de todos los comercializadores</w:t>
            </w:r>
            <w:r w:rsidRPr="007B1F69">
              <w:rPr>
                <w:rFonts w:ascii="Bookman Old Style" w:eastAsia="Calibri" w:hAnsi="Bookman Old Style" w:cs="Arial"/>
                <w:b/>
                <w:bCs/>
                <w:color w:val="000000"/>
                <w:kern w:val="24"/>
                <w:sz w:val="20"/>
                <w:szCs w:val="20"/>
                <w:lang w:val="es-CO" w:eastAsia="es-MX"/>
              </w:rPr>
              <w:t>.</w:t>
            </w:r>
          </w:p>
          <w:p w14:paraId="1A7428FC" w14:textId="77777777" w:rsidR="007B1F69" w:rsidRPr="007B1F69" w:rsidRDefault="007B1F69" w:rsidP="003E5827">
            <w:pPr>
              <w:ind w:left="0"/>
              <w:jc w:val="both"/>
              <w:rPr>
                <w:rFonts w:ascii="Bookman Old Style" w:hAnsi="Bookman Old Style" w:cs="Arial"/>
                <w:b/>
                <w:bCs/>
                <w:color w:val="000000"/>
                <w:sz w:val="20"/>
                <w:szCs w:val="20"/>
                <w:lang w:val="es-CO"/>
              </w:rPr>
            </w:pPr>
          </w:p>
          <w:p w14:paraId="75551A12" w14:textId="77777777" w:rsidR="007B1F69" w:rsidRPr="007B1F69" w:rsidRDefault="007B1F69" w:rsidP="003E5827">
            <w:pPr>
              <w:ind w:left="0"/>
              <w:jc w:val="both"/>
              <w:rPr>
                <w:rFonts w:ascii="Bookman Old Style" w:eastAsia="Calibri" w:hAnsi="Bookman Old Style" w:cs="Arial"/>
                <w:b/>
                <w:bCs/>
                <w:color w:val="000000"/>
                <w:kern w:val="24"/>
                <w:sz w:val="20"/>
                <w:szCs w:val="20"/>
                <w:lang w:val="es-CO" w:eastAsia="es-MX"/>
              </w:rPr>
            </w:pPr>
            <w:r w:rsidRPr="007B1F69">
              <w:rPr>
                <w:rFonts w:ascii="Bookman Old Style" w:eastAsia="Calibri" w:hAnsi="Bookman Old Style" w:cs="Arial"/>
                <w:b/>
                <w:bCs/>
                <w:color w:val="000000"/>
                <w:kern w:val="24"/>
                <w:sz w:val="20"/>
                <w:szCs w:val="20"/>
                <w:lang w:val="es-CO" w:eastAsia="es-MX"/>
              </w:rPr>
              <w:t>Periodicidad de cálculo y de publicación: mensual dentro de los primeros tres (03) días hábiles del mes, con la información más reciente al momento de la publicación.</w:t>
            </w:r>
          </w:p>
          <w:p w14:paraId="5CD60C2A" w14:textId="77777777" w:rsidR="007B1F69" w:rsidRPr="007B1F69" w:rsidRDefault="007B1F69" w:rsidP="003E5827">
            <w:pPr>
              <w:jc w:val="both"/>
              <w:rPr>
                <w:rFonts w:ascii="Bookman Old Style" w:eastAsia="Calibri" w:hAnsi="Bookman Old Style" w:cs="Arial"/>
                <w:b/>
                <w:bCs/>
                <w:color w:val="000000"/>
                <w:kern w:val="24"/>
                <w:sz w:val="20"/>
                <w:szCs w:val="20"/>
                <w:lang w:val="es-CO" w:eastAsia="es-MX"/>
              </w:rPr>
            </w:pPr>
          </w:p>
          <w:p w14:paraId="1A9D8931" w14:textId="77777777" w:rsidR="007B1F69" w:rsidRPr="007B1F69" w:rsidRDefault="007B1F69" w:rsidP="003E5827">
            <w:pPr>
              <w:autoSpaceDE w:val="0"/>
              <w:autoSpaceDN w:val="0"/>
              <w:adjustRightInd w:val="0"/>
              <w:ind w:left="0"/>
              <w:jc w:val="both"/>
              <w:rPr>
                <w:rFonts w:ascii="Bookman Old Style" w:hAnsi="Bookman Old Style"/>
                <w:b/>
                <w:bCs/>
                <w:color w:val="000000" w:themeColor="text1"/>
                <w:lang w:val="es-CO"/>
              </w:rPr>
            </w:pPr>
            <w:r w:rsidRPr="007B1F69">
              <w:rPr>
                <w:rFonts w:ascii="Bookman Old Style" w:eastAsia="Calibri" w:hAnsi="Bookman Old Style" w:cs="Arial"/>
                <w:b/>
                <w:bCs/>
                <w:color w:val="000000"/>
                <w:kern w:val="24"/>
                <w:sz w:val="20"/>
                <w:szCs w:val="20"/>
                <w:lang w:val="es-CO" w:eastAsia="es-MX"/>
              </w:rPr>
              <w:t xml:space="preserve">Horizonte de cálculo: para todos los meses en donde </w:t>
            </w:r>
            <w:r w:rsidRPr="007B1F69">
              <w:rPr>
                <w:rFonts w:ascii="Bookman Old Style" w:eastAsia="Calibri" w:hAnsi="Bookman Old Style" w:cs="Arial"/>
                <w:b/>
                <w:bCs/>
                <w:color w:val="000000"/>
                <w:kern w:val="24"/>
                <w:sz w:val="20"/>
                <w:szCs w:val="20"/>
                <w:lang w:val="es-CO" w:eastAsia="es-MX"/>
              </w:rPr>
              <w:lastRenderedPageBreak/>
              <w:t>haya oferta comprometida con garantía de firmeza.</w:t>
            </w:r>
          </w:p>
        </w:tc>
        <w:tc>
          <w:tcPr>
            <w:tcW w:w="2338" w:type="dxa"/>
            <w:gridSpan w:val="2"/>
            <w:vAlign w:val="center"/>
          </w:tcPr>
          <w:p w14:paraId="28A4DFCA" w14:textId="77777777" w:rsidR="007B1F69" w:rsidRPr="003E5827" w:rsidRDefault="007B1F69" w:rsidP="007B1F69">
            <w:pPr>
              <w:ind w:left="0"/>
              <w:contextualSpacing/>
              <w:jc w:val="center"/>
              <w:rPr>
                <w:rFonts w:ascii="Bookman Old Style" w:eastAsia="Calibri" w:hAnsi="Bookman Old Style" w:cs="Arial"/>
                <w:b/>
                <w:bCs/>
                <w:color w:val="000000"/>
                <w:kern w:val="24"/>
                <w:sz w:val="20"/>
                <w:szCs w:val="20"/>
                <w:lang w:val="es-CO" w:eastAsia="es-MX"/>
              </w:rPr>
            </w:pPr>
            <w:r w:rsidRPr="003E5827">
              <w:rPr>
                <w:rFonts w:ascii="Bookman Old Style" w:eastAsia="Calibri" w:hAnsi="Bookman Old Style" w:cs="Arial"/>
                <w:b/>
                <w:bCs/>
                <w:color w:val="000000"/>
                <w:kern w:val="24"/>
                <w:sz w:val="20"/>
                <w:szCs w:val="20"/>
                <w:lang w:val="es-CO" w:eastAsia="es-MX"/>
              </w:rPr>
              <w:lastRenderedPageBreak/>
              <w:t>Los indicadores por productor para la SSPD, SIC y CREG</w:t>
            </w:r>
          </w:p>
          <w:p w14:paraId="582A0AB1" w14:textId="77777777" w:rsidR="007B1F69" w:rsidRPr="00472E28" w:rsidRDefault="007B1F69" w:rsidP="007B1F69">
            <w:pPr>
              <w:autoSpaceDE w:val="0"/>
              <w:autoSpaceDN w:val="0"/>
              <w:adjustRightInd w:val="0"/>
              <w:ind w:left="0"/>
              <w:jc w:val="center"/>
              <w:rPr>
                <w:rFonts w:ascii="Bookman Old Style" w:hAnsi="Bookman Old Style"/>
                <w:color w:val="000000" w:themeColor="text1"/>
                <w:lang w:val="es-CO"/>
              </w:rPr>
            </w:pPr>
          </w:p>
        </w:tc>
      </w:tr>
    </w:tbl>
    <w:p w14:paraId="570D5392" w14:textId="77777777" w:rsidR="003D0624" w:rsidRDefault="003D0624" w:rsidP="0006302B">
      <w:pPr>
        <w:autoSpaceDE w:val="0"/>
        <w:autoSpaceDN w:val="0"/>
        <w:adjustRightInd w:val="0"/>
        <w:ind w:left="0"/>
        <w:jc w:val="both"/>
        <w:rPr>
          <w:rFonts w:ascii="Bookman Old Style" w:hAnsi="Bookman Old Style"/>
          <w:color w:val="000000" w:themeColor="text1"/>
          <w:lang w:val="es-CO"/>
        </w:rPr>
        <w:sectPr w:rsidR="003D0624" w:rsidSect="00B82E72">
          <w:headerReference w:type="default" r:id="rId14"/>
          <w:headerReference w:type="first" r:id="rId15"/>
          <w:type w:val="continuous"/>
          <w:pgSz w:w="12247" w:h="18705" w:code="121"/>
          <w:pgMar w:top="2268" w:right="1185" w:bottom="1758" w:left="1701" w:header="709" w:footer="709" w:gutter="0"/>
          <w:cols w:space="708"/>
          <w:titlePg/>
          <w:docGrid w:linePitch="360"/>
        </w:sectPr>
      </w:pPr>
    </w:p>
    <w:p w14:paraId="29686468" w14:textId="38B2C21F" w:rsidR="0006302B" w:rsidRPr="0013707D" w:rsidRDefault="0006302B" w:rsidP="0006302B">
      <w:pPr>
        <w:pStyle w:val="Ttulo1"/>
        <w:ind w:left="0"/>
        <w:rPr>
          <w:rFonts w:ascii="Bookman Old Style" w:hAnsi="Bookman Old Style"/>
          <w:color w:val="000000" w:themeColor="text1"/>
        </w:rPr>
      </w:pPr>
      <w:bookmarkStart w:id="134" w:name="_Ref442870221"/>
      <w:bookmarkStart w:id="135" w:name="_Ref329185896"/>
      <w:r w:rsidRPr="0013707D">
        <w:rPr>
          <w:rFonts w:ascii="Bookman Old Style" w:hAnsi="Bookman Old Style"/>
          <w:color w:val="000000" w:themeColor="text1"/>
        </w:rPr>
        <w:lastRenderedPageBreak/>
        <w:t xml:space="preserve">Anexo </w:t>
      </w:r>
      <w:r w:rsidRPr="0013707D">
        <w:rPr>
          <w:rFonts w:ascii="Bookman Old Style" w:hAnsi="Bookman Old Style"/>
          <w:color w:val="000000" w:themeColor="text1"/>
        </w:rPr>
        <w:fldChar w:fldCharType="begin"/>
      </w:r>
      <w:r w:rsidRPr="0013707D">
        <w:rPr>
          <w:rFonts w:ascii="Bookman Old Style" w:hAnsi="Bookman Old Style"/>
          <w:color w:val="000000" w:themeColor="text1"/>
        </w:rPr>
        <w:instrText xml:space="preserve"> SEQ Anexo \* ARABIC </w:instrText>
      </w:r>
      <w:r w:rsidRPr="0013707D">
        <w:rPr>
          <w:rFonts w:ascii="Bookman Old Style" w:hAnsi="Bookman Old Style"/>
          <w:color w:val="000000" w:themeColor="text1"/>
        </w:rPr>
        <w:fldChar w:fldCharType="separate"/>
      </w:r>
      <w:r w:rsidR="00636B6A">
        <w:rPr>
          <w:rFonts w:ascii="Bookman Old Style" w:hAnsi="Bookman Old Style"/>
          <w:noProof/>
          <w:color w:val="000000" w:themeColor="text1"/>
        </w:rPr>
        <w:t>2</w:t>
      </w:r>
      <w:r w:rsidRPr="0013707D">
        <w:rPr>
          <w:rFonts w:ascii="Bookman Old Style" w:hAnsi="Bookman Old Style"/>
          <w:color w:val="000000" w:themeColor="text1"/>
        </w:rPr>
        <w:fldChar w:fldCharType="end"/>
      </w:r>
      <w:bookmarkEnd w:id="134"/>
    </w:p>
    <w:p w14:paraId="24E0C2F3" w14:textId="77777777" w:rsidR="0006302B" w:rsidRPr="0013707D" w:rsidRDefault="0006302B" w:rsidP="0006302B">
      <w:pPr>
        <w:ind w:left="0"/>
        <w:jc w:val="center"/>
        <w:rPr>
          <w:rFonts w:ascii="Bookman Old Style" w:hAnsi="Bookman Old Style"/>
          <w:b/>
          <w:color w:val="000000" w:themeColor="text1"/>
          <w:lang w:val="es-CO"/>
        </w:rPr>
      </w:pPr>
      <w:r w:rsidRPr="0013707D">
        <w:rPr>
          <w:rFonts w:ascii="Bookman Old Style" w:hAnsi="Bookman Old Style"/>
          <w:b/>
          <w:color w:val="000000" w:themeColor="text1"/>
          <w:lang w:val="es-CO"/>
        </w:rPr>
        <w:t>Compensaciones en suministro</w:t>
      </w:r>
    </w:p>
    <w:p w14:paraId="5DA39D99" w14:textId="77777777" w:rsidR="0006302B" w:rsidRPr="00221F28" w:rsidRDefault="0006302B" w:rsidP="0006302B">
      <w:pPr>
        <w:pStyle w:val="ARTICULOS"/>
        <w:numPr>
          <w:ilvl w:val="0"/>
          <w:numId w:val="0"/>
        </w:numPr>
        <w:tabs>
          <w:tab w:val="clear" w:pos="1559"/>
          <w:tab w:val="left" w:pos="1560"/>
        </w:tabs>
        <w:jc w:val="center"/>
        <w:rPr>
          <w:rFonts w:cs="Arial"/>
          <w:lang w:val="es-CO"/>
        </w:rPr>
      </w:pPr>
    </w:p>
    <w:p w14:paraId="68E1CEB2" w14:textId="3E550E3A" w:rsidR="0006302B" w:rsidRPr="0013707D" w:rsidRDefault="0006302B" w:rsidP="00A4790E">
      <w:pPr>
        <w:pStyle w:val="ARTICULOS"/>
        <w:numPr>
          <w:ilvl w:val="1"/>
          <w:numId w:val="54"/>
        </w:numPr>
        <w:ind w:left="567" w:hanging="567"/>
        <w:rPr>
          <w:color w:val="000000" w:themeColor="text1"/>
          <w:lang w:val="es-CO"/>
        </w:rPr>
      </w:pPr>
      <w:bookmarkStart w:id="136" w:name="_Ref357514852"/>
      <w:r w:rsidRPr="0013707D">
        <w:rPr>
          <w:rFonts w:cs="Arial"/>
          <w:color w:val="000000"/>
          <w:lang w:val="es-CO"/>
        </w:rPr>
        <w:t xml:space="preserve">En el caso de los contratos firmes, </w:t>
      </w:r>
      <w:r w:rsidRPr="00D66B65">
        <w:rPr>
          <w:rFonts w:cs="Arial"/>
          <w:b/>
          <w:bCs w:val="0"/>
          <w:color w:val="000000"/>
          <w:lang w:val="es-CO"/>
        </w:rPr>
        <w:t xml:space="preserve">firmes al </w:t>
      </w:r>
      <w:r>
        <w:rPr>
          <w:rFonts w:cs="Arial"/>
          <w:b/>
          <w:bCs w:val="0"/>
          <w:color w:val="000000"/>
          <w:lang w:val="es-CO"/>
        </w:rPr>
        <w:t>80</w:t>
      </w:r>
      <w:r w:rsidRPr="00D66B65">
        <w:rPr>
          <w:rFonts w:cs="Arial"/>
          <w:b/>
          <w:bCs w:val="0"/>
          <w:color w:val="000000"/>
          <w:lang w:val="es-CO"/>
        </w:rPr>
        <w:t>%,</w:t>
      </w:r>
      <w:r w:rsidRPr="0013707D">
        <w:rPr>
          <w:rFonts w:cs="Arial"/>
          <w:color w:val="000000"/>
          <w:lang w:val="es-CO"/>
        </w:rPr>
        <w:t xml:space="preserve"> firmes al 95%, de firmeza condicionada, de opción de compra</w:t>
      </w:r>
      <w:r>
        <w:rPr>
          <w:rFonts w:cs="Arial"/>
          <w:color w:val="000000"/>
          <w:lang w:val="es-CO"/>
        </w:rPr>
        <w:t xml:space="preserve"> de gas y </w:t>
      </w:r>
      <w:r w:rsidRPr="00AE5B34">
        <w:rPr>
          <w:rFonts w:cs="Arial"/>
          <w:b/>
          <w:bCs w:val="0"/>
          <w:color w:val="000000"/>
          <w:lang w:val="es-CO"/>
        </w:rPr>
        <w:t>opción de compra de gas contra exportaciones</w:t>
      </w:r>
      <w:r w:rsidRPr="0013707D">
        <w:rPr>
          <w:rFonts w:cs="Arial"/>
          <w:color w:val="000000"/>
          <w:lang w:val="es-CO"/>
        </w:rPr>
        <w:t xml:space="preserve">, en cuanto a las cantidades en las que el vendedor garantiza firmeza según las definiciones de los contratos en la regulación, cuando el vendedor incumple sus obligaciones y esto no conlleva la interrupción del servicio </w:t>
      </w:r>
      <w:r w:rsidRPr="00712ADE">
        <w:rPr>
          <w:rFonts w:cs="Arial"/>
          <w:color w:val="000000"/>
          <w:lang w:val="es-CO"/>
        </w:rPr>
        <w:t xml:space="preserve">a </w:t>
      </w:r>
      <w:r w:rsidR="0063362B" w:rsidRPr="00712ADE">
        <w:rPr>
          <w:rFonts w:cs="Arial"/>
          <w:color w:val="000000"/>
          <w:lang w:val="es-CO"/>
        </w:rPr>
        <w:t>los Usuarios Regulados</w:t>
      </w:r>
      <w:r w:rsidR="003F3A91">
        <w:rPr>
          <w:rFonts w:cs="Arial"/>
          <w:color w:val="000000"/>
          <w:lang w:val="es-CO"/>
        </w:rPr>
        <w:t xml:space="preserve">, </w:t>
      </w:r>
      <w:r w:rsidRPr="0013707D">
        <w:rPr>
          <w:rFonts w:cs="Arial"/>
          <w:color w:val="000000"/>
          <w:lang w:val="es-CO"/>
        </w:rPr>
        <w:t>el vendedor deberá reconocer y pagar al comprador el valor resultante de aplicar la siguiente ecuación</w:t>
      </w:r>
      <w:r w:rsidRPr="0013707D">
        <w:rPr>
          <w:rFonts w:cs="Arial"/>
          <w:color w:val="000000" w:themeColor="text1"/>
          <w:lang w:val="es-CO" w:eastAsia="es-ES"/>
        </w:rPr>
        <w:t>:</w:t>
      </w:r>
      <w:bookmarkEnd w:id="136"/>
    </w:p>
    <w:p w14:paraId="39C373E2"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A416A30" w14:textId="2E942E75" w:rsidR="0006302B" w:rsidRPr="0013707D" w:rsidRDefault="0006302B" w:rsidP="0006302B">
      <w:pPr>
        <w:autoSpaceDE w:val="0"/>
        <w:autoSpaceDN w:val="0"/>
        <w:adjustRightInd w:val="0"/>
        <w:ind w:left="0"/>
        <w:jc w:val="both"/>
        <w:rPr>
          <w:rFonts w:ascii="Bookman Old Style" w:hAnsi="Bookman Old Style" w:cs="Arial"/>
          <w:color w:val="000000" w:themeColor="text1"/>
          <w:lang w:val="es-CO"/>
        </w:rPr>
      </w:pPr>
      <m:oMathPara>
        <m:oMathParaPr>
          <m:jc m:val="center"/>
        </m:oMathParaPr>
        <m:oMath>
          <m:r>
            <w:rPr>
              <w:rFonts w:ascii="Cambria Math" w:hAnsi="Cambria Math" w:cs="Arial"/>
              <w:color w:val="000000" w:themeColor="text1"/>
              <w:sz w:val="22"/>
              <w:lang w:val="es-CO"/>
            </w:rPr>
            <m:t xml:space="preserve">C=1.5 × </m:t>
          </m:r>
          <m:d>
            <m:dPr>
              <m:begChr m:val="["/>
              <m:endChr m:val="]"/>
              <m:ctrlPr>
                <w:rPr>
                  <w:rFonts w:ascii="Cambria Math" w:hAnsi="Cambria Math" w:cs="Arial"/>
                  <w:i/>
                  <w:color w:val="000000" w:themeColor="text1"/>
                  <w:sz w:val="22"/>
                  <w:lang w:val="es-CO"/>
                </w:rPr>
              </m:ctrlPr>
            </m:dPr>
            <m:e>
              <m:d>
                <m:dPr>
                  <m:ctrlPr>
                    <w:rPr>
                      <w:rFonts w:ascii="Cambria Math" w:hAnsi="Cambria Math" w:cs="Arial"/>
                      <w:i/>
                      <w:color w:val="000000" w:themeColor="text1"/>
                      <w:sz w:val="22"/>
                      <w:lang w:val="es-CO"/>
                    </w:rPr>
                  </m:ctrlPr>
                </m:dPr>
                <m:e>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P</m:t>
                      </m:r>
                    </m:e>
                    <m:sub>
                      <m:r>
                        <w:rPr>
                          <w:rFonts w:ascii="Cambria Math" w:hAnsi="Cambria Math" w:cs="Arial"/>
                          <w:color w:val="000000" w:themeColor="text1"/>
                          <w:sz w:val="22"/>
                          <w:lang w:val="es-CO"/>
                        </w:rPr>
                        <m:t>m,</m:t>
                      </m:r>
                      <m:r>
                        <m:rPr>
                          <m:sty m:val="bi"/>
                        </m:rPr>
                        <w:rPr>
                          <w:rFonts w:ascii="Cambria Math" w:hAnsi="Cambria Math" w:cs="Arial"/>
                          <w:color w:val="000000" w:themeColor="text1"/>
                          <w:sz w:val="22"/>
                          <w:lang w:val="es-CO"/>
                        </w:rPr>
                        <m:t>s</m:t>
                      </m:r>
                    </m:sub>
                  </m:sSub>
                  <m:r>
                    <w:rPr>
                      <w:rFonts w:ascii="Cambria Math" w:hAnsi="Cambria Math" w:cs="Arial"/>
                      <w:color w:val="000000" w:themeColor="text1"/>
                      <w:sz w:val="22"/>
                      <w:lang w:val="es-CO"/>
                    </w:rPr>
                    <m:t>×</m:t>
                  </m:r>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TRM</m:t>
                      </m:r>
                    </m:e>
                    <m:sub>
                      <m:r>
                        <w:rPr>
                          <w:rFonts w:ascii="Cambria Math" w:hAnsi="Cambria Math" w:cs="Arial"/>
                          <w:color w:val="000000" w:themeColor="text1"/>
                          <w:sz w:val="22"/>
                          <w:lang w:val="es-CO"/>
                        </w:rPr>
                        <m:t>m</m:t>
                      </m:r>
                    </m:sub>
                  </m:sSub>
                  <m:r>
                    <w:rPr>
                      <w:rFonts w:ascii="Cambria Math" w:hAnsi="Cambria Math" w:cs="Arial"/>
                      <w:color w:val="000000" w:themeColor="text1"/>
                      <w:sz w:val="22"/>
                      <w:lang w:val="es-CO"/>
                    </w:rPr>
                    <m:t>×</m:t>
                  </m:r>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G</m:t>
                      </m:r>
                    </m:e>
                    <m:sub>
                      <m:r>
                        <m:rPr>
                          <m:sty m:val="bi"/>
                        </m:rPr>
                        <w:rPr>
                          <w:rFonts w:ascii="Cambria Math" w:hAnsi="Cambria Math" w:cs="Arial"/>
                          <w:color w:val="000000" w:themeColor="text1"/>
                          <w:sz w:val="22"/>
                          <w:lang w:val="es-CO"/>
                        </w:rPr>
                        <m:t>m,s</m:t>
                      </m:r>
                    </m:sub>
                  </m:sSub>
                </m:e>
              </m:d>
              <m:r>
                <w:rPr>
                  <w:rFonts w:ascii="Cambria Math" w:hAnsi="Cambria Math" w:cs="Arial"/>
                  <w:color w:val="000000" w:themeColor="text1"/>
                  <w:sz w:val="22"/>
                  <w:lang w:val="es-CO"/>
                </w:rPr>
                <m:t>+</m:t>
              </m:r>
              <m:d>
                <m:dPr>
                  <m:ctrlPr>
                    <w:rPr>
                      <w:rFonts w:ascii="Cambria Math" w:hAnsi="Cambria Math" w:cs="Arial"/>
                      <w:i/>
                      <w:color w:val="000000" w:themeColor="text1"/>
                      <w:sz w:val="22"/>
                      <w:lang w:val="es-CO"/>
                    </w:rPr>
                  </m:ctrlPr>
                </m:dPr>
                <m:e>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CFI</m:t>
                      </m:r>
                    </m:e>
                    <m:sub>
                      <m:r>
                        <w:rPr>
                          <w:rFonts w:ascii="Cambria Math" w:hAnsi="Cambria Math" w:cs="Arial"/>
                          <w:color w:val="000000" w:themeColor="text1"/>
                          <w:sz w:val="22"/>
                          <w:lang w:val="es-CO"/>
                        </w:rPr>
                        <m:t>m</m:t>
                      </m:r>
                    </m:sub>
                  </m:sSub>
                  <m:r>
                    <w:rPr>
                      <w:rFonts w:ascii="Cambria Math" w:hAnsi="Cambria Math" w:cs="Arial"/>
                      <w:color w:val="000000" w:themeColor="text1"/>
                      <w:sz w:val="22"/>
                      <w:lang w:val="es-CO"/>
                    </w:rPr>
                    <m:t>×</m:t>
                  </m:r>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TRM</m:t>
                      </m:r>
                    </m:e>
                    <m:sub>
                      <m:r>
                        <w:rPr>
                          <w:rFonts w:ascii="Cambria Math" w:hAnsi="Cambria Math" w:cs="Arial"/>
                          <w:color w:val="000000" w:themeColor="text1"/>
                          <w:sz w:val="22"/>
                          <w:lang w:val="es-CO"/>
                        </w:rPr>
                        <m:t>m</m:t>
                      </m:r>
                    </m:sub>
                  </m:sSub>
                  <m:r>
                    <w:rPr>
                      <w:rFonts w:ascii="Cambria Math" w:hAnsi="Cambria Math" w:cs="Arial"/>
                      <w:color w:val="000000" w:themeColor="text1"/>
                      <w:sz w:val="22"/>
                      <w:lang w:val="es-CO"/>
                    </w:rPr>
                    <m:t>+</m:t>
                  </m:r>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CFAOM</m:t>
                      </m:r>
                    </m:e>
                    <m:sub>
                      <m:r>
                        <w:rPr>
                          <w:rFonts w:ascii="Cambria Math" w:hAnsi="Cambria Math" w:cs="Arial"/>
                          <w:color w:val="000000" w:themeColor="text1"/>
                          <w:sz w:val="22"/>
                          <w:lang w:val="es-CO"/>
                        </w:rPr>
                        <m:t>m</m:t>
                      </m:r>
                    </m:sub>
                  </m:sSub>
                </m:e>
              </m:d>
              <m:r>
                <w:rPr>
                  <w:rFonts w:ascii="Cambria Math" w:hAnsi="Cambria Math" w:cs="Arial"/>
                  <w:color w:val="000000" w:themeColor="text1"/>
                  <w:sz w:val="22"/>
                  <w:lang w:val="es-CO"/>
                </w:rPr>
                <m:t>×</m:t>
              </m:r>
              <m:d>
                <m:dPr>
                  <m:ctrlPr>
                    <w:rPr>
                      <w:rFonts w:ascii="Cambria Math" w:hAnsi="Cambria Math" w:cs="Arial"/>
                      <w:i/>
                      <w:color w:val="000000" w:themeColor="text1"/>
                      <w:sz w:val="22"/>
                      <w:lang w:val="es-CO"/>
                    </w:rPr>
                  </m:ctrlPr>
                </m:dPr>
                <m:e>
                  <m:f>
                    <m:fPr>
                      <m:ctrlPr>
                        <w:rPr>
                          <w:rFonts w:ascii="Cambria Math" w:hAnsi="Cambria Math" w:cs="Arial"/>
                          <w:i/>
                          <w:color w:val="000000" w:themeColor="text1"/>
                          <w:sz w:val="22"/>
                          <w:lang w:val="es-CO"/>
                        </w:rPr>
                      </m:ctrlPr>
                    </m:fPr>
                    <m:num>
                      <m:sSub>
                        <m:sSubPr>
                          <m:ctrlPr>
                            <w:rPr>
                              <w:rFonts w:ascii="Cambria Math" w:hAnsi="Cambria Math" w:cs="Arial"/>
                              <w:i/>
                              <w:color w:val="000000"/>
                              <w:sz w:val="22"/>
                              <w:lang w:val="es-CO"/>
                            </w:rPr>
                          </m:ctrlPr>
                        </m:sSubPr>
                        <m:e>
                          <m:r>
                            <w:rPr>
                              <w:rFonts w:ascii="Cambria Math" w:hAnsi="Cambria Math" w:cs="Arial"/>
                              <w:color w:val="000000"/>
                              <w:sz w:val="22"/>
                              <w:lang w:val="es-CO"/>
                            </w:rPr>
                            <m:t>G</m:t>
                          </m:r>
                        </m:e>
                        <m:sub>
                          <m:r>
                            <w:rPr>
                              <w:rFonts w:ascii="Cambria Math" w:hAnsi="Cambria Math" w:cs="Arial"/>
                              <w:color w:val="000000"/>
                              <w:sz w:val="22"/>
                              <w:lang w:val="es-CO"/>
                            </w:rPr>
                            <m:t>m,</m:t>
                          </m:r>
                          <m:r>
                            <m:rPr>
                              <m:sty m:val="bi"/>
                            </m:rPr>
                            <w:rPr>
                              <w:rFonts w:ascii="Cambria Math" w:hAnsi="Cambria Math" w:cs="Arial"/>
                              <w:color w:val="000000"/>
                              <w:sz w:val="22"/>
                              <w:lang w:val="es-CO"/>
                            </w:rPr>
                            <m:t>s</m:t>
                          </m:r>
                        </m:sub>
                      </m:sSub>
                    </m:num>
                    <m:den>
                      <m:r>
                        <w:rPr>
                          <w:rFonts w:ascii="Cambria Math" w:hAnsi="Cambria Math" w:cs="Arial"/>
                          <w:color w:val="000000" w:themeColor="text1"/>
                          <w:sz w:val="22"/>
                          <w:lang w:val="es-CO"/>
                        </w:rPr>
                        <m:t>PC×365</m:t>
                      </m:r>
                    </m:den>
                  </m:f>
                </m:e>
              </m:d>
            </m:e>
          </m:d>
          <m:r>
            <w:rPr>
              <w:rFonts w:ascii="Cambria Math" w:hAnsi="Cambria Math" w:cs="Arial"/>
              <w:color w:val="000000" w:themeColor="text1"/>
              <w:sz w:val="22"/>
              <w:lang w:val="es-CO"/>
            </w:rPr>
            <m:t>+</m:t>
          </m:r>
          <m:d>
            <m:dPr>
              <m:begChr m:val="["/>
              <m:endChr m:val="]"/>
              <m:ctrlPr>
                <w:rPr>
                  <w:rFonts w:ascii="Cambria Math" w:hAnsi="Cambria Math" w:cs="Arial"/>
                  <w:i/>
                  <w:color w:val="000000" w:themeColor="text1"/>
                  <w:sz w:val="22"/>
                  <w:lang w:val="es-CO"/>
                </w:rPr>
              </m:ctrlPr>
            </m:dPr>
            <m:e>
              <m:sSub>
                <m:sSubPr>
                  <m:ctrlPr>
                    <w:rPr>
                      <w:rFonts w:ascii="Cambria Math" w:hAnsi="Cambria Math" w:cs="Arial"/>
                      <w:i/>
                      <w:color w:val="000000" w:themeColor="text1"/>
                      <w:sz w:val="22"/>
                      <w:lang w:val="es-CO"/>
                    </w:rPr>
                  </m:ctrlPr>
                </m:sSubPr>
                <m:e>
                  <m:r>
                    <w:rPr>
                      <w:rFonts w:ascii="Cambria Math" w:hAnsi="Cambria Math" w:cs="Arial"/>
                      <w:color w:val="000000" w:themeColor="text1"/>
                      <w:sz w:val="22"/>
                      <w:lang w:val="es-CO"/>
                    </w:rPr>
                    <m:t>Df</m:t>
                  </m:r>
                </m:e>
                <m:sub>
                  <m:r>
                    <w:rPr>
                      <w:rFonts w:ascii="Cambria Math" w:hAnsi="Cambria Math" w:cs="Arial"/>
                      <w:color w:val="000000" w:themeColor="text1"/>
                      <w:sz w:val="22"/>
                      <w:lang w:val="es-CO"/>
                    </w:rPr>
                    <m:t>j,m,G</m:t>
                  </m:r>
                </m:sub>
              </m:sSub>
              <m:r>
                <w:rPr>
                  <w:rFonts w:ascii="Cambria Math" w:hAnsi="Cambria Math" w:cs="Arial"/>
                  <w:color w:val="000000" w:themeColor="text1"/>
                  <w:sz w:val="22"/>
                  <w:lang w:val="es-CO"/>
                </w:rPr>
                <m:t>×F</m:t>
              </m:r>
            </m:e>
          </m:d>
        </m:oMath>
      </m:oMathPara>
    </w:p>
    <w:p w14:paraId="5A93790B" w14:textId="77777777" w:rsidR="0006302B" w:rsidRPr="0013707D" w:rsidRDefault="0006302B" w:rsidP="0006302B">
      <w:pPr>
        <w:autoSpaceDE w:val="0"/>
        <w:autoSpaceDN w:val="0"/>
        <w:adjustRightInd w:val="0"/>
        <w:jc w:val="both"/>
        <w:rPr>
          <w:rFonts w:ascii="Bookman Old Style" w:hAnsi="Bookman Old Style" w:cs="Arial"/>
          <w:color w:val="000000" w:themeColor="text1"/>
          <w:lang w:val="es-CO"/>
        </w:rPr>
      </w:pPr>
    </w:p>
    <w:p w14:paraId="66979161" w14:textId="77777777" w:rsidR="0006302B" w:rsidRPr="0013707D" w:rsidRDefault="0006302B" w:rsidP="0006302B">
      <w:pPr>
        <w:autoSpaceDE w:val="0"/>
        <w:autoSpaceDN w:val="0"/>
        <w:adjustRightInd w:val="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Donde:</w:t>
      </w:r>
    </w:p>
    <w:p w14:paraId="5FB13624" w14:textId="77777777" w:rsidR="0006302B" w:rsidRPr="0013707D" w:rsidRDefault="0006302B" w:rsidP="0006302B">
      <w:pPr>
        <w:autoSpaceDE w:val="0"/>
        <w:autoSpaceDN w:val="0"/>
        <w:adjustRightInd w:val="0"/>
        <w:jc w:val="both"/>
        <w:rPr>
          <w:rFonts w:ascii="Bookman Old Style" w:hAnsi="Bookman Old Style" w:cs="Arial"/>
          <w:color w:val="000000" w:themeColor="text1"/>
          <w:lang w:val="es-CO"/>
        </w:rPr>
      </w:pPr>
    </w:p>
    <w:p w14:paraId="2C76DF3E"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C</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Valor de la compensación, expresado en pesos.</w:t>
      </w:r>
    </w:p>
    <w:p w14:paraId="675F1108"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451D52FF"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m</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Mes calendario en que ocurre el incumplimiento.</w:t>
      </w:r>
    </w:p>
    <w:p w14:paraId="1105DA7B"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289B4BFE" w14:textId="732088C2"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m:t>
            </m:r>
          </m:e>
          <m:sub>
            <m:r>
              <w:rPr>
                <w:rFonts w:ascii="Cambria Math" w:hAnsi="Cambria Math" w:cs="Arial"/>
                <w:color w:val="000000" w:themeColor="text1"/>
                <w:lang w:val="es-CO"/>
              </w:rPr>
              <m:t>m,</m:t>
            </m:r>
            <m:r>
              <m:rPr>
                <m:sty m:val="bi"/>
              </m:rPr>
              <w:rPr>
                <w:rFonts w:ascii="Cambria Math" w:hAnsi="Cambria Math" w:cs="Arial"/>
                <w:color w:val="000000" w:themeColor="text1"/>
                <w:lang w:val="es-CO"/>
              </w:rPr>
              <m:t>s</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Precio vigente del gas natural para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w:t>
      </w:r>
      <w:r w:rsidR="00DD3A93" w:rsidRPr="00295053">
        <w:rPr>
          <w:rFonts w:ascii="Bookman Old Style" w:hAnsi="Bookman Old Style" w:cs="Arial"/>
          <w:b/>
          <w:bCs/>
          <w:color w:val="000000" w:themeColor="text1"/>
          <w:lang w:val="es-CO"/>
        </w:rPr>
        <w:t xml:space="preserve">o la semana </w:t>
      </w:r>
      <w:r w:rsidR="00DD3A93" w:rsidRPr="00295053">
        <w:rPr>
          <w:rFonts w:ascii="Bookman Old Style" w:hAnsi="Bookman Old Style" w:cs="Arial"/>
          <w:b/>
          <w:bCs/>
          <w:i/>
          <w:iCs/>
          <w:color w:val="000000" w:themeColor="text1"/>
          <w:lang w:val="es-CO"/>
        </w:rPr>
        <w:t>s</w:t>
      </w:r>
      <w:r w:rsidR="00DD3A93" w:rsidRPr="00295053">
        <w:rPr>
          <w:rFonts w:ascii="Bookman Old Style" w:hAnsi="Bookman Old Style" w:cs="Arial"/>
          <w:b/>
          <w:bCs/>
          <w:color w:val="000000" w:themeColor="text1"/>
          <w:lang w:val="es-CO"/>
        </w:rPr>
        <w:t xml:space="preserve"> en el caso de contratos de duración semanal, </w:t>
      </w:r>
      <w:r w:rsidR="0006302B" w:rsidRPr="0013707D">
        <w:rPr>
          <w:rFonts w:ascii="Bookman Old Style" w:hAnsi="Bookman Old Style" w:cs="Arial"/>
          <w:color w:val="000000" w:themeColor="text1"/>
          <w:lang w:val="es-CO"/>
        </w:rPr>
        <w:t>según lo previsto en el contrato de suministro, expresado en dólares de los Estados Unidos de América por MBTU.</w:t>
      </w:r>
    </w:p>
    <w:p w14:paraId="68BF28A9" w14:textId="77777777" w:rsidR="0006302B" w:rsidRPr="0013707D" w:rsidRDefault="0006302B" w:rsidP="0006302B">
      <w:pPr>
        <w:autoSpaceDE w:val="0"/>
        <w:autoSpaceDN w:val="0"/>
        <w:adjustRightInd w:val="0"/>
        <w:ind w:left="1701"/>
        <w:jc w:val="both"/>
        <w:rPr>
          <w:rFonts w:ascii="Bookman Old Style" w:hAnsi="Bookman Old Style" w:cs="Arial"/>
          <w:color w:val="000000" w:themeColor="text1"/>
          <w:lang w:val="es-CO"/>
        </w:rPr>
      </w:pPr>
    </w:p>
    <w:p w14:paraId="0887CFFD" w14:textId="4F8CF9C4" w:rsidR="0006302B" w:rsidRPr="0013707D" w:rsidRDefault="0006302B" w:rsidP="0006302B">
      <w:pPr>
        <w:autoSpaceDE w:val="0"/>
        <w:autoSpaceDN w:val="0"/>
        <w:adjustRightInd w:val="0"/>
        <w:ind w:left="1701"/>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En el caso de un contrato de opción de compra de gas</w:t>
      </w:r>
      <w:r>
        <w:rPr>
          <w:rFonts w:ascii="Bookman Old Style" w:hAnsi="Bookman Old Style" w:cs="Arial"/>
          <w:color w:val="000000" w:themeColor="text1"/>
          <w:lang w:val="es-CO"/>
        </w:rPr>
        <w:t xml:space="preserve"> </w:t>
      </w:r>
      <w:r w:rsidRPr="00DB2C02">
        <w:rPr>
          <w:rFonts w:ascii="Bookman Old Style" w:hAnsi="Bookman Old Style" w:cs="Arial"/>
          <w:color w:val="000000" w:themeColor="text1"/>
          <w:lang w:val="es-CO"/>
        </w:rPr>
        <w:t xml:space="preserve">y </w:t>
      </w:r>
      <w:r w:rsidRPr="00DB2C02">
        <w:rPr>
          <w:rFonts w:ascii="Bookman Old Style" w:hAnsi="Bookman Old Style" w:cs="Arial"/>
          <w:b/>
          <w:bCs/>
          <w:color w:val="000000"/>
          <w:lang w:val="es-CO"/>
        </w:rPr>
        <w:t>opción de compra de gas contra exportaciones</w:t>
      </w:r>
      <w:r w:rsidRPr="00DB2C02">
        <w:rPr>
          <w:rFonts w:ascii="Bookman Old Style" w:hAnsi="Bookman Old Style" w:cs="Arial"/>
          <w:color w:val="000000" w:themeColor="text1"/>
          <w:lang w:val="es-CO"/>
        </w:rPr>
        <w:t xml:space="preserve"> será la suma entre</w:t>
      </w:r>
      <w:r w:rsidRPr="0013707D">
        <w:rPr>
          <w:rFonts w:ascii="Bookman Old Style" w:hAnsi="Bookman Old Style" w:cs="Arial"/>
          <w:color w:val="000000" w:themeColor="text1"/>
          <w:lang w:val="es-CO"/>
        </w:rPr>
        <w:t xml:space="preserve"> el precio vigente del gas natural para el mes </w:t>
      </w:r>
      <m:oMath>
        <m:r>
          <w:rPr>
            <w:rFonts w:ascii="Cambria Math" w:hAnsi="Cambria Math" w:cs="Arial"/>
            <w:color w:val="000000" w:themeColor="text1"/>
            <w:lang w:val="es-CO"/>
          </w:rPr>
          <m:t>m</m:t>
        </m:r>
      </m:oMath>
      <w:r w:rsidRPr="0013707D">
        <w:rPr>
          <w:rFonts w:ascii="Bookman Old Style" w:hAnsi="Bookman Old Style" w:cs="Arial"/>
          <w:color w:val="000000" w:themeColor="text1"/>
          <w:lang w:val="es-CO"/>
        </w:rPr>
        <w:t>, expresado en dólares de los Estados Unidos de América por MBTU, y el valor que se ha pagado como prima por el derecho a tomar gas, acumulado desde la última vez que tomó gas o en su defecto desde el inicio del contrato, expresado en dólares de los Estados Unidos de América por MBTU. Estos precios serán los previstos en el contrato.</w:t>
      </w:r>
    </w:p>
    <w:p w14:paraId="5D42C24C" w14:textId="77777777" w:rsidR="0006302B" w:rsidRPr="0013707D" w:rsidRDefault="0006302B" w:rsidP="0006302B">
      <w:pPr>
        <w:autoSpaceDE w:val="0"/>
        <w:autoSpaceDN w:val="0"/>
        <w:adjustRightInd w:val="0"/>
        <w:ind w:left="1701"/>
        <w:jc w:val="both"/>
        <w:rPr>
          <w:rFonts w:ascii="Bookman Old Style" w:hAnsi="Bookman Old Style" w:cs="Arial"/>
          <w:color w:val="000000" w:themeColor="text1"/>
          <w:lang w:val="es-CO"/>
        </w:rPr>
      </w:pPr>
    </w:p>
    <w:p w14:paraId="6524CFF3"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TRM</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Tasa de cambio certificada por la Superintendencia Financiera para el último día calendario del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expresada en pesos por dólar de los Estados Unidos de América. </w:t>
      </w:r>
    </w:p>
    <w:p w14:paraId="504A7E29"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54D6BF6A" w14:textId="6B7A53CB"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m,</m:t>
            </m:r>
            <m:r>
              <m:rPr>
                <m:sty m:val="bi"/>
              </m:rPr>
              <w:rPr>
                <w:rFonts w:ascii="Cambria Math" w:hAnsi="Cambria Math" w:cs="Arial"/>
                <w:color w:val="000000"/>
                <w:lang w:val="es-CO"/>
              </w:rPr>
              <m:t>s</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Cantidad total de energía dejada de entregar durante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w:t>
      </w:r>
      <w:r w:rsidR="00DD3A93" w:rsidRPr="00295053">
        <w:rPr>
          <w:rFonts w:ascii="Bookman Old Style" w:hAnsi="Bookman Old Style" w:cs="Arial"/>
          <w:b/>
          <w:bCs/>
          <w:color w:val="000000" w:themeColor="text1"/>
          <w:lang w:val="es-CO"/>
        </w:rPr>
        <w:t xml:space="preserve">o la semana </w:t>
      </w:r>
      <w:r w:rsidR="00DD3A93" w:rsidRPr="00295053">
        <w:rPr>
          <w:rFonts w:ascii="Bookman Old Style" w:hAnsi="Bookman Old Style" w:cs="Arial"/>
          <w:b/>
          <w:bCs/>
          <w:i/>
          <w:iCs/>
          <w:color w:val="000000" w:themeColor="text1"/>
          <w:lang w:val="es-CO"/>
        </w:rPr>
        <w:t xml:space="preserve">s </w:t>
      </w:r>
      <w:r w:rsidR="00DD3A93" w:rsidRPr="00295053">
        <w:rPr>
          <w:rFonts w:ascii="Bookman Old Style" w:hAnsi="Bookman Old Style" w:cs="Arial"/>
          <w:b/>
          <w:bCs/>
          <w:color w:val="000000" w:themeColor="text1"/>
          <w:lang w:val="es-CO"/>
        </w:rPr>
        <w:t>en el caso de contratos de duración semanal,</w:t>
      </w:r>
      <w:r w:rsidR="00DD3A93">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expresada en MBTU.</w:t>
      </w:r>
    </w:p>
    <w:p w14:paraId="4D7A1B26"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6070723F"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CFI</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Sumatoria de los cargos fijos que remuneran los costos de inversión en transporte desde el punto de inicio hasta el punto de terminación del servicio, incluyendo los cargos correspondientes a grupos de gasoductos si es del caso. Se utilizarán los cargos </w:t>
      </w:r>
      <w:r w:rsidR="0006302B" w:rsidRPr="005A5617">
        <w:rPr>
          <w:rFonts w:ascii="Bookman Old Style" w:hAnsi="Bookman Old Style" w:cs="Arial"/>
          <w:color w:val="000000" w:themeColor="text1"/>
          <w:lang w:val="es-CO"/>
        </w:rPr>
        <w:t xml:space="preserve">vigentes para el mes </w:t>
      </w:r>
      <m:oMath>
        <m:r>
          <w:rPr>
            <w:rFonts w:ascii="Cambria Math" w:hAnsi="Cambria Math" w:cs="Arial"/>
            <w:color w:val="000000" w:themeColor="text1"/>
            <w:lang w:val="es-CO"/>
          </w:rPr>
          <m:t>m</m:t>
        </m:r>
      </m:oMath>
      <w:r w:rsidR="0006302B" w:rsidRPr="005A5617">
        <w:rPr>
          <w:rFonts w:ascii="Bookman Old Style" w:hAnsi="Bookman Old Style" w:cs="Arial"/>
          <w:color w:val="000000" w:themeColor="text1"/>
          <w:lang w:val="es-CO"/>
        </w:rPr>
        <w:t xml:space="preserve">, tal que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λ</m:t>
            </m:r>
          </m:e>
          <m:sub>
            <m:r>
              <w:rPr>
                <w:rFonts w:ascii="Cambria Math" w:hAnsi="Cambria Math" w:cs="Arial"/>
                <w:color w:val="000000" w:themeColor="text1"/>
                <w:lang w:val="es-CO"/>
              </w:rPr>
              <m:t>f</m:t>
            </m:r>
          </m:sub>
        </m:sSub>
      </m:oMath>
      <w:r w:rsidR="0006302B" w:rsidRPr="005A5617">
        <w:rPr>
          <w:rFonts w:ascii="Bookman Old Style" w:hAnsi="Bookman Old Style" w:cs="Arial"/>
          <w:color w:val="000000" w:themeColor="text1"/>
          <w:lang w:val="es-CO"/>
        </w:rPr>
        <w:t xml:space="preserve"> sea igual a 1, según lo previsto en </w:t>
      </w:r>
      <w:r w:rsidR="0006302B">
        <w:rPr>
          <w:rFonts w:ascii="Bookman Old Style" w:hAnsi="Bookman Old Style" w:cs="Arial"/>
          <w:color w:val="000000" w:themeColor="text1"/>
          <w:lang w:val="es-CO"/>
        </w:rPr>
        <w:t>la Resolución CREG 175 de 2021</w:t>
      </w:r>
      <w:r w:rsidR="0006302B" w:rsidRPr="005A5617">
        <w:rPr>
          <w:rFonts w:ascii="Bookman Old Style" w:hAnsi="Bookman Old Style" w:cs="Arial"/>
          <w:color w:val="000000" w:themeColor="text1"/>
          <w:lang w:val="es-CO"/>
        </w:rPr>
        <w:t xml:space="preserve"> o aquella que la modifique o sustituya. Esta variable se</w:t>
      </w:r>
      <w:r w:rsidR="0006302B" w:rsidRPr="0013707D">
        <w:rPr>
          <w:rFonts w:ascii="Bookman Old Style" w:hAnsi="Bookman Old Style" w:cs="Arial"/>
          <w:color w:val="000000" w:themeColor="text1"/>
          <w:lang w:val="es-CO"/>
        </w:rPr>
        <w:t xml:space="preserve"> expresará en dólares de los Estados Unidos de América por KPCD-año. </w:t>
      </w:r>
    </w:p>
    <w:p w14:paraId="54DBB4E0"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0BB6D4FD" w14:textId="77777777" w:rsidR="0006302B" w:rsidRPr="0013707D" w:rsidRDefault="00FB7B28" w:rsidP="0006302B">
      <w:pPr>
        <w:tabs>
          <w:tab w:val="left" w:pos="2127"/>
        </w:tabs>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CFAOM</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Sumatoria de los cargos fijos que remuneran los gastos de AOM en transporte desde el punto de inicio hasta el punto de terminación del servicio, incluyendo los cargos correspondientes a grupos de </w:t>
      </w:r>
      <w:r w:rsidR="0006302B" w:rsidRPr="005A5617">
        <w:rPr>
          <w:rFonts w:ascii="Bookman Old Style" w:hAnsi="Bookman Old Style" w:cs="Arial"/>
          <w:color w:val="000000" w:themeColor="text1"/>
          <w:lang w:val="es-CO"/>
        </w:rPr>
        <w:t xml:space="preserve">gasoductos si es del caso. Se utilizarán los cargos vigentes para el mes </w:t>
      </w:r>
      <m:oMath>
        <m:r>
          <w:rPr>
            <w:rFonts w:ascii="Cambria Math" w:hAnsi="Cambria Math" w:cs="Arial"/>
            <w:color w:val="000000" w:themeColor="text1"/>
            <w:lang w:val="es-CO"/>
          </w:rPr>
          <m:t>m</m:t>
        </m:r>
      </m:oMath>
      <w:r w:rsidR="0006302B" w:rsidRPr="005A5617">
        <w:rPr>
          <w:rFonts w:ascii="Bookman Old Style" w:hAnsi="Bookman Old Style" w:cs="Arial"/>
          <w:color w:val="000000" w:themeColor="text1"/>
          <w:lang w:val="es-CO"/>
        </w:rPr>
        <w:t xml:space="preserve">, según lo previsto en </w:t>
      </w:r>
      <w:r w:rsidR="0006302B">
        <w:rPr>
          <w:rFonts w:ascii="Bookman Old Style" w:hAnsi="Bookman Old Style" w:cs="Arial"/>
          <w:color w:val="000000" w:themeColor="text1"/>
          <w:lang w:val="es-CO"/>
        </w:rPr>
        <w:t>la Resolución CREG 175 de 2021</w:t>
      </w:r>
      <w:r w:rsidR="0006302B" w:rsidRPr="005A5617">
        <w:rPr>
          <w:rFonts w:ascii="Bookman Old Style" w:hAnsi="Bookman Old Style" w:cs="Arial"/>
          <w:color w:val="000000" w:themeColor="text1"/>
          <w:lang w:val="es-CO"/>
        </w:rPr>
        <w:t xml:space="preserve"> o aquella</w:t>
      </w:r>
      <w:r w:rsidR="0006302B" w:rsidRPr="0013707D">
        <w:rPr>
          <w:rFonts w:ascii="Bookman Old Style" w:hAnsi="Bookman Old Style" w:cs="Arial"/>
          <w:color w:val="000000" w:themeColor="text1"/>
          <w:lang w:val="es-CO"/>
        </w:rPr>
        <w:t xml:space="preserve"> que la modifique o sustituya. Esta variable se expresará en pesos por KPCD-año. </w:t>
      </w:r>
    </w:p>
    <w:p w14:paraId="001598B3"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578FB3A3" w14:textId="0F3743F9"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PC</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 xml:space="preserve">Poder calorífico del gas dejado de entregar, expresado en MBTU por KPC. Se utilizará el valor de poder calorífico </w:t>
      </w:r>
      <w:r w:rsidR="00074302" w:rsidRPr="0013707D">
        <w:rPr>
          <w:rFonts w:ascii="Bookman Old Style" w:hAnsi="Bookman Old Style" w:cs="Arial"/>
          <w:color w:val="000000" w:themeColor="text1"/>
          <w:lang w:val="es-CO"/>
        </w:rPr>
        <w:t xml:space="preserve">reportado </w:t>
      </w:r>
      <w:r w:rsidR="00074302">
        <w:rPr>
          <w:rFonts w:ascii="Bookman Old Style" w:hAnsi="Bookman Old Style" w:cs="Arial"/>
          <w:b/>
          <w:bCs/>
          <w:color w:val="000000" w:themeColor="text1"/>
          <w:lang w:val="es-CO"/>
        </w:rPr>
        <w:t>como</w:t>
      </w:r>
      <w:r>
        <w:rPr>
          <w:rFonts w:ascii="Bookman Old Style" w:hAnsi="Bookman Old Style" w:cs="Arial"/>
          <w:b/>
          <w:bCs/>
          <w:color w:val="000000" w:themeColor="text1"/>
          <w:lang w:val="es-CO"/>
        </w:rPr>
        <w:t xml:space="preserve"> facturado </w:t>
      </w:r>
      <w:r w:rsidRPr="0013707D">
        <w:rPr>
          <w:rFonts w:ascii="Bookman Old Style" w:hAnsi="Bookman Old Style" w:cs="Arial"/>
          <w:color w:val="000000" w:themeColor="text1"/>
          <w:lang w:val="es-CO"/>
        </w:rPr>
        <w:t xml:space="preserve">en el Sistema Único de Información de la Superintendencia de Servicios Públicos Domiciliarios para el mes </w:t>
      </w:r>
      <m:oMath>
        <m:r>
          <w:rPr>
            <w:rFonts w:ascii="Cambria Math" w:hAnsi="Cambria Math" w:cs="Arial"/>
            <w:color w:val="000000" w:themeColor="text1"/>
            <w:lang w:val="es-CO"/>
          </w:rPr>
          <m:t>m-1</m:t>
        </m:r>
      </m:oMath>
      <w:r w:rsidRPr="0013707D">
        <w:rPr>
          <w:rFonts w:ascii="Bookman Old Style" w:hAnsi="Bookman Old Style" w:cs="Arial"/>
          <w:color w:val="000000" w:themeColor="text1"/>
          <w:lang w:val="es-CO"/>
        </w:rPr>
        <w:t>.</w:t>
      </w:r>
    </w:p>
    <w:p w14:paraId="3EEB5F4A"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66B370A6"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Df</m:t>
            </m:r>
          </m:e>
          <m:sub>
            <m:r>
              <w:rPr>
                <w:rFonts w:ascii="Cambria Math" w:hAnsi="Cambria Math" w:cs="Arial"/>
                <w:color w:val="000000" w:themeColor="text1"/>
                <w:lang w:val="es-CO"/>
              </w:rPr>
              <m:t>j,m,G</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Componente fijo del cargo de distribución aplicable a usuarios del rango </w:t>
      </w:r>
      <m:oMath>
        <m:r>
          <w:rPr>
            <w:rFonts w:ascii="Cambria Math" w:hAnsi="Cambria Math" w:cs="Arial"/>
            <w:color w:val="000000" w:themeColor="text1"/>
            <w:lang w:val="es-CO"/>
          </w:rPr>
          <m:t>j</m:t>
        </m:r>
      </m:oMath>
      <w:r w:rsidR="0006302B" w:rsidRPr="0013707D">
        <w:rPr>
          <w:rFonts w:ascii="Bookman Old Style" w:hAnsi="Bookman Old Style" w:cs="Arial"/>
          <w:color w:val="000000" w:themeColor="text1"/>
          <w:lang w:val="es-CO"/>
        </w:rPr>
        <w:t xml:space="preserve"> de consumo en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y para la cantidad </w:t>
      </w:r>
      <m:oMath>
        <m:r>
          <w:rPr>
            <w:rFonts w:ascii="Cambria Math" w:hAnsi="Cambria Math" w:cs="Arial"/>
            <w:color w:val="000000" w:themeColor="text1"/>
            <w:lang w:val="es-CO"/>
          </w:rPr>
          <m:t>G</m:t>
        </m:r>
      </m:oMath>
      <w:r w:rsidR="0006302B" w:rsidRPr="0013707D">
        <w:rPr>
          <w:rFonts w:ascii="Bookman Old Style" w:hAnsi="Bookman Old Style" w:cs="Arial"/>
          <w:color w:val="000000" w:themeColor="text1"/>
          <w:lang w:val="es-CO"/>
        </w:rPr>
        <w:t xml:space="preserve">, según lo establecido en </w:t>
      </w:r>
      <w:r w:rsidR="0006302B">
        <w:rPr>
          <w:rFonts w:ascii="Bookman Old Style" w:hAnsi="Bookman Old Style" w:cs="Arial"/>
          <w:color w:val="000000" w:themeColor="text1"/>
          <w:lang w:val="es-CO"/>
        </w:rPr>
        <w:t xml:space="preserve">las resoluciones </w:t>
      </w:r>
      <w:r w:rsidR="0006302B" w:rsidRPr="00413A02">
        <w:rPr>
          <w:rFonts w:ascii="Bookman Old Style" w:hAnsi="Bookman Old Style" w:cs="Arial"/>
          <w:color w:val="000000" w:themeColor="text1"/>
          <w:lang w:val="es-CO"/>
        </w:rPr>
        <w:t xml:space="preserve">CREG 202 de 2013, 138 de 2014, 132 y 90 de 2018, y 011 de 2020 </w:t>
      </w:r>
      <w:r w:rsidR="0006302B" w:rsidRPr="0013707D">
        <w:rPr>
          <w:rFonts w:ascii="Bookman Old Style" w:hAnsi="Bookman Old Style" w:cs="Arial"/>
          <w:color w:val="000000" w:themeColor="text1"/>
          <w:lang w:val="es-CO"/>
        </w:rPr>
        <w:t>o aquella que la modifique o sustituya. Esta variable se expresará en pesos por factura.</w:t>
      </w:r>
    </w:p>
    <w:p w14:paraId="0CF5772F"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3FEA089C"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F</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 xml:space="preserve">Número de facturas a usuarios del rango </w:t>
      </w:r>
      <m:oMath>
        <m:r>
          <w:rPr>
            <w:rFonts w:ascii="Cambria Math" w:hAnsi="Cambria Math" w:cs="Arial"/>
            <w:color w:val="000000" w:themeColor="text1"/>
            <w:lang w:val="es-CO"/>
          </w:rPr>
          <m:t>j</m:t>
        </m:r>
      </m:oMath>
      <w:r w:rsidRPr="0013707D">
        <w:rPr>
          <w:rFonts w:ascii="Bookman Old Style" w:hAnsi="Bookman Old Style" w:cs="Arial"/>
          <w:color w:val="000000" w:themeColor="text1"/>
          <w:lang w:val="es-CO"/>
        </w:rPr>
        <w:t xml:space="preserve"> de consumo en el mes </w:t>
      </w:r>
      <m:oMath>
        <m:r>
          <w:rPr>
            <w:rFonts w:ascii="Cambria Math" w:hAnsi="Cambria Math" w:cs="Arial"/>
            <w:color w:val="000000" w:themeColor="text1"/>
            <w:lang w:val="es-CO"/>
          </w:rPr>
          <m:t>m-</m:t>
        </m:r>
        <m:r>
          <m:rPr>
            <m:sty m:val="p"/>
          </m:rPr>
          <w:rPr>
            <w:rFonts w:ascii="Cambria Math" w:hAnsi="Cambria Math" w:cs="Arial"/>
            <w:color w:val="000000" w:themeColor="text1"/>
            <w:lang w:val="es-CO"/>
          </w:rPr>
          <m:t>1</m:t>
        </m:r>
      </m:oMath>
      <w:r w:rsidRPr="0013707D">
        <w:rPr>
          <w:rFonts w:ascii="Bookman Old Style" w:hAnsi="Bookman Old Style" w:cs="Arial"/>
          <w:color w:val="000000" w:themeColor="text1"/>
          <w:lang w:val="es-CO"/>
        </w:rPr>
        <w:t>.</w:t>
      </w:r>
    </w:p>
    <w:p w14:paraId="10592DE7"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4842B99B" w14:textId="216C4C06"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j:</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r>
      <w:r w:rsidRPr="0013707D">
        <w:rPr>
          <w:rFonts w:ascii="Bookman Old Style" w:hAnsi="Bookman Old Style" w:cs="Arial"/>
          <w:color w:val="000000"/>
          <w:lang w:val="es-CO"/>
        </w:rPr>
        <w:t>Rango de consumo de conformidad a lo establecido a la</w:t>
      </w:r>
      <w:r w:rsidR="0063362B">
        <w:rPr>
          <w:rFonts w:ascii="Bookman Old Style" w:hAnsi="Bookman Old Style" w:cs="Arial"/>
          <w:color w:val="000000"/>
          <w:lang w:val="es-CO"/>
        </w:rPr>
        <w:t>s</w:t>
      </w:r>
      <w:r w:rsidRPr="0013707D">
        <w:rPr>
          <w:rFonts w:ascii="Bookman Old Style" w:hAnsi="Bookman Old Style" w:cs="Arial"/>
          <w:color w:val="000000"/>
          <w:lang w:val="es-CO"/>
        </w:rPr>
        <w:t xml:space="preserve"> </w:t>
      </w:r>
      <w:r>
        <w:rPr>
          <w:rFonts w:ascii="Bookman Old Style" w:hAnsi="Bookman Old Style" w:cs="Arial"/>
          <w:color w:val="000000" w:themeColor="text1"/>
          <w:lang w:val="es-CO"/>
        </w:rPr>
        <w:t xml:space="preserve">resoluciones </w:t>
      </w:r>
      <w:r w:rsidRPr="00413A02">
        <w:rPr>
          <w:rFonts w:ascii="Bookman Old Style" w:hAnsi="Bookman Old Style" w:cs="Arial"/>
          <w:color w:val="000000" w:themeColor="text1"/>
          <w:lang w:val="es-CO"/>
        </w:rPr>
        <w:t xml:space="preserve">CREG 202 de 2013, 138 de 2014, 132 y 90 de 2018, y 011 de 2020 </w:t>
      </w:r>
      <w:r w:rsidRPr="0013707D">
        <w:rPr>
          <w:rFonts w:ascii="Bookman Old Style" w:hAnsi="Bookman Old Style" w:cs="Arial"/>
          <w:color w:val="000000"/>
          <w:lang w:val="es-CO"/>
        </w:rPr>
        <w:t>o aquella que la modifique o sustituya</w:t>
      </w:r>
      <w:r w:rsidRPr="0013707D">
        <w:rPr>
          <w:rFonts w:ascii="Bookman Old Style" w:hAnsi="Bookman Old Style" w:cs="Arial"/>
          <w:color w:val="000000" w:themeColor="text1"/>
          <w:lang w:val="es-CO"/>
        </w:rPr>
        <w:t>.</w:t>
      </w:r>
    </w:p>
    <w:p w14:paraId="42D73C1C" w14:textId="77777777" w:rsidR="0006302B" w:rsidRPr="0013707D" w:rsidRDefault="0006302B" w:rsidP="0006302B">
      <w:pPr>
        <w:pStyle w:val="Prrafodelista"/>
        <w:ind w:left="1701" w:hanging="567"/>
        <w:contextualSpacing/>
        <w:jc w:val="both"/>
        <w:rPr>
          <w:rFonts w:ascii="Bookman Old Style" w:hAnsi="Bookman Old Style" w:cs="Arial"/>
          <w:color w:val="000000" w:themeColor="text1"/>
          <w:sz w:val="24"/>
          <w:szCs w:val="24"/>
          <w:lang w:eastAsia="es-ES"/>
        </w:rPr>
      </w:pPr>
    </w:p>
    <w:p w14:paraId="5629DEFA" w14:textId="0733ACA4" w:rsidR="0006302B" w:rsidRPr="0013707D" w:rsidRDefault="0006302B" w:rsidP="00A4790E">
      <w:pPr>
        <w:pStyle w:val="ARTICULOS"/>
        <w:numPr>
          <w:ilvl w:val="1"/>
          <w:numId w:val="54"/>
        </w:numPr>
        <w:ind w:left="567" w:hanging="567"/>
        <w:rPr>
          <w:rFonts w:cs="Arial"/>
          <w:color w:val="000000" w:themeColor="text1"/>
          <w:lang w:val="es-CO"/>
        </w:rPr>
      </w:pPr>
      <w:bookmarkStart w:id="137" w:name="_Ref357514967"/>
      <w:r w:rsidRPr="0013707D">
        <w:rPr>
          <w:rFonts w:cs="Arial"/>
          <w:color w:val="000000"/>
          <w:lang w:val="es-CO"/>
        </w:rPr>
        <w:t xml:space="preserve">En el caso de los contratos firmes, </w:t>
      </w:r>
      <w:r w:rsidRPr="00D66B65">
        <w:rPr>
          <w:rFonts w:cs="Arial"/>
          <w:b/>
          <w:bCs w:val="0"/>
          <w:color w:val="000000"/>
          <w:lang w:val="es-CO"/>
        </w:rPr>
        <w:t xml:space="preserve">firmes al </w:t>
      </w:r>
      <w:r>
        <w:rPr>
          <w:rFonts w:cs="Arial"/>
          <w:b/>
          <w:bCs w:val="0"/>
          <w:color w:val="000000"/>
          <w:lang w:val="es-CO"/>
        </w:rPr>
        <w:t>80</w:t>
      </w:r>
      <w:r w:rsidRPr="00D66B65">
        <w:rPr>
          <w:rFonts w:cs="Arial"/>
          <w:b/>
          <w:bCs w:val="0"/>
          <w:color w:val="000000"/>
          <w:lang w:val="es-CO"/>
        </w:rPr>
        <w:t>%,</w:t>
      </w:r>
      <w:r w:rsidRPr="0013707D">
        <w:rPr>
          <w:rFonts w:cs="Arial"/>
          <w:color w:val="000000"/>
          <w:lang w:val="es-CO"/>
        </w:rPr>
        <w:t xml:space="preserve"> firmes al 95%, de firmeza condicionada</w:t>
      </w:r>
      <w:r>
        <w:rPr>
          <w:rFonts w:cs="Arial"/>
          <w:color w:val="000000"/>
          <w:lang w:val="es-CO"/>
        </w:rPr>
        <w:t xml:space="preserve">, </w:t>
      </w:r>
      <w:r w:rsidRPr="0013707D">
        <w:rPr>
          <w:rFonts w:cs="Arial"/>
          <w:color w:val="000000"/>
          <w:lang w:val="es-CO"/>
        </w:rPr>
        <w:t>de opción de compra</w:t>
      </w:r>
      <w:r>
        <w:rPr>
          <w:rFonts w:cs="Arial"/>
          <w:color w:val="000000"/>
          <w:lang w:val="es-CO"/>
        </w:rPr>
        <w:t xml:space="preserve"> de gas y de opción de compra de gas contra exportaciones</w:t>
      </w:r>
      <w:r w:rsidRPr="0013707D">
        <w:rPr>
          <w:rFonts w:cs="Arial"/>
          <w:color w:val="000000"/>
          <w:lang w:val="es-CO"/>
        </w:rPr>
        <w:t>, en cuanto a las cantidades en las que el vendedor garantiza firmeza según las definiciones de los contratos en la regulación cuando el vendedor incumple sus obligaciones y esto conlleva la interrupción del servicio a usuarios</w:t>
      </w:r>
      <w:r>
        <w:rPr>
          <w:rFonts w:cs="Arial"/>
          <w:color w:val="000000"/>
          <w:lang w:val="es-CO"/>
        </w:rPr>
        <w:t xml:space="preserve"> </w:t>
      </w:r>
      <w:r w:rsidR="0063362B" w:rsidRPr="00712ADE">
        <w:rPr>
          <w:rFonts w:cs="Arial"/>
          <w:b/>
          <w:bCs w:val="0"/>
          <w:color w:val="000000"/>
          <w:lang w:val="es-CO"/>
        </w:rPr>
        <w:t>Regulados</w:t>
      </w:r>
      <w:r w:rsidRPr="0013707D">
        <w:rPr>
          <w:rFonts w:cs="Arial"/>
          <w:color w:val="000000"/>
          <w:lang w:val="es-CO"/>
        </w:rPr>
        <w:t>, el vendedor deberá reconocer y pagar al comprador el valor resultante de aplicar las siguientes ecuaciones</w:t>
      </w:r>
      <w:r w:rsidRPr="0013707D">
        <w:rPr>
          <w:rFonts w:cs="Arial"/>
          <w:color w:val="000000" w:themeColor="text1"/>
          <w:lang w:val="es-CO"/>
        </w:rPr>
        <w:t>:</w:t>
      </w:r>
      <w:bookmarkEnd w:id="137"/>
    </w:p>
    <w:p w14:paraId="1F5C10BD" w14:textId="77777777" w:rsidR="0006302B" w:rsidRPr="0013707D" w:rsidRDefault="0006302B" w:rsidP="0006302B">
      <w:pPr>
        <w:pStyle w:val="ARTICULOS"/>
        <w:numPr>
          <w:ilvl w:val="0"/>
          <w:numId w:val="0"/>
        </w:numPr>
        <w:ind w:left="567"/>
        <w:rPr>
          <w:rFonts w:cs="Arial"/>
          <w:color w:val="000000" w:themeColor="text1"/>
          <w:lang w:val="es-CO"/>
        </w:rPr>
      </w:pPr>
    </w:p>
    <w:p w14:paraId="29FAD610" w14:textId="77777777" w:rsidR="0006302B" w:rsidRPr="0013707D" w:rsidRDefault="0006302B" w:rsidP="0006302B">
      <w:pPr>
        <w:autoSpaceDE w:val="0"/>
        <w:autoSpaceDN w:val="0"/>
        <w:adjustRightInd w:val="0"/>
        <w:ind w:left="0"/>
        <w:jc w:val="center"/>
        <w:rPr>
          <w:rFonts w:ascii="Bookman Old Style" w:hAnsi="Bookman Old Style" w:cs="Arial"/>
          <w:color w:val="000000" w:themeColor="text1"/>
          <w:lang w:val="es-CO"/>
        </w:rPr>
      </w:pPr>
      <m:oMathPara>
        <m:oMath>
          <m:r>
            <w:rPr>
              <w:rFonts w:ascii="Cambria Math" w:hAnsi="Cambria Math" w:cs="Arial"/>
              <w:color w:val="000000" w:themeColor="text1"/>
              <w:lang w:val="es-CO"/>
            </w:rPr>
            <m:t>C=</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m:t>
              </m:r>
            </m:e>
            <m:sub>
              <m:r>
                <w:rPr>
                  <w:rFonts w:ascii="Cambria Math" w:hAnsi="Cambria Math" w:cs="Arial"/>
                  <w:color w:val="000000" w:themeColor="text1"/>
                  <w:lang w:val="es-CO"/>
                </w:rPr>
                <m:t>1</m:t>
              </m:r>
            </m:sub>
          </m:sSub>
          <m:r>
            <w:rPr>
              <w:rFonts w:ascii="Cambria Math" w:hAnsi="Cambria Math" w:cs="Arial"/>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m:t>
              </m:r>
            </m:e>
            <m:sub>
              <m:r>
                <w:rPr>
                  <w:rFonts w:ascii="Cambria Math" w:hAnsi="Cambria Math" w:cs="Arial"/>
                  <w:color w:val="000000" w:themeColor="text1"/>
                  <w:lang w:val="es-CO"/>
                </w:rPr>
                <m:t>2</m:t>
              </m:r>
            </m:sub>
          </m:sSub>
        </m:oMath>
      </m:oMathPara>
    </w:p>
    <w:p w14:paraId="16F2EE85" w14:textId="77777777" w:rsidR="0006302B" w:rsidRPr="0013707D" w:rsidRDefault="0006302B" w:rsidP="0006302B">
      <w:pPr>
        <w:pStyle w:val="Prrafodelista"/>
        <w:ind w:left="0"/>
        <w:jc w:val="center"/>
        <w:rPr>
          <w:rFonts w:ascii="Bookman Old Style" w:hAnsi="Bookman Old Style" w:cs="Arial"/>
          <w:color w:val="000000" w:themeColor="text1"/>
          <w:sz w:val="24"/>
          <w:szCs w:val="24"/>
        </w:rPr>
      </w:pPr>
    </w:p>
    <w:p w14:paraId="00B51B78" w14:textId="05EB6828" w:rsidR="0006302B" w:rsidRPr="0013707D" w:rsidRDefault="00FB7B28" w:rsidP="0006302B">
      <w:pPr>
        <w:pStyle w:val="Prrafodelista"/>
        <w:ind w:left="0"/>
        <w:jc w:val="center"/>
        <w:rPr>
          <w:rFonts w:ascii="Bookman Old Style" w:hAnsi="Bookman Old Style" w:cs="Arial"/>
          <w:color w:val="000000" w:themeColor="text1"/>
          <w:sz w:val="24"/>
          <w:szCs w:val="24"/>
        </w:rPr>
      </w:pPr>
      <m:oMathPara>
        <m:oMath>
          <m:sSub>
            <m:sSubPr>
              <m:ctrlPr>
                <w:rPr>
                  <w:rFonts w:ascii="Cambria Math" w:hAnsi="Cambria Math" w:cs="Arial"/>
                  <w:i/>
                  <w:color w:val="000000"/>
                  <w:sz w:val="24"/>
                  <w:szCs w:val="24"/>
                </w:rPr>
              </m:ctrlPr>
            </m:sSubPr>
            <m:e>
              <m:r>
                <w:rPr>
                  <w:rFonts w:ascii="Cambria Math" w:hAnsi="Cambria Math" w:cs="Arial"/>
                  <w:color w:val="000000"/>
                  <w:sz w:val="24"/>
                  <w:szCs w:val="24"/>
                </w:rPr>
                <m:t>G</m:t>
              </m:r>
            </m:e>
            <m:sub>
              <m:r>
                <w:rPr>
                  <w:rFonts w:ascii="Cambria Math" w:hAnsi="Cambria Math" w:cs="Arial"/>
                  <w:color w:val="000000"/>
                  <w:sz w:val="24"/>
                  <w:szCs w:val="24"/>
                </w:rPr>
                <m:t>m,</m:t>
              </m:r>
              <m:r>
                <m:rPr>
                  <m:sty m:val="bi"/>
                </m:rPr>
                <w:rPr>
                  <w:rFonts w:ascii="Cambria Math" w:hAnsi="Cambria Math" w:cs="Arial"/>
                  <w:color w:val="000000"/>
                  <w:sz w:val="24"/>
                  <w:szCs w:val="24"/>
                </w:rPr>
                <m:t>s</m:t>
              </m:r>
            </m:sub>
          </m:sSub>
          <m:r>
            <w:rPr>
              <w:rFonts w:ascii="Cambria Math" w:hAnsi="Cambria Math" w:cs="Arial"/>
              <w:color w:val="000000"/>
              <w:sz w:val="24"/>
              <w:szCs w:val="24"/>
            </w:rPr>
            <m:t>=</m:t>
          </m:r>
          <m:sSub>
            <m:sSubPr>
              <m:ctrlPr>
                <w:rPr>
                  <w:rFonts w:ascii="Cambria Math" w:hAnsi="Cambria Math" w:cs="Arial"/>
                  <w:i/>
                  <w:color w:val="000000"/>
                  <w:sz w:val="24"/>
                  <w:szCs w:val="24"/>
                </w:rPr>
              </m:ctrlPr>
            </m:sSubPr>
            <m:e>
              <m:r>
                <w:rPr>
                  <w:rFonts w:ascii="Cambria Math" w:hAnsi="Cambria Math" w:cs="Arial"/>
                  <w:color w:val="000000"/>
                  <w:sz w:val="24"/>
                  <w:szCs w:val="24"/>
                </w:rPr>
                <m:t>G</m:t>
              </m:r>
            </m:e>
            <m:sub>
              <m:r>
                <w:rPr>
                  <w:rFonts w:ascii="Cambria Math" w:hAnsi="Cambria Math" w:cs="Arial"/>
                  <w:color w:val="000000"/>
                  <w:sz w:val="24"/>
                  <w:szCs w:val="24"/>
                </w:rPr>
                <m:t>1,m,</m:t>
              </m:r>
              <m:r>
                <m:rPr>
                  <m:sty m:val="bi"/>
                </m:rPr>
                <w:rPr>
                  <w:rFonts w:ascii="Cambria Math" w:hAnsi="Cambria Math" w:cs="Arial"/>
                  <w:color w:val="000000"/>
                  <w:sz w:val="24"/>
                  <w:szCs w:val="24"/>
                </w:rPr>
                <m:t>s</m:t>
              </m:r>
            </m:sub>
          </m:sSub>
          <m:r>
            <w:rPr>
              <w:rFonts w:ascii="Cambria Math" w:hAnsi="Cambria Math" w:cs="Arial"/>
              <w:color w:val="000000"/>
              <w:sz w:val="24"/>
              <w:szCs w:val="24"/>
            </w:rPr>
            <m:t>+</m:t>
          </m:r>
          <m:sSub>
            <m:sSubPr>
              <m:ctrlPr>
                <w:rPr>
                  <w:rFonts w:ascii="Cambria Math" w:hAnsi="Cambria Math" w:cs="Arial"/>
                  <w:i/>
                  <w:color w:val="000000"/>
                  <w:sz w:val="24"/>
                  <w:szCs w:val="24"/>
                </w:rPr>
              </m:ctrlPr>
            </m:sSubPr>
            <m:e>
              <m:r>
                <w:rPr>
                  <w:rFonts w:ascii="Cambria Math" w:hAnsi="Cambria Math" w:cs="Arial"/>
                  <w:color w:val="000000"/>
                  <w:sz w:val="24"/>
                  <w:szCs w:val="24"/>
                </w:rPr>
                <m:t>G</m:t>
              </m:r>
            </m:e>
            <m:sub>
              <m:r>
                <w:rPr>
                  <w:rFonts w:ascii="Cambria Math" w:hAnsi="Cambria Math" w:cs="Arial"/>
                  <w:color w:val="000000"/>
                  <w:sz w:val="24"/>
                  <w:szCs w:val="24"/>
                </w:rPr>
                <m:t>2,m,</m:t>
              </m:r>
              <m:r>
                <m:rPr>
                  <m:sty m:val="bi"/>
                </m:rPr>
                <w:rPr>
                  <w:rFonts w:ascii="Cambria Math" w:hAnsi="Cambria Math" w:cs="Arial"/>
                  <w:color w:val="000000"/>
                  <w:sz w:val="24"/>
                  <w:szCs w:val="24"/>
                </w:rPr>
                <m:t>s</m:t>
              </m:r>
            </m:sub>
          </m:sSub>
        </m:oMath>
      </m:oMathPara>
    </w:p>
    <w:p w14:paraId="3EEB7215" w14:textId="77777777" w:rsidR="0006302B" w:rsidRPr="0013707D" w:rsidRDefault="0006302B" w:rsidP="0006302B">
      <w:pPr>
        <w:pStyle w:val="Prrafodelista"/>
        <w:ind w:left="567"/>
        <w:jc w:val="both"/>
        <w:rPr>
          <w:rFonts w:ascii="Bookman Old Style" w:hAnsi="Bookman Old Style" w:cs="Arial"/>
          <w:color w:val="000000" w:themeColor="text1"/>
          <w:sz w:val="24"/>
          <w:szCs w:val="24"/>
        </w:rPr>
      </w:pPr>
    </w:p>
    <w:p w14:paraId="69845EE7" w14:textId="2507C193" w:rsidR="0006302B" w:rsidRPr="0013707D" w:rsidRDefault="00FB7B28" w:rsidP="0006302B">
      <w:pPr>
        <w:autoSpaceDE w:val="0"/>
        <w:autoSpaceDN w:val="0"/>
        <w:adjustRightInd w:val="0"/>
        <w:ind w:left="0"/>
        <w:jc w:val="both"/>
        <w:rPr>
          <w:rFonts w:ascii="Bookman Old Style" w:hAnsi="Bookman Old Style" w:cs="Arial"/>
          <w:color w:val="000000" w:themeColor="text1"/>
          <w:lang w:val="es-CO"/>
        </w:rPr>
      </w:pPr>
      <m:oMathPara>
        <m:oMathParaPr>
          <m:jc m:val="center"/>
        </m:oMathParaPr>
        <m:oMath>
          <m:sSub>
            <m:sSubPr>
              <m:ctrlPr>
                <w:rPr>
                  <w:rFonts w:ascii="Cambria Math" w:hAnsi="Cambria Math" w:cs="Arial"/>
                  <w:i/>
                  <w:color w:val="000000"/>
                  <w:sz w:val="22"/>
                  <w:lang w:val="es-CO"/>
                </w:rPr>
              </m:ctrlPr>
            </m:sSubPr>
            <m:e>
              <m:r>
                <w:rPr>
                  <w:rFonts w:ascii="Cambria Math" w:hAnsi="Cambria Math" w:cs="Arial"/>
                  <w:color w:val="000000"/>
                  <w:sz w:val="22"/>
                  <w:lang w:val="es-CO"/>
                </w:rPr>
                <m:t>C</m:t>
              </m:r>
            </m:e>
            <m:sub>
              <m:r>
                <w:rPr>
                  <w:rFonts w:ascii="Cambria Math" w:hAnsi="Cambria Math" w:cs="Arial"/>
                  <w:color w:val="000000"/>
                  <w:sz w:val="22"/>
                  <w:lang w:val="es-CO"/>
                </w:rPr>
                <m:t>1</m:t>
              </m:r>
            </m:sub>
          </m:sSub>
          <m:r>
            <w:rPr>
              <w:rFonts w:ascii="Cambria Math" w:hAnsi="Cambria Math" w:cs="Arial"/>
              <w:color w:val="000000"/>
              <w:sz w:val="22"/>
              <w:lang w:val="es-CO"/>
            </w:rPr>
            <m:t>=VCD+</m:t>
          </m:r>
          <m:d>
            <m:dPr>
              <m:begChr m:val="["/>
              <m:endChr m:val="]"/>
              <m:ctrlPr>
                <w:rPr>
                  <w:rFonts w:ascii="Cambria Math" w:hAnsi="Cambria Math" w:cs="Arial"/>
                  <w:i/>
                  <w:color w:val="000000"/>
                  <w:sz w:val="22"/>
                  <w:lang w:val="es-CO"/>
                </w:rPr>
              </m:ctrlPr>
            </m:dPr>
            <m:e>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CFI</m:t>
                  </m:r>
                </m:e>
                <m:sub>
                  <m:r>
                    <w:rPr>
                      <w:rFonts w:ascii="Cambria Math" w:hAnsi="Cambria Math" w:cs="Arial"/>
                      <w:color w:val="000000"/>
                      <w:sz w:val="22"/>
                      <w:lang w:val="es-CO"/>
                    </w:rPr>
                    <m:t>m</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TRM</m:t>
                  </m:r>
                </m:e>
                <m:sub>
                  <m:r>
                    <w:rPr>
                      <w:rFonts w:ascii="Cambria Math" w:hAnsi="Cambria Math" w:cs="Arial"/>
                      <w:color w:val="000000"/>
                      <w:sz w:val="22"/>
                      <w:lang w:val="es-CO"/>
                    </w:rPr>
                    <m:t>m</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CFAOM</m:t>
                  </m:r>
                </m:e>
                <m:sub>
                  <m:r>
                    <w:rPr>
                      <w:rFonts w:ascii="Cambria Math" w:hAnsi="Cambria Math" w:cs="Arial"/>
                      <w:color w:val="000000"/>
                      <w:sz w:val="22"/>
                      <w:lang w:val="es-CO"/>
                    </w:rPr>
                    <m:t>m</m:t>
                  </m:r>
                </m:sub>
              </m:sSub>
              <m:r>
                <w:rPr>
                  <w:rFonts w:ascii="Cambria Math" w:hAnsi="Cambria Math" w:cs="Arial"/>
                  <w:color w:val="000000"/>
                  <w:sz w:val="22"/>
                  <w:lang w:val="es-CO"/>
                </w:rPr>
                <m:t>)×</m:t>
              </m:r>
              <m:d>
                <m:dPr>
                  <m:ctrlPr>
                    <w:rPr>
                      <w:rFonts w:ascii="Cambria Math" w:hAnsi="Cambria Math" w:cs="Arial"/>
                      <w:i/>
                      <w:color w:val="000000"/>
                      <w:sz w:val="22"/>
                      <w:lang w:val="es-CO"/>
                    </w:rPr>
                  </m:ctrlPr>
                </m:dPr>
                <m:e>
                  <m:f>
                    <m:fPr>
                      <m:ctrlPr>
                        <w:rPr>
                          <w:rFonts w:ascii="Cambria Math" w:hAnsi="Cambria Math" w:cs="Arial"/>
                          <w:i/>
                          <w:color w:val="000000"/>
                          <w:sz w:val="22"/>
                          <w:lang w:val="es-CO"/>
                        </w:rPr>
                      </m:ctrlPr>
                    </m:fPr>
                    <m:num>
                      <m:sSub>
                        <m:sSubPr>
                          <m:ctrlPr>
                            <w:rPr>
                              <w:rFonts w:ascii="Cambria Math" w:hAnsi="Cambria Math" w:cs="Arial"/>
                              <w:i/>
                              <w:color w:val="000000"/>
                              <w:sz w:val="22"/>
                              <w:lang w:val="es-CO"/>
                            </w:rPr>
                          </m:ctrlPr>
                        </m:sSubPr>
                        <m:e>
                          <m:r>
                            <w:rPr>
                              <w:rFonts w:ascii="Cambria Math" w:hAnsi="Cambria Math" w:cs="Arial"/>
                              <w:color w:val="000000"/>
                              <w:sz w:val="22"/>
                              <w:lang w:val="es-CO"/>
                            </w:rPr>
                            <m:t>G</m:t>
                          </m:r>
                        </m:e>
                        <m:sub>
                          <m:r>
                            <w:rPr>
                              <w:rFonts w:ascii="Cambria Math" w:hAnsi="Cambria Math" w:cs="Arial"/>
                              <w:color w:val="000000"/>
                              <w:sz w:val="22"/>
                              <w:lang w:val="es-CO"/>
                            </w:rPr>
                            <m:t>1,m,</m:t>
                          </m:r>
                          <m:r>
                            <m:rPr>
                              <m:sty m:val="bi"/>
                            </m:rPr>
                            <w:rPr>
                              <w:rFonts w:ascii="Cambria Math" w:hAnsi="Cambria Math" w:cs="Arial"/>
                              <w:color w:val="000000"/>
                              <w:sz w:val="22"/>
                              <w:lang w:val="es-CO"/>
                            </w:rPr>
                            <m:t>s</m:t>
                          </m:r>
                        </m:sub>
                      </m:sSub>
                    </m:num>
                    <m:den>
                      <m:r>
                        <w:rPr>
                          <w:rFonts w:ascii="Cambria Math" w:hAnsi="Cambria Math" w:cs="Arial"/>
                          <w:color w:val="000000"/>
                          <w:sz w:val="22"/>
                          <w:lang w:val="es-CO"/>
                        </w:rPr>
                        <m:t>PC×365</m:t>
                      </m:r>
                    </m:den>
                  </m:f>
                </m:e>
              </m:d>
            </m:e>
          </m:d>
          <m:r>
            <w:rPr>
              <w:rFonts w:ascii="Cambria Math" w:hAnsi="Cambria Math" w:cs="Arial"/>
              <w:color w:val="000000"/>
              <w:sz w:val="22"/>
              <w:lang w:val="es-CO"/>
            </w:rPr>
            <m:t>+</m:t>
          </m:r>
          <m:d>
            <m:dPr>
              <m:begChr m:val="["/>
              <m:endChr m:val="]"/>
              <m:ctrlPr>
                <w:rPr>
                  <w:rFonts w:ascii="Cambria Math" w:hAnsi="Cambria Math" w:cs="Arial"/>
                  <w:i/>
                  <w:color w:val="000000"/>
                  <w:sz w:val="22"/>
                  <w:lang w:val="es-CO"/>
                </w:rPr>
              </m:ctrlPr>
            </m:dPr>
            <m:e>
              <m:r>
                <w:rPr>
                  <w:rFonts w:ascii="Cambria Math" w:hAnsi="Cambria Math" w:cs="Arial"/>
                  <w:color w:val="000000"/>
                  <w:sz w:val="22"/>
                  <w:lang w:val="es-CO"/>
                </w:rPr>
                <m:t>D</m:t>
              </m:r>
              <m:sSub>
                <m:sSubPr>
                  <m:ctrlPr>
                    <w:rPr>
                      <w:rFonts w:ascii="Cambria Math" w:hAnsi="Cambria Math" w:cs="Arial"/>
                      <w:i/>
                      <w:color w:val="000000"/>
                      <w:sz w:val="22"/>
                      <w:lang w:val="es-CO"/>
                    </w:rPr>
                  </m:ctrlPr>
                </m:sSubPr>
                <m:e>
                  <m:r>
                    <w:rPr>
                      <w:rFonts w:ascii="Cambria Math" w:hAnsi="Cambria Math" w:cs="Arial"/>
                      <w:color w:val="000000"/>
                      <w:sz w:val="22"/>
                      <w:lang w:val="es-CO"/>
                    </w:rPr>
                    <m:t>f</m:t>
                  </m:r>
                </m:e>
                <m:sub>
                  <m:r>
                    <w:rPr>
                      <w:rFonts w:ascii="Cambria Math" w:hAnsi="Cambria Math" w:cs="Arial"/>
                      <w:color w:val="000000"/>
                      <w:sz w:val="22"/>
                      <w:lang w:val="es-CO"/>
                    </w:rPr>
                    <m:t>j,m,G1</m:t>
                  </m:r>
                </m:sub>
              </m:sSub>
              <m:r>
                <w:rPr>
                  <w:rFonts w:ascii="Cambria Math" w:hAnsi="Cambria Math" w:cs="Arial"/>
                  <w:color w:val="000000"/>
                  <w:sz w:val="22"/>
                  <w:lang w:val="es-CO"/>
                </w:rPr>
                <m:t>×F</m:t>
              </m:r>
            </m:e>
          </m:d>
          <m:r>
            <w:rPr>
              <w:rFonts w:ascii="Cambria Math" w:hAnsi="Cambria Math" w:cs="Arial"/>
              <w:color w:val="000000"/>
              <w:sz w:val="22"/>
              <w:lang w:val="es-CO"/>
            </w:rPr>
            <m:t xml:space="preserve"> </m:t>
          </m:r>
        </m:oMath>
      </m:oMathPara>
    </w:p>
    <w:p w14:paraId="1639AFF8" w14:textId="77777777" w:rsidR="0006302B" w:rsidRPr="0013707D" w:rsidRDefault="0006302B" w:rsidP="0006302B">
      <w:pPr>
        <w:pStyle w:val="Prrafodelista"/>
        <w:ind w:left="567"/>
        <w:jc w:val="both"/>
        <w:rPr>
          <w:rFonts w:ascii="Bookman Old Style" w:hAnsi="Bookman Old Style" w:cs="Arial"/>
          <w:color w:val="000000" w:themeColor="text1"/>
          <w:sz w:val="24"/>
          <w:szCs w:val="24"/>
        </w:rPr>
      </w:pPr>
    </w:p>
    <w:p w14:paraId="3E206DB9" w14:textId="51076061" w:rsidR="0006302B" w:rsidRPr="0013707D" w:rsidRDefault="00FB7B28" w:rsidP="0006302B">
      <w:pPr>
        <w:autoSpaceDE w:val="0"/>
        <w:autoSpaceDN w:val="0"/>
        <w:adjustRightInd w:val="0"/>
        <w:ind w:left="0"/>
        <w:jc w:val="both"/>
        <w:rPr>
          <w:rFonts w:ascii="Bookman Old Style" w:hAnsi="Bookman Old Style" w:cs="Arial"/>
          <w:color w:val="000000" w:themeColor="text1"/>
          <w:lang w:val="es-CO"/>
        </w:rPr>
      </w:pPr>
      <m:oMathPara>
        <m:oMathParaPr>
          <m:jc m:val="center"/>
        </m:oMathParaPr>
        <m:oMath>
          <m:sSub>
            <m:sSubPr>
              <m:ctrlPr>
                <w:rPr>
                  <w:rFonts w:ascii="Cambria Math" w:hAnsi="Cambria Math" w:cs="Arial"/>
                  <w:i/>
                  <w:color w:val="000000"/>
                  <w:sz w:val="22"/>
                  <w:lang w:val="es-CO"/>
                </w:rPr>
              </m:ctrlPr>
            </m:sSubPr>
            <m:e>
              <m:r>
                <w:rPr>
                  <w:rFonts w:ascii="Cambria Math" w:hAnsi="Cambria Math" w:cs="Arial"/>
                  <w:color w:val="000000"/>
                  <w:sz w:val="22"/>
                  <w:lang w:val="es-CO"/>
                </w:rPr>
                <m:t>C</m:t>
              </m:r>
            </m:e>
            <m:sub>
              <m:r>
                <w:rPr>
                  <w:rFonts w:ascii="Cambria Math" w:hAnsi="Cambria Math" w:cs="Arial"/>
                  <w:color w:val="000000"/>
                  <w:sz w:val="22"/>
                  <w:lang w:val="es-CO"/>
                </w:rPr>
                <m:t>2</m:t>
              </m:r>
            </m:sub>
          </m:sSub>
          <m:r>
            <w:rPr>
              <w:rFonts w:ascii="Cambria Math" w:hAnsi="Cambria Math" w:cs="Arial"/>
              <w:color w:val="000000"/>
              <w:sz w:val="22"/>
              <w:lang w:val="es-CO"/>
            </w:rPr>
            <m:t xml:space="preserve">=1,5 × </m:t>
          </m:r>
          <m:d>
            <m:dPr>
              <m:begChr m:val="["/>
              <m:endChr m:val="]"/>
              <m:ctrlPr>
                <w:rPr>
                  <w:rFonts w:ascii="Cambria Math" w:hAnsi="Cambria Math" w:cs="Arial"/>
                  <w:i/>
                  <w:color w:val="000000"/>
                  <w:sz w:val="22"/>
                  <w:lang w:val="es-CO"/>
                </w:rPr>
              </m:ctrlPr>
            </m:dPr>
            <m:e>
              <m:d>
                <m:dPr>
                  <m:ctrlPr>
                    <w:rPr>
                      <w:rFonts w:ascii="Cambria Math" w:hAnsi="Cambria Math" w:cs="Arial"/>
                      <w:i/>
                      <w:color w:val="000000"/>
                      <w:sz w:val="22"/>
                      <w:lang w:val="es-CO"/>
                    </w:rPr>
                  </m:ctrlPr>
                </m:dPr>
                <m:e>
                  <m:sSub>
                    <m:sSubPr>
                      <m:ctrlPr>
                        <w:rPr>
                          <w:rFonts w:ascii="Cambria Math" w:hAnsi="Cambria Math" w:cs="Arial"/>
                          <w:i/>
                          <w:color w:val="000000"/>
                          <w:sz w:val="22"/>
                          <w:lang w:val="es-CO"/>
                        </w:rPr>
                      </m:ctrlPr>
                    </m:sSubPr>
                    <m:e>
                      <m:r>
                        <w:rPr>
                          <w:rFonts w:ascii="Cambria Math" w:hAnsi="Cambria Math" w:cs="Arial"/>
                          <w:color w:val="000000"/>
                          <w:sz w:val="22"/>
                          <w:lang w:val="es-CO"/>
                        </w:rPr>
                        <m:t>P</m:t>
                      </m:r>
                    </m:e>
                    <m:sub>
                      <m:r>
                        <w:rPr>
                          <w:rFonts w:ascii="Cambria Math" w:hAnsi="Cambria Math" w:cs="Arial"/>
                          <w:color w:val="000000"/>
                          <w:sz w:val="22"/>
                          <w:lang w:val="es-CO"/>
                        </w:rPr>
                        <m:t>m,</m:t>
                      </m:r>
                      <m:r>
                        <m:rPr>
                          <m:sty m:val="bi"/>
                        </m:rPr>
                        <w:rPr>
                          <w:rFonts w:ascii="Cambria Math" w:hAnsi="Cambria Math" w:cs="Arial"/>
                          <w:color w:val="000000"/>
                          <w:sz w:val="22"/>
                          <w:lang w:val="es-CO"/>
                        </w:rPr>
                        <m:t>s</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TRM</m:t>
                      </m:r>
                    </m:e>
                    <m:sub>
                      <m:r>
                        <w:rPr>
                          <w:rFonts w:ascii="Cambria Math" w:hAnsi="Cambria Math" w:cs="Arial"/>
                          <w:color w:val="000000"/>
                          <w:sz w:val="22"/>
                          <w:lang w:val="es-CO"/>
                        </w:rPr>
                        <m:t>m</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G</m:t>
                      </m:r>
                    </m:e>
                    <m:sub>
                      <m:r>
                        <w:rPr>
                          <w:rFonts w:ascii="Cambria Math" w:hAnsi="Cambria Math" w:cs="Arial"/>
                          <w:color w:val="000000"/>
                          <w:sz w:val="22"/>
                          <w:lang w:val="es-CO"/>
                        </w:rPr>
                        <m:t>2,m,</m:t>
                      </m:r>
                      <m:r>
                        <m:rPr>
                          <m:sty m:val="bi"/>
                        </m:rPr>
                        <w:rPr>
                          <w:rFonts w:ascii="Cambria Math" w:hAnsi="Cambria Math" w:cs="Arial"/>
                          <w:color w:val="000000"/>
                          <w:sz w:val="22"/>
                          <w:lang w:val="es-CO"/>
                        </w:rPr>
                        <m:t>s</m:t>
                      </m:r>
                    </m:sub>
                  </m:sSub>
                </m:e>
              </m:d>
              <m:r>
                <w:rPr>
                  <w:rFonts w:ascii="Cambria Math" w:hAnsi="Cambria Math" w:cs="Arial"/>
                  <w:color w:val="000000"/>
                  <w:sz w:val="22"/>
                  <w:lang w:val="es-CO"/>
                </w:rPr>
                <m:t>+</m:t>
              </m:r>
              <m:d>
                <m:dPr>
                  <m:ctrlPr>
                    <w:rPr>
                      <w:rFonts w:ascii="Cambria Math" w:hAnsi="Cambria Math" w:cs="Arial"/>
                      <w:i/>
                      <w:color w:val="000000"/>
                      <w:sz w:val="22"/>
                      <w:lang w:val="es-CO"/>
                    </w:rPr>
                  </m:ctrlPr>
                </m:dPr>
                <m:e>
                  <m:sSub>
                    <m:sSubPr>
                      <m:ctrlPr>
                        <w:rPr>
                          <w:rFonts w:ascii="Cambria Math" w:hAnsi="Cambria Math" w:cs="Arial"/>
                          <w:i/>
                          <w:color w:val="000000"/>
                          <w:sz w:val="22"/>
                          <w:lang w:val="es-CO"/>
                        </w:rPr>
                      </m:ctrlPr>
                    </m:sSubPr>
                    <m:e>
                      <m:r>
                        <w:rPr>
                          <w:rFonts w:ascii="Cambria Math" w:hAnsi="Cambria Math" w:cs="Arial"/>
                          <w:color w:val="000000"/>
                          <w:sz w:val="22"/>
                          <w:lang w:val="es-CO"/>
                        </w:rPr>
                        <m:t>CFI</m:t>
                      </m:r>
                    </m:e>
                    <m:sub>
                      <m:r>
                        <w:rPr>
                          <w:rFonts w:ascii="Cambria Math" w:hAnsi="Cambria Math" w:cs="Arial"/>
                          <w:color w:val="000000"/>
                          <w:sz w:val="22"/>
                          <w:lang w:val="es-CO"/>
                        </w:rPr>
                        <m:t>m</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TRM</m:t>
                      </m:r>
                    </m:e>
                    <m:sub>
                      <m:r>
                        <w:rPr>
                          <w:rFonts w:ascii="Cambria Math" w:hAnsi="Cambria Math" w:cs="Arial"/>
                          <w:color w:val="000000"/>
                          <w:sz w:val="22"/>
                          <w:lang w:val="es-CO"/>
                        </w:rPr>
                        <m:t>m</m:t>
                      </m:r>
                    </m:sub>
                  </m:sSub>
                  <m:r>
                    <w:rPr>
                      <w:rFonts w:ascii="Cambria Math" w:hAnsi="Cambria Math" w:cs="Arial"/>
                      <w:color w:val="000000"/>
                      <w:sz w:val="22"/>
                      <w:lang w:val="es-CO"/>
                    </w:rPr>
                    <m:t>+</m:t>
                  </m:r>
                  <m:sSub>
                    <m:sSubPr>
                      <m:ctrlPr>
                        <w:rPr>
                          <w:rFonts w:ascii="Cambria Math" w:hAnsi="Cambria Math" w:cs="Arial"/>
                          <w:i/>
                          <w:color w:val="000000"/>
                          <w:sz w:val="22"/>
                          <w:lang w:val="es-CO"/>
                        </w:rPr>
                      </m:ctrlPr>
                    </m:sSubPr>
                    <m:e>
                      <m:r>
                        <w:rPr>
                          <w:rFonts w:ascii="Cambria Math" w:hAnsi="Cambria Math" w:cs="Arial"/>
                          <w:color w:val="000000"/>
                          <w:sz w:val="22"/>
                          <w:lang w:val="es-CO"/>
                        </w:rPr>
                        <m:t>CFAOM</m:t>
                      </m:r>
                    </m:e>
                    <m:sub>
                      <m:r>
                        <w:rPr>
                          <w:rFonts w:ascii="Cambria Math" w:hAnsi="Cambria Math" w:cs="Arial"/>
                          <w:color w:val="000000"/>
                          <w:sz w:val="22"/>
                          <w:lang w:val="es-CO"/>
                        </w:rPr>
                        <m:t>m</m:t>
                      </m:r>
                    </m:sub>
                  </m:sSub>
                </m:e>
              </m:d>
              <m:r>
                <w:rPr>
                  <w:rFonts w:ascii="Cambria Math" w:hAnsi="Cambria Math" w:cs="Arial"/>
                  <w:color w:val="000000"/>
                  <w:sz w:val="22"/>
                  <w:lang w:val="es-CO"/>
                </w:rPr>
                <m:t>×</m:t>
              </m:r>
              <m:d>
                <m:dPr>
                  <m:ctrlPr>
                    <w:rPr>
                      <w:rFonts w:ascii="Cambria Math" w:hAnsi="Cambria Math" w:cs="Arial"/>
                      <w:i/>
                      <w:color w:val="000000"/>
                      <w:sz w:val="22"/>
                      <w:lang w:val="es-CO"/>
                    </w:rPr>
                  </m:ctrlPr>
                </m:dPr>
                <m:e>
                  <m:f>
                    <m:fPr>
                      <m:ctrlPr>
                        <w:rPr>
                          <w:rFonts w:ascii="Cambria Math" w:hAnsi="Cambria Math" w:cs="Arial"/>
                          <w:i/>
                          <w:color w:val="000000"/>
                          <w:sz w:val="22"/>
                          <w:lang w:val="es-CO"/>
                        </w:rPr>
                      </m:ctrlPr>
                    </m:fPr>
                    <m:num>
                      <m:sSub>
                        <m:sSubPr>
                          <m:ctrlPr>
                            <w:rPr>
                              <w:rFonts w:ascii="Cambria Math" w:hAnsi="Cambria Math" w:cs="Arial"/>
                              <w:i/>
                              <w:color w:val="000000"/>
                              <w:sz w:val="22"/>
                              <w:lang w:val="es-CO"/>
                            </w:rPr>
                          </m:ctrlPr>
                        </m:sSubPr>
                        <m:e>
                          <m:r>
                            <w:rPr>
                              <w:rFonts w:ascii="Cambria Math" w:hAnsi="Cambria Math" w:cs="Arial"/>
                              <w:color w:val="000000"/>
                              <w:sz w:val="22"/>
                              <w:lang w:val="es-CO"/>
                            </w:rPr>
                            <m:t>G</m:t>
                          </m:r>
                        </m:e>
                        <m:sub>
                          <m:r>
                            <w:rPr>
                              <w:rFonts w:ascii="Cambria Math" w:hAnsi="Cambria Math" w:cs="Arial"/>
                              <w:color w:val="000000"/>
                              <w:sz w:val="22"/>
                              <w:lang w:val="es-CO"/>
                            </w:rPr>
                            <m:t>2,m,</m:t>
                          </m:r>
                          <m:r>
                            <m:rPr>
                              <m:sty m:val="bi"/>
                            </m:rPr>
                            <w:rPr>
                              <w:rFonts w:ascii="Cambria Math" w:hAnsi="Cambria Math" w:cs="Arial"/>
                              <w:color w:val="000000"/>
                              <w:sz w:val="22"/>
                              <w:lang w:val="es-CO"/>
                            </w:rPr>
                            <m:t>s</m:t>
                          </m:r>
                        </m:sub>
                      </m:sSub>
                    </m:num>
                    <m:den>
                      <m:r>
                        <w:rPr>
                          <w:rFonts w:ascii="Cambria Math" w:hAnsi="Cambria Math" w:cs="Arial"/>
                          <w:color w:val="000000"/>
                          <w:sz w:val="22"/>
                          <w:lang w:val="es-CO"/>
                        </w:rPr>
                        <m:t>PC×365</m:t>
                      </m:r>
                    </m:den>
                  </m:f>
                </m:e>
              </m:d>
            </m:e>
          </m:d>
          <m:r>
            <w:rPr>
              <w:rFonts w:ascii="Cambria Math" w:hAnsi="Cambria Math" w:cs="Arial"/>
              <w:color w:val="000000"/>
              <w:sz w:val="22"/>
              <w:lang w:val="es-CO"/>
            </w:rPr>
            <m:t>+</m:t>
          </m:r>
          <m:d>
            <m:dPr>
              <m:begChr m:val="["/>
              <m:endChr m:val="]"/>
              <m:ctrlPr>
                <w:rPr>
                  <w:rFonts w:ascii="Cambria Math" w:hAnsi="Cambria Math" w:cs="Arial"/>
                  <w:i/>
                  <w:color w:val="000000"/>
                  <w:sz w:val="22"/>
                  <w:lang w:val="es-CO"/>
                </w:rPr>
              </m:ctrlPr>
            </m:dPr>
            <m:e>
              <m:r>
                <w:rPr>
                  <w:rFonts w:ascii="Cambria Math" w:hAnsi="Cambria Math" w:cs="Arial"/>
                  <w:color w:val="000000"/>
                  <w:sz w:val="22"/>
                  <w:lang w:val="es-CO"/>
                </w:rPr>
                <m:t>D</m:t>
              </m:r>
              <m:sSub>
                <m:sSubPr>
                  <m:ctrlPr>
                    <w:rPr>
                      <w:rFonts w:ascii="Cambria Math" w:hAnsi="Cambria Math" w:cs="Arial"/>
                      <w:i/>
                      <w:color w:val="000000"/>
                      <w:sz w:val="22"/>
                      <w:lang w:val="es-CO"/>
                    </w:rPr>
                  </m:ctrlPr>
                </m:sSubPr>
                <m:e>
                  <m:r>
                    <w:rPr>
                      <w:rFonts w:ascii="Cambria Math" w:hAnsi="Cambria Math" w:cs="Arial"/>
                      <w:color w:val="000000"/>
                      <w:sz w:val="22"/>
                      <w:lang w:val="es-CO"/>
                    </w:rPr>
                    <m:t>f</m:t>
                  </m:r>
                </m:e>
                <m:sub>
                  <m:r>
                    <w:rPr>
                      <w:rFonts w:ascii="Cambria Math" w:hAnsi="Cambria Math" w:cs="Arial"/>
                      <w:color w:val="000000"/>
                      <w:sz w:val="22"/>
                      <w:lang w:val="es-CO"/>
                    </w:rPr>
                    <m:t>j,m,</m:t>
                  </m:r>
                  <m:r>
                    <m:rPr>
                      <m:sty m:val="bi"/>
                    </m:rPr>
                    <w:rPr>
                      <w:rFonts w:ascii="Cambria Math" w:hAnsi="Cambria Math" w:cs="Arial"/>
                      <w:color w:val="000000"/>
                      <w:sz w:val="22"/>
                      <w:lang w:val="es-CO"/>
                    </w:rPr>
                    <m:t>s</m:t>
                  </m:r>
                  <m:r>
                    <w:rPr>
                      <w:rFonts w:ascii="Cambria Math" w:hAnsi="Cambria Math" w:cs="Arial"/>
                      <w:color w:val="000000"/>
                      <w:sz w:val="22"/>
                      <w:lang w:val="es-CO"/>
                    </w:rPr>
                    <m:t>,G2</m:t>
                  </m:r>
                </m:sub>
              </m:sSub>
              <m:r>
                <w:rPr>
                  <w:rFonts w:ascii="Cambria Math" w:hAnsi="Cambria Math" w:cs="Arial"/>
                  <w:color w:val="000000"/>
                  <w:sz w:val="22"/>
                  <w:lang w:val="es-CO"/>
                </w:rPr>
                <m:t>×F</m:t>
              </m:r>
            </m:e>
          </m:d>
          <m:r>
            <w:rPr>
              <w:rFonts w:ascii="Cambria Math" w:hAnsi="Cambria Math" w:cs="Arial"/>
              <w:color w:val="000000"/>
              <w:sz w:val="22"/>
              <w:lang w:val="es-CO"/>
            </w:rPr>
            <m:t xml:space="preserve"> </m:t>
          </m:r>
        </m:oMath>
      </m:oMathPara>
    </w:p>
    <w:p w14:paraId="7D1E279F" w14:textId="77777777" w:rsidR="0006302B" w:rsidRPr="0013707D" w:rsidRDefault="0006302B" w:rsidP="0006302B">
      <w:pPr>
        <w:pStyle w:val="Prrafodelista"/>
        <w:ind w:left="567"/>
        <w:jc w:val="both"/>
        <w:rPr>
          <w:rFonts w:ascii="Bookman Old Style" w:hAnsi="Bookman Old Style" w:cs="Arial"/>
          <w:color w:val="000000" w:themeColor="text1"/>
          <w:sz w:val="24"/>
          <w:szCs w:val="24"/>
        </w:rPr>
      </w:pPr>
    </w:p>
    <w:p w14:paraId="08E301AA" w14:textId="77777777" w:rsidR="0006302B" w:rsidRPr="0013707D" w:rsidRDefault="0006302B" w:rsidP="0006302B">
      <w:pPr>
        <w:autoSpaceDE w:val="0"/>
        <w:autoSpaceDN w:val="0"/>
        <w:adjustRightInd w:val="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Donde:</w:t>
      </w:r>
    </w:p>
    <w:p w14:paraId="07C396D3" w14:textId="77777777" w:rsidR="0006302B" w:rsidRPr="0013707D" w:rsidRDefault="0006302B" w:rsidP="0006302B">
      <w:pPr>
        <w:autoSpaceDE w:val="0"/>
        <w:autoSpaceDN w:val="0"/>
        <w:adjustRightInd w:val="0"/>
        <w:jc w:val="both"/>
        <w:rPr>
          <w:rFonts w:ascii="Bookman Old Style" w:hAnsi="Bookman Old Style" w:cs="Arial"/>
          <w:color w:val="000000" w:themeColor="text1"/>
          <w:lang w:val="es-CO"/>
        </w:rPr>
      </w:pPr>
    </w:p>
    <w:p w14:paraId="757DDBBD"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C</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Valor de la compensación, expresado en pesos.</w:t>
      </w:r>
    </w:p>
    <w:p w14:paraId="7863DF9D"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2A8670EA" w14:textId="4E598A3A"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m:t>
            </m:r>
          </m:e>
          <m:sub>
            <m:r>
              <w:rPr>
                <w:rFonts w:ascii="Cambria Math" w:hAnsi="Cambria Math" w:cs="Arial"/>
                <w:color w:val="000000" w:themeColor="text1"/>
                <w:lang w:val="es-CO"/>
              </w:rPr>
              <m:t>1</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Valor de la compensación asociada al incumplimiento que causa interrupción del servicio a usuarios </w:t>
      </w:r>
      <w:r w:rsidR="0006302B">
        <w:rPr>
          <w:rFonts w:ascii="Bookman Old Style" w:hAnsi="Bookman Old Style" w:cs="Arial"/>
          <w:color w:val="000000" w:themeColor="text1"/>
          <w:lang w:val="es-CO"/>
        </w:rPr>
        <w:t xml:space="preserve">que son </w:t>
      </w:r>
      <w:r w:rsidR="00712ADE" w:rsidRPr="00712ADE">
        <w:rPr>
          <w:rFonts w:ascii="Bookman Old Style" w:hAnsi="Bookman Old Style" w:cs="Arial"/>
          <w:b/>
          <w:bCs/>
          <w:color w:val="000000" w:themeColor="text1"/>
          <w:lang w:val="es-CO"/>
        </w:rPr>
        <w:t>Regulados</w:t>
      </w:r>
      <w:r w:rsidR="0006302B" w:rsidRPr="0013707D">
        <w:rPr>
          <w:rFonts w:ascii="Bookman Old Style" w:hAnsi="Bookman Old Style" w:cs="Arial"/>
          <w:color w:val="000000" w:themeColor="text1"/>
          <w:lang w:val="es-CO"/>
        </w:rPr>
        <w:t>, expresado en pesos.</w:t>
      </w:r>
    </w:p>
    <w:p w14:paraId="02A683A0"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49143098"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m:t>
            </m:r>
          </m:e>
          <m:sub>
            <m:r>
              <w:rPr>
                <w:rFonts w:ascii="Cambria Math" w:hAnsi="Cambria Math" w:cs="Arial"/>
                <w:color w:val="000000" w:themeColor="text1"/>
                <w:lang w:val="es-CO"/>
              </w:rPr>
              <m:t>2</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Valor de la compensación asociada al resto del incumplimiento, expresado en pesos.</w:t>
      </w:r>
    </w:p>
    <w:p w14:paraId="26991C27"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5AD9C1FC" w14:textId="5FF6D13A" w:rsidR="0006302B" w:rsidRPr="0013707D" w:rsidRDefault="00FB7B28" w:rsidP="00DD3A93">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m,</m:t>
            </m:r>
            <m:r>
              <m:rPr>
                <m:sty m:val="bi"/>
              </m:rPr>
              <w:rPr>
                <w:rFonts w:ascii="Cambria Math" w:hAnsi="Cambria Math" w:cs="Arial"/>
                <w:color w:val="000000"/>
                <w:lang w:val="es-CO"/>
              </w:rPr>
              <m:t>s</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Cantidad total de energía dejada de entregar durante el mes </w:t>
      </w:r>
      <m:oMath>
        <m:r>
          <w:rPr>
            <w:rFonts w:ascii="Cambria Math" w:hAnsi="Cambria Math" w:cs="Arial"/>
            <w:color w:val="000000" w:themeColor="text1"/>
            <w:lang w:val="es-CO"/>
          </w:rPr>
          <m:t xml:space="preserve">m </m:t>
        </m:r>
        <m:r>
          <m:rPr>
            <m:sty m:val="b"/>
          </m:rPr>
          <w:rPr>
            <w:rFonts w:ascii="Cambria Math" w:hAnsi="Cambria Math" w:cs="Arial"/>
            <w:color w:val="000000" w:themeColor="text1"/>
            <w:lang w:val="es-CO"/>
          </w:rPr>
          <m:t xml:space="preserve">o la semana </m:t>
        </m:r>
        <m:r>
          <m:rPr>
            <m:sty m:val="bi"/>
          </m:rPr>
          <w:rPr>
            <w:rFonts w:ascii="Cambria Math" w:hAnsi="Cambria Math" w:cs="Arial"/>
            <w:color w:val="000000" w:themeColor="text1"/>
            <w:lang w:val="es-CO"/>
          </w:rPr>
          <m:t>s</m:t>
        </m:r>
        <m:r>
          <m:rPr>
            <m:sty m:val="b"/>
          </m:rPr>
          <w:rPr>
            <w:rFonts w:ascii="Cambria Math" w:hAnsi="Cambria Math" w:cs="Arial"/>
            <w:color w:val="000000" w:themeColor="text1"/>
            <w:lang w:val="es-CO"/>
          </w:rPr>
          <m:t xml:space="preserve"> en el caso de contratos de duración semanal</m:t>
        </m:r>
      </m:oMath>
      <w:r w:rsidR="0006302B" w:rsidRPr="00295053">
        <w:rPr>
          <w:rFonts w:ascii="Bookman Old Style" w:hAnsi="Bookman Old Style" w:cs="Arial"/>
          <w:b/>
          <w:bCs/>
          <w:iCs/>
          <w:color w:val="000000" w:themeColor="text1"/>
          <w:lang w:val="es-CO"/>
        </w:rPr>
        <w:t>,</w:t>
      </w:r>
      <w:r w:rsidR="00DD3A93">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expresada en MBTU.</w:t>
      </w:r>
    </w:p>
    <w:p w14:paraId="6EF3B4C4"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166AA357" w14:textId="18757409"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1,m,</m:t>
            </m:r>
            <m:r>
              <m:rPr>
                <m:sty m:val="bi"/>
              </m:rPr>
              <w:rPr>
                <w:rFonts w:ascii="Cambria Math" w:hAnsi="Cambria Math" w:cs="Arial"/>
                <w:color w:val="000000"/>
                <w:lang w:val="es-CO"/>
              </w:rPr>
              <m:t>s</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Cantidad de energía dejada de entregar a usuarios </w:t>
      </w:r>
      <w:r w:rsidR="0006302B">
        <w:rPr>
          <w:rFonts w:ascii="Bookman Old Style" w:hAnsi="Bookman Old Style" w:cs="Arial"/>
          <w:color w:val="000000" w:themeColor="text1"/>
          <w:lang w:val="es-CO"/>
        </w:rPr>
        <w:t xml:space="preserve">que son </w:t>
      </w:r>
      <w:r w:rsidR="0063362B" w:rsidRPr="001F6752">
        <w:rPr>
          <w:rFonts w:ascii="Bookman Old Style" w:hAnsi="Bookman Old Style" w:cs="Arial"/>
          <w:b/>
          <w:bCs/>
          <w:color w:val="000000" w:themeColor="text1"/>
          <w:lang w:val="es-CO"/>
        </w:rPr>
        <w:t xml:space="preserve">Regulados </w:t>
      </w:r>
      <w:r w:rsidR="0006302B" w:rsidRPr="0013707D">
        <w:rPr>
          <w:rFonts w:ascii="Bookman Old Style" w:hAnsi="Bookman Old Style" w:cs="Arial"/>
          <w:color w:val="000000" w:themeColor="text1"/>
          <w:lang w:val="es-CO"/>
        </w:rPr>
        <w:t xml:space="preserve">durante el mes </w:t>
      </w:r>
      <m:oMath>
        <m:r>
          <w:rPr>
            <w:rFonts w:ascii="Cambria Math" w:hAnsi="Cambria Math" w:cs="Arial"/>
            <w:color w:val="000000" w:themeColor="text1"/>
            <w:lang w:val="es-CO"/>
          </w:rPr>
          <m:t>m</m:t>
        </m:r>
      </m:oMath>
      <w:r w:rsidR="00AF626D">
        <w:rPr>
          <w:rFonts w:ascii="Bookman Old Style" w:hAnsi="Bookman Old Style" w:cs="Arial"/>
          <w:color w:val="000000" w:themeColor="text1"/>
          <w:lang w:val="es-CO"/>
        </w:rPr>
        <w:t xml:space="preserve"> </w:t>
      </w:r>
      <m:oMath>
        <m:r>
          <m:rPr>
            <m:sty m:val="b"/>
          </m:rPr>
          <w:rPr>
            <w:rFonts w:ascii="Cambria Math" w:hAnsi="Cambria Math" w:cs="Arial"/>
            <w:color w:val="000000" w:themeColor="text1"/>
            <w:lang w:val="es-CO"/>
          </w:rPr>
          <m:t xml:space="preserve">o la semana </m:t>
        </m:r>
        <m:r>
          <m:rPr>
            <m:sty m:val="bi"/>
          </m:rPr>
          <w:rPr>
            <w:rFonts w:ascii="Cambria Math" w:hAnsi="Cambria Math" w:cs="Arial"/>
            <w:color w:val="000000" w:themeColor="text1"/>
            <w:lang w:val="es-CO"/>
          </w:rPr>
          <m:t>s</m:t>
        </m:r>
        <m:r>
          <m:rPr>
            <m:sty m:val="b"/>
          </m:rPr>
          <w:rPr>
            <w:rFonts w:ascii="Cambria Math" w:hAnsi="Cambria Math" w:cs="Arial"/>
            <w:color w:val="000000" w:themeColor="text1"/>
            <w:lang w:val="es-CO"/>
          </w:rPr>
          <m:t xml:space="preserve"> en el caso de contratos de duración semanal</m:t>
        </m:r>
      </m:oMath>
      <w:r w:rsidR="0006302B" w:rsidRPr="0013707D">
        <w:rPr>
          <w:rFonts w:ascii="Bookman Old Style" w:hAnsi="Bookman Old Style" w:cs="Arial"/>
          <w:color w:val="000000" w:themeColor="text1"/>
          <w:lang w:val="es-CO"/>
        </w:rPr>
        <w:t>, expresada en MBTU.</w:t>
      </w:r>
    </w:p>
    <w:p w14:paraId="1408F5E2"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36CD9833" w14:textId="16A9FFFE"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2,m,</m:t>
            </m:r>
            <m:r>
              <m:rPr>
                <m:sty m:val="bi"/>
              </m:rPr>
              <w:rPr>
                <w:rFonts w:ascii="Cambria Math" w:hAnsi="Cambria Math" w:cs="Arial"/>
                <w:color w:val="000000"/>
                <w:lang w:val="es-CO"/>
              </w:rPr>
              <m:t>s</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Cantidad total de energía dejada de entregar durante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w:t>
      </w:r>
      <m:oMath>
        <m:r>
          <m:rPr>
            <m:sty m:val="b"/>
          </m:rPr>
          <w:rPr>
            <w:rFonts w:ascii="Cambria Math" w:hAnsi="Cambria Math" w:cs="Arial"/>
            <w:color w:val="000000" w:themeColor="text1"/>
            <w:lang w:val="es-CO"/>
          </w:rPr>
          <m:t xml:space="preserve">o la semana </m:t>
        </m:r>
        <m:r>
          <m:rPr>
            <m:sty m:val="bi"/>
          </m:rPr>
          <w:rPr>
            <w:rFonts w:ascii="Cambria Math" w:hAnsi="Cambria Math" w:cs="Arial"/>
            <w:color w:val="000000" w:themeColor="text1"/>
            <w:lang w:val="es-CO"/>
          </w:rPr>
          <m:t>s</m:t>
        </m:r>
        <m:r>
          <m:rPr>
            <m:sty m:val="b"/>
          </m:rPr>
          <w:rPr>
            <w:rFonts w:ascii="Cambria Math" w:hAnsi="Cambria Math" w:cs="Arial"/>
            <w:color w:val="000000" w:themeColor="text1"/>
            <w:lang w:val="es-CO"/>
          </w:rPr>
          <m:t xml:space="preserve"> en el caso de contratos de duración semanal</m:t>
        </m:r>
      </m:oMath>
      <w:r w:rsidR="00AF626D" w:rsidRPr="00F401D1">
        <w:rPr>
          <w:rFonts w:ascii="Bookman Old Style" w:hAnsi="Bookman Old Style" w:cs="Arial"/>
          <w:b/>
          <w:bCs/>
          <w:iCs/>
          <w:color w:val="000000" w:themeColor="text1"/>
          <w:lang w:val="es-CO"/>
        </w:rPr>
        <w:t>,</w:t>
      </w:r>
      <w:r w:rsidR="00AF626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 xml:space="preserve">menos la cantidad de energía dejada de entregar a usuarios </w:t>
      </w:r>
      <w:r w:rsidR="0006302B">
        <w:rPr>
          <w:rFonts w:ascii="Bookman Old Style" w:hAnsi="Bookman Old Style" w:cs="Arial"/>
          <w:color w:val="000000" w:themeColor="text1"/>
          <w:lang w:val="es-CO"/>
        </w:rPr>
        <w:t xml:space="preserve">que son </w:t>
      </w:r>
      <w:r w:rsidR="0063362B" w:rsidRPr="001F6752">
        <w:rPr>
          <w:rFonts w:ascii="Bookman Old Style" w:hAnsi="Bookman Old Style" w:cs="Arial"/>
          <w:b/>
          <w:bCs/>
          <w:color w:val="000000" w:themeColor="text1"/>
          <w:lang w:val="es-CO"/>
        </w:rPr>
        <w:t xml:space="preserve">Regulados </w:t>
      </w:r>
      <w:r w:rsidR="0006302B" w:rsidRPr="0013707D">
        <w:rPr>
          <w:rFonts w:ascii="Bookman Old Style" w:hAnsi="Bookman Old Style" w:cs="Arial"/>
          <w:color w:val="000000" w:themeColor="text1"/>
          <w:lang w:val="es-CO"/>
        </w:rPr>
        <w:t xml:space="preserve">durante el mes </w:t>
      </w:r>
      <m:oMath>
        <m:r>
          <w:rPr>
            <w:rFonts w:ascii="Cambria Math" w:hAnsi="Cambria Math" w:cs="Arial"/>
            <w:color w:val="000000" w:themeColor="text1"/>
            <w:lang w:val="es-CO"/>
          </w:rPr>
          <m:t>m</m:t>
        </m:r>
      </m:oMath>
      <w:r w:rsidR="00AF626D">
        <w:rPr>
          <w:rFonts w:ascii="Bookman Old Style" w:hAnsi="Bookman Old Style" w:cs="Arial"/>
          <w:color w:val="000000" w:themeColor="text1"/>
          <w:lang w:val="es-CO"/>
        </w:rPr>
        <w:t xml:space="preserve"> </w:t>
      </w:r>
      <m:oMath>
        <m:r>
          <m:rPr>
            <m:sty m:val="b"/>
          </m:rPr>
          <w:rPr>
            <w:rFonts w:ascii="Cambria Math" w:hAnsi="Cambria Math" w:cs="Arial"/>
            <w:color w:val="000000" w:themeColor="text1"/>
            <w:lang w:val="es-CO"/>
          </w:rPr>
          <m:t xml:space="preserve">o la semana </m:t>
        </m:r>
        <m:r>
          <m:rPr>
            <m:sty m:val="bi"/>
          </m:rPr>
          <w:rPr>
            <w:rFonts w:ascii="Cambria Math" w:hAnsi="Cambria Math" w:cs="Arial"/>
            <w:color w:val="000000" w:themeColor="text1"/>
            <w:lang w:val="es-CO"/>
          </w:rPr>
          <m:t>s</m:t>
        </m:r>
        <m:r>
          <m:rPr>
            <m:sty m:val="b"/>
          </m:rPr>
          <w:rPr>
            <w:rFonts w:ascii="Cambria Math" w:hAnsi="Cambria Math" w:cs="Arial"/>
            <w:color w:val="000000" w:themeColor="text1"/>
            <w:lang w:val="es-CO"/>
          </w:rPr>
          <m:t xml:space="preserve"> en el caso de contratos de duración semanal</m:t>
        </m:r>
      </m:oMath>
      <w:r w:rsidR="0006302B" w:rsidRPr="0013707D">
        <w:rPr>
          <w:rFonts w:ascii="Bookman Old Style" w:hAnsi="Bookman Old Style" w:cs="Arial"/>
          <w:color w:val="000000" w:themeColor="text1"/>
          <w:lang w:val="es-CO"/>
        </w:rPr>
        <w:t>, expresada en MBTU.</w:t>
      </w:r>
    </w:p>
    <w:p w14:paraId="08549FBE"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3180ECE1"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m</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Mes calendario en que ocurre el incumplimiento.</w:t>
      </w:r>
    </w:p>
    <w:p w14:paraId="3A0C37B3"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01C19E34"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VCD</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Valor a compensar por incumplimiento del indicador DES, según lo establecido en la Resolución CREG 100 de 2003 o aquella que la modifique o sustituya. Esta variable se expresará en pesos.</w:t>
      </w:r>
    </w:p>
    <w:p w14:paraId="7BDEF200"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32F6E449"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CFI</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Sumatoria de los cargos fijos que remuneran los costos de inversión en transporte desde el punto de inicio hasta el punto de terminación del servicio, incluyendo los cargos correspondientes a grupos de gasoductos si es del caso. Se utilizarán los cargos vigentes para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tal que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λ</m:t>
            </m:r>
          </m:e>
          <m:sub>
            <m:r>
              <w:rPr>
                <w:rFonts w:ascii="Cambria Math" w:hAnsi="Cambria Math" w:cs="Arial"/>
                <w:color w:val="000000" w:themeColor="text1"/>
                <w:lang w:val="es-CO"/>
              </w:rPr>
              <m:t>f</m:t>
            </m:r>
          </m:sub>
        </m:sSub>
      </m:oMath>
      <w:r w:rsidR="0006302B" w:rsidRPr="0013707D">
        <w:rPr>
          <w:rFonts w:ascii="Bookman Old Style" w:hAnsi="Bookman Old Style" w:cs="Arial"/>
          <w:color w:val="000000" w:themeColor="text1"/>
          <w:lang w:val="es-CO"/>
        </w:rPr>
        <w:t xml:space="preserve"> sea igual a 1, según lo previsto </w:t>
      </w:r>
      <w:r w:rsidR="0006302B">
        <w:rPr>
          <w:rFonts w:ascii="Bookman Old Style" w:hAnsi="Bookman Old Style" w:cs="Arial"/>
          <w:color w:val="000000" w:themeColor="text1"/>
          <w:lang w:val="es-CO"/>
        </w:rPr>
        <w:t xml:space="preserve">la </w:t>
      </w:r>
      <w:r w:rsidR="0006302B" w:rsidRPr="0013707D">
        <w:rPr>
          <w:rFonts w:ascii="Bookman Old Style" w:hAnsi="Bookman Old Style" w:cs="Arial"/>
          <w:color w:val="000000" w:themeColor="text1"/>
          <w:lang w:val="es-CO"/>
        </w:rPr>
        <w:t xml:space="preserve">Resolución CREG </w:t>
      </w:r>
      <w:r w:rsidR="0006302B">
        <w:rPr>
          <w:rFonts w:ascii="Bookman Old Style" w:hAnsi="Bookman Old Style" w:cs="Arial"/>
          <w:color w:val="000000" w:themeColor="text1"/>
          <w:lang w:val="es-CO"/>
        </w:rPr>
        <w:t>175</w:t>
      </w:r>
      <w:r w:rsidR="0006302B" w:rsidRPr="0013707D">
        <w:rPr>
          <w:rFonts w:ascii="Bookman Old Style" w:hAnsi="Bookman Old Style" w:cs="Arial"/>
          <w:color w:val="000000" w:themeColor="text1"/>
          <w:lang w:val="es-CO"/>
        </w:rPr>
        <w:t xml:space="preserve"> de 20</w:t>
      </w:r>
      <w:r w:rsidR="0006302B">
        <w:rPr>
          <w:rFonts w:ascii="Bookman Old Style" w:hAnsi="Bookman Old Style" w:cs="Arial"/>
          <w:color w:val="000000" w:themeColor="text1"/>
          <w:lang w:val="es-CO"/>
        </w:rPr>
        <w:t>21</w:t>
      </w:r>
      <w:r w:rsidR="0006302B" w:rsidRPr="0013707D">
        <w:rPr>
          <w:rFonts w:ascii="Bookman Old Style" w:hAnsi="Bookman Old Style" w:cs="Arial"/>
          <w:color w:val="000000" w:themeColor="text1"/>
          <w:lang w:val="es-CO"/>
        </w:rPr>
        <w:t xml:space="preserve"> o aquella que la modifique o sustituya. Esta variable se expresará en dólares de los Estados Unidos de América por KPCD-año. </w:t>
      </w:r>
    </w:p>
    <w:p w14:paraId="44A09FDB"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61217E81" w14:textId="77777777"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TRM</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rPr>
        <w:tab/>
        <w:t xml:space="preserve">Tasa de cambio certificada por la Superintendencia Financiera para el último día calendario del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xml:space="preserve">, expresada en pesos por dólar de los Estados Unidos de América. </w:t>
      </w:r>
    </w:p>
    <w:p w14:paraId="5CFF14EC"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40D27774" w14:textId="48EA3295" w:rsidR="0006302B" w:rsidRPr="0013707D" w:rsidRDefault="00FB7B28" w:rsidP="0006302B">
      <w:pPr>
        <w:tabs>
          <w:tab w:val="left" w:pos="2127"/>
        </w:tabs>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CFAOM</m:t>
            </m:r>
          </m:e>
          <m:sub>
            <m:r>
              <w:rPr>
                <w:rFonts w:ascii="Cambria Math" w:hAnsi="Cambria Math" w:cs="Arial"/>
                <w:color w:val="000000" w:themeColor="text1"/>
                <w:lang w:val="es-CO"/>
              </w:rPr>
              <m:t>m</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Sumatoria de los cargos fijos que remuneran los gastos de AOM en transporte desde el punto de inicio hasta el punto de terminación del servicio, incluyendo los cargos correspondientes a grupos de gasoductos si es del caso. Se utilizarán los cargos vigentes para el mes </w:t>
      </w:r>
      <m:oMath>
        <m:r>
          <w:rPr>
            <w:rFonts w:ascii="Cambria Math" w:hAnsi="Cambria Math" w:cs="Arial"/>
            <w:color w:val="000000" w:themeColor="text1"/>
            <w:lang w:val="es-CO"/>
          </w:rPr>
          <m:t>m</m:t>
        </m:r>
      </m:oMath>
      <w:r w:rsidR="0006302B" w:rsidRPr="0013707D">
        <w:rPr>
          <w:rFonts w:ascii="Bookman Old Style" w:hAnsi="Bookman Old Style" w:cs="Arial"/>
          <w:color w:val="000000" w:themeColor="text1"/>
          <w:lang w:val="es-CO"/>
        </w:rPr>
        <w:t>, según lo previsto en</w:t>
      </w:r>
      <w:r w:rsidR="0006302B">
        <w:rPr>
          <w:rFonts w:ascii="Bookman Old Style" w:hAnsi="Bookman Old Style" w:cs="Arial"/>
          <w:color w:val="000000" w:themeColor="text1"/>
          <w:lang w:val="es-CO"/>
        </w:rPr>
        <w:t xml:space="preserve"> la</w:t>
      </w:r>
      <w:r w:rsidR="0006302B" w:rsidRPr="0013707D">
        <w:rPr>
          <w:rFonts w:ascii="Bookman Old Style" w:hAnsi="Bookman Old Style" w:cs="Arial"/>
          <w:color w:val="000000" w:themeColor="text1"/>
          <w:lang w:val="es-CO"/>
        </w:rPr>
        <w:t xml:space="preserve"> Resolución CREG </w:t>
      </w:r>
      <w:r w:rsidR="0006302B">
        <w:rPr>
          <w:rFonts w:ascii="Bookman Old Style" w:hAnsi="Bookman Old Style" w:cs="Arial"/>
          <w:color w:val="000000" w:themeColor="text1"/>
          <w:lang w:val="es-CO"/>
        </w:rPr>
        <w:t>175</w:t>
      </w:r>
      <w:r w:rsidR="0006302B" w:rsidRPr="0013707D">
        <w:rPr>
          <w:rFonts w:ascii="Bookman Old Style" w:hAnsi="Bookman Old Style" w:cs="Arial"/>
          <w:color w:val="000000" w:themeColor="text1"/>
          <w:lang w:val="es-CO"/>
        </w:rPr>
        <w:t xml:space="preserve"> de 20</w:t>
      </w:r>
      <w:r w:rsidR="0006302B">
        <w:rPr>
          <w:rFonts w:ascii="Bookman Old Style" w:hAnsi="Bookman Old Style" w:cs="Arial"/>
          <w:color w:val="000000" w:themeColor="text1"/>
          <w:lang w:val="es-CO"/>
        </w:rPr>
        <w:t>21</w:t>
      </w:r>
      <w:r w:rsidR="0006302B" w:rsidRPr="0013707D">
        <w:rPr>
          <w:rFonts w:ascii="Bookman Old Style" w:hAnsi="Bookman Old Style" w:cs="Arial"/>
          <w:color w:val="000000" w:themeColor="text1"/>
          <w:lang w:val="es-CO"/>
        </w:rPr>
        <w:t xml:space="preserve"> o aquella que la modifique o sustituya. Esta variable se expresará en pesos por KPCD-año. </w:t>
      </w:r>
    </w:p>
    <w:p w14:paraId="653D6F2F"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00DF5A4F"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w:lastRenderedPageBreak/>
          <m:t>PC</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 xml:space="preserve">Poder calorífico del gas dejado de entregar, expresado en MBTU por KPC. Se utilizará el valor de poder calorífico reportado </w:t>
      </w:r>
      <w:r>
        <w:rPr>
          <w:rFonts w:ascii="Bookman Old Style" w:hAnsi="Bookman Old Style" w:cs="Arial"/>
          <w:b/>
          <w:bCs/>
          <w:color w:val="000000" w:themeColor="text1"/>
          <w:lang w:val="es-CO"/>
        </w:rPr>
        <w:t xml:space="preserve">como facturado </w:t>
      </w:r>
      <w:r w:rsidRPr="0013707D">
        <w:rPr>
          <w:rFonts w:ascii="Bookman Old Style" w:hAnsi="Bookman Old Style" w:cs="Arial"/>
          <w:color w:val="000000" w:themeColor="text1"/>
          <w:lang w:val="es-CO"/>
        </w:rPr>
        <w:t xml:space="preserve">en el Sistema Único de Información de la Superintendencia de Servicios Públicos Domiciliarios para el mes </w:t>
      </w:r>
      <m:oMath>
        <m:r>
          <w:rPr>
            <w:rFonts w:ascii="Cambria Math" w:hAnsi="Cambria Math" w:cs="Arial"/>
            <w:color w:val="000000" w:themeColor="text1"/>
            <w:lang w:val="es-CO"/>
          </w:rPr>
          <m:t>m-1</m:t>
        </m:r>
      </m:oMath>
      <w:r w:rsidRPr="0013707D">
        <w:rPr>
          <w:rFonts w:ascii="Bookman Old Style" w:hAnsi="Bookman Old Style" w:cs="Arial"/>
          <w:color w:val="000000" w:themeColor="text1"/>
          <w:lang w:val="es-CO"/>
        </w:rPr>
        <w:t>.</w:t>
      </w:r>
    </w:p>
    <w:p w14:paraId="13984252" w14:textId="77777777" w:rsidR="0006302B" w:rsidRPr="0013707D" w:rsidRDefault="0006302B" w:rsidP="0006302B">
      <w:pPr>
        <w:autoSpaceDE w:val="0"/>
        <w:autoSpaceDN w:val="0"/>
        <w:adjustRightInd w:val="0"/>
        <w:ind w:left="1134"/>
        <w:jc w:val="both"/>
        <w:rPr>
          <w:rFonts w:ascii="Bookman Old Style" w:hAnsi="Bookman Old Style" w:cs="Arial"/>
          <w:color w:val="000000"/>
          <w:lang w:val="es-CO"/>
        </w:rPr>
      </w:pPr>
    </w:p>
    <w:p w14:paraId="5335116A" w14:textId="0D27547A" w:rsidR="0006302B" w:rsidRPr="0013707D" w:rsidRDefault="00FB7B28" w:rsidP="0006302B">
      <w:pPr>
        <w:autoSpaceDE w:val="0"/>
        <w:autoSpaceDN w:val="0"/>
        <w:adjustRightInd w:val="0"/>
        <w:ind w:left="1701" w:hanging="1134"/>
        <w:jc w:val="both"/>
        <w:rPr>
          <w:rFonts w:ascii="Bookman Old Style" w:hAnsi="Bookman Old Style" w:cs="Arial"/>
          <w:color w:val="000000"/>
          <w:lang w:val="es-CO"/>
        </w:rPr>
      </w:pPr>
      <m:oMath>
        <m:sSub>
          <m:sSubPr>
            <m:ctrlPr>
              <w:rPr>
                <w:rFonts w:ascii="Cambria Math" w:hAnsi="Cambria Math" w:cs="Arial"/>
                <w:i/>
                <w:color w:val="000000"/>
                <w:lang w:val="es-CO"/>
              </w:rPr>
            </m:ctrlPr>
          </m:sSubPr>
          <m:e>
            <m:r>
              <w:rPr>
                <w:rFonts w:ascii="Cambria Math" w:hAnsi="Cambria Math" w:cs="Arial"/>
                <w:color w:val="000000"/>
                <w:lang w:val="es-CO"/>
              </w:rPr>
              <m:t>P</m:t>
            </m:r>
          </m:e>
          <m:sub>
            <m:r>
              <w:rPr>
                <w:rFonts w:ascii="Cambria Math" w:hAnsi="Cambria Math" w:cs="Arial"/>
                <w:color w:val="000000"/>
                <w:lang w:val="es-CO"/>
              </w:rPr>
              <m:t>m,</m:t>
            </m:r>
            <m:r>
              <m:rPr>
                <m:sty m:val="bi"/>
              </m:rPr>
              <w:rPr>
                <w:rFonts w:ascii="Cambria Math" w:hAnsi="Cambria Math" w:cs="Arial"/>
                <w:color w:val="000000"/>
                <w:lang w:val="es-CO"/>
              </w:rPr>
              <m:t>s</m:t>
            </m:r>
          </m:sub>
        </m:sSub>
      </m:oMath>
      <w:r w:rsidR="0006302B" w:rsidRPr="0013707D">
        <w:rPr>
          <w:rFonts w:ascii="Bookman Old Style" w:hAnsi="Bookman Old Style" w:cs="Arial"/>
          <w:color w:val="000000"/>
          <w:lang w:val="es-CO"/>
        </w:rPr>
        <w:t xml:space="preserve">: </w:t>
      </w:r>
      <w:r w:rsidR="0006302B" w:rsidRPr="0013707D">
        <w:rPr>
          <w:rFonts w:ascii="Bookman Old Style" w:hAnsi="Bookman Old Style" w:cs="Arial"/>
          <w:color w:val="000000"/>
          <w:lang w:val="es-CO"/>
        </w:rPr>
        <w:tab/>
        <w:t xml:space="preserve">Precio vigente del gas natural para el mes </w:t>
      </w:r>
      <m:oMath>
        <m:r>
          <w:rPr>
            <w:rFonts w:ascii="Cambria Math" w:hAnsi="Cambria Math" w:cs="Arial"/>
            <w:color w:val="000000"/>
            <w:lang w:val="es-CO"/>
          </w:rPr>
          <m:t>m</m:t>
        </m:r>
      </m:oMath>
      <w:r w:rsidR="00AF626D">
        <w:rPr>
          <w:rFonts w:ascii="Bookman Old Style" w:hAnsi="Bookman Old Style" w:cs="Arial"/>
          <w:color w:val="000000"/>
          <w:lang w:val="es-CO"/>
        </w:rPr>
        <w:t xml:space="preserve"> </w:t>
      </w:r>
      <w:r w:rsidR="00AF626D" w:rsidRPr="00F401D1">
        <w:rPr>
          <w:rFonts w:ascii="Bookman Old Style" w:hAnsi="Bookman Old Style" w:cs="Arial"/>
          <w:b/>
          <w:bCs/>
          <w:color w:val="000000" w:themeColor="text1"/>
          <w:lang w:val="es-CO"/>
        </w:rPr>
        <w:t xml:space="preserve">o la semana </w:t>
      </w:r>
      <w:r w:rsidR="00AF626D" w:rsidRPr="00F401D1">
        <w:rPr>
          <w:rFonts w:ascii="Bookman Old Style" w:hAnsi="Bookman Old Style" w:cs="Arial"/>
          <w:b/>
          <w:bCs/>
          <w:i/>
          <w:iCs/>
          <w:color w:val="000000" w:themeColor="text1"/>
          <w:lang w:val="es-CO"/>
        </w:rPr>
        <w:t>s</w:t>
      </w:r>
      <w:r w:rsidR="00AF626D" w:rsidRPr="00F401D1">
        <w:rPr>
          <w:rFonts w:ascii="Bookman Old Style" w:hAnsi="Bookman Old Style" w:cs="Arial"/>
          <w:b/>
          <w:bCs/>
          <w:color w:val="000000" w:themeColor="text1"/>
          <w:lang w:val="es-CO"/>
        </w:rPr>
        <w:t xml:space="preserve"> en el caso de contratos de duración semanal</w:t>
      </w:r>
      <w:r w:rsidR="0006302B" w:rsidRPr="0013707D">
        <w:rPr>
          <w:rFonts w:ascii="Bookman Old Style" w:hAnsi="Bookman Old Style" w:cs="Arial"/>
          <w:color w:val="000000"/>
          <w:lang w:val="es-CO"/>
        </w:rPr>
        <w:t>, según lo previsto en el contrato de suministro, expresado en dólares de los Estados Unidos de América por MBTU.</w:t>
      </w:r>
    </w:p>
    <w:p w14:paraId="35E9FBBE" w14:textId="77777777" w:rsidR="0006302B" w:rsidRPr="0013707D" w:rsidRDefault="0006302B" w:rsidP="0006302B">
      <w:pPr>
        <w:autoSpaceDE w:val="0"/>
        <w:autoSpaceDN w:val="0"/>
        <w:adjustRightInd w:val="0"/>
        <w:ind w:left="2127" w:firstLine="141"/>
        <w:jc w:val="both"/>
        <w:rPr>
          <w:rFonts w:ascii="Bookman Old Style" w:hAnsi="Bookman Old Style" w:cs="Arial"/>
          <w:color w:val="000000"/>
          <w:lang w:val="es-CO"/>
        </w:rPr>
      </w:pPr>
    </w:p>
    <w:p w14:paraId="6C6B7D4A"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r w:rsidRPr="0013707D">
        <w:rPr>
          <w:rFonts w:ascii="Bookman Old Style" w:hAnsi="Bookman Old Style" w:cs="Arial"/>
          <w:color w:val="000000"/>
          <w:lang w:val="es-CO"/>
        </w:rPr>
        <w:tab/>
        <w:t xml:space="preserve">En el caso de un contrato de opción de compra de gas </w:t>
      </w:r>
      <w:r>
        <w:rPr>
          <w:rFonts w:ascii="Bookman Old Style" w:hAnsi="Bookman Old Style" w:cs="Arial"/>
          <w:b/>
          <w:bCs/>
          <w:color w:val="000000"/>
          <w:lang w:val="es-CO"/>
        </w:rPr>
        <w:t xml:space="preserve">y Opción de Compra de gas contra Exportaciones, </w:t>
      </w:r>
      <w:r w:rsidRPr="0013707D">
        <w:rPr>
          <w:rFonts w:ascii="Bookman Old Style" w:hAnsi="Bookman Old Style" w:cs="Arial"/>
          <w:color w:val="000000"/>
          <w:lang w:val="es-CO"/>
        </w:rPr>
        <w:t xml:space="preserve">será la suma entre el precio vigente del gas natural para el mes </w:t>
      </w:r>
      <m:oMath>
        <m:r>
          <w:rPr>
            <w:rFonts w:ascii="Cambria Math" w:hAnsi="Cambria Math" w:cs="Arial"/>
            <w:color w:val="000000"/>
            <w:lang w:val="es-CO"/>
          </w:rPr>
          <m:t>m</m:t>
        </m:r>
      </m:oMath>
      <w:r w:rsidRPr="0013707D">
        <w:rPr>
          <w:rFonts w:ascii="Bookman Old Style" w:hAnsi="Bookman Old Style" w:cs="Arial"/>
          <w:color w:val="000000"/>
          <w:lang w:val="es-CO"/>
        </w:rPr>
        <w:t>, expresado en dólares de los Estados Unidos de América por MBTU, y el valor que se ha pagado como prima por el derecho a tomar gas, acumulado desde la última vez que tomó gas o en su defecto desde el inicio del contrato, expresado en dólares de los Estados Unidos de América por MBTU. Estos precios serán los previstos en el contrato de suministro.</w:t>
      </w:r>
    </w:p>
    <w:p w14:paraId="72B274D8"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43397123" w14:textId="0FB575DB"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Df</m:t>
            </m:r>
          </m:e>
          <m:sub>
            <m:r>
              <w:rPr>
                <w:rFonts w:ascii="Cambria Math" w:hAnsi="Cambria Math" w:cs="Arial"/>
                <w:color w:val="000000" w:themeColor="text1"/>
                <w:lang w:val="es-CO"/>
              </w:rPr>
              <m:t>j,m,G1</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lang w:val="es-CO"/>
        </w:rPr>
        <w:t xml:space="preserve">Componente fijo del cargo de distribución aplicable a usuarios del rango </w:t>
      </w:r>
      <w:r w:rsidR="0006302B" w:rsidRPr="0013707D">
        <w:rPr>
          <w:rFonts w:ascii="Bookman Old Style" w:hAnsi="Bookman Old Style" w:cs="Arial"/>
          <w:i/>
          <w:color w:val="000000"/>
          <w:lang w:val="es-CO"/>
        </w:rPr>
        <w:t>j</w:t>
      </w:r>
      <w:r w:rsidR="0006302B" w:rsidRPr="0013707D">
        <w:rPr>
          <w:rFonts w:ascii="Bookman Old Style" w:hAnsi="Bookman Old Style" w:cs="Arial"/>
          <w:color w:val="000000"/>
          <w:lang w:val="es-CO"/>
        </w:rPr>
        <w:t xml:space="preserve"> de consumo en el mes </w:t>
      </w:r>
      <w:r w:rsidR="0006302B" w:rsidRPr="0013707D">
        <w:rPr>
          <w:rFonts w:ascii="Bookman Old Style" w:hAnsi="Bookman Old Style" w:cs="Arial"/>
          <w:i/>
          <w:color w:val="000000"/>
          <w:lang w:val="es-CO"/>
        </w:rPr>
        <w:t>m</w:t>
      </w:r>
      <w:r w:rsidR="0006302B" w:rsidRPr="0013707D">
        <w:rPr>
          <w:rFonts w:ascii="Bookman Old Style" w:hAnsi="Bookman Old Style" w:cs="Arial"/>
          <w:color w:val="000000"/>
          <w:lang w:val="es-CO"/>
        </w:rPr>
        <w:t xml:space="preserve"> y para la cantidad </w:t>
      </w: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1,m</m:t>
            </m:r>
          </m:sub>
        </m:sSub>
      </m:oMath>
      <w:r w:rsidR="0006302B" w:rsidRPr="0013707D">
        <w:rPr>
          <w:rFonts w:ascii="Bookman Old Style" w:hAnsi="Bookman Old Style" w:cs="Arial"/>
          <w:color w:val="000000"/>
          <w:lang w:val="es-CO"/>
        </w:rPr>
        <w:t xml:space="preserve">, según lo establecido en </w:t>
      </w:r>
      <w:r w:rsidR="0006302B">
        <w:rPr>
          <w:rFonts w:ascii="Bookman Old Style" w:hAnsi="Bookman Old Style" w:cs="Arial"/>
          <w:b/>
          <w:bCs/>
          <w:color w:val="000000" w:themeColor="text1"/>
          <w:lang w:val="es-CO"/>
        </w:rPr>
        <w:t>las r</w:t>
      </w:r>
      <w:r w:rsidR="0006302B" w:rsidRPr="00E85C40">
        <w:rPr>
          <w:rFonts w:ascii="Bookman Old Style" w:hAnsi="Bookman Old Style" w:cs="Arial"/>
          <w:b/>
          <w:bCs/>
          <w:color w:val="000000" w:themeColor="text1"/>
          <w:lang w:val="es-CO"/>
        </w:rPr>
        <w:t>esoluciones CREG 202 de 2013, 138 de 2014, 132 y 90 de 2018, y 011 de 2020</w:t>
      </w:r>
      <w:r w:rsidR="00FE3FA1">
        <w:rPr>
          <w:rFonts w:ascii="Bookman Old Style" w:hAnsi="Bookman Old Style" w:cs="Arial"/>
          <w:b/>
          <w:bCs/>
          <w:color w:val="000000" w:themeColor="text1"/>
          <w:lang w:val="es-CO"/>
        </w:rPr>
        <w:t>,</w:t>
      </w:r>
      <w:r w:rsidR="002671EF">
        <w:rPr>
          <w:rFonts w:ascii="Bookman Old Style" w:hAnsi="Bookman Old Style" w:cs="Arial"/>
          <w:b/>
          <w:bCs/>
          <w:color w:val="000000" w:themeColor="text1"/>
          <w:lang w:val="es-CO"/>
        </w:rPr>
        <w:t xml:space="preserve"> </w:t>
      </w:r>
      <w:r w:rsidR="0006302B" w:rsidRPr="0013707D">
        <w:rPr>
          <w:rFonts w:ascii="Bookman Old Style" w:hAnsi="Bookman Old Style" w:cs="Arial"/>
          <w:color w:val="000000"/>
          <w:lang w:val="es-CO"/>
        </w:rPr>
        <w:t>o aquella que la</w:t>
      </w:r>
      <w:r w:rsidR="00580570">
        <w:rPr>
          <w:rFonts w:ascii="Bookman Old Style" w:hAnsi="Bookman Old Style" w:cs="Arial"/>
          <w:color w:val="000000"/>
          <w:lang w:val="es-CO"/>
        </w:rPr>
        <w:t>s</w:t>
      </w:r>
      <w:r w:rsidR="0006302B" w:rsidRPr="0013707D">
        <w:rPr>
          <w:rFonts w:ascii="Bookman Old Style" w:hAnsi="Bookman Old Style" w:cs="Arial"/>
          <w:color w:val="000000"/>
          <w:lang w:val="es-CO"/>
        </w:rPr>
        <w:t xml:space="preserve"> modifique o sustituya. Esta variable se expresará en pesos por factura</w:t>
      </w:r>
      <w:r w:rsidR="0006302B" w:rsidRPr="0013707D">
        <w:rPr>
          <w:rFonts w:ascii="Bookman Old Style" w:hAnsi="Bookman Old Style" w:cs="Arial"/>
          <w:color w:val="000000" w:themeColor="text1"/>
          <w:lang w:val="es-CO"/>
        </w:rPr>
        <w:t>.</w:t>
      </w:r>
    </w:p>
    <w:p w14:paraId="0DB6307F"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216F3761" w14:textId="419A0AA4" w:rsidR="0006302B" w:rsidRPr="0013707D" w:rsidRDefault="00FB7B28" w:rsidP="0006302B">
      <w:pPr>
        <w:autoSpaceDE w:val="0"/>
        <w:autoSpaceDN w:val="0"/>
        <w:adjustRightInd w:val="0"/>
        <w:ind w:left="1701"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Df</m:t>
            </m:r>
          </m:e>
          <m:sub>
            <m:r>
              <w:rPr>
                <w:rFonts w:ascii="Cambria Math" w:hAnsi="Cambria Math" w:cs="Arial"/>
                <w:color w:val="000000" w:themeColor="text1"/>
                <w:lang w:val="es-CO"/>
              </w:rPr>
              <m:t>j,m,G2</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lang w:val="es-CO"/>
        </w:rPr>
        <w:t xml:space="preserve">Componente fijo del cargo de distribución aplicable a usuarios del rango </w:t>
      </w:r>
      <w:r w:rsidR="0006302B" w:rsidRPr="0013707D">
        <w:rPr>
          <w:rFonts w:ascii="Bookman Old Style" w:hAnsi="Bookman Old Style" w:cs="Arial"/>
          <w:i/>
          <w:color w:val="000000"/>
          <w:lang w:val="es-CO"/>
        </w:rPr>
        <w:t>j</w:t>
      </w:r>
      <w:r w:rsidR="0006302B" w:rsidRPr="0013707D">
        <w:rPr>
          <w:rFonts w:ascii="Bookman Old Style" w:hAnsi="Bookman Old Style" w:cs="Arial"/>
          <w:color w:val="000000"/>
          <w:lang w:val="es-CO"/>
        </w:rPr>
        <w:t xml:space="preserve"> de consumo en el mes </w:t>
      </w:r>
      <w:r w:rsidR="0006302B" w:rsidRPr="0013707D">
        <w:rPr>
          <w:rFonts w:ascii="Bookman Old Style" w:hAnsi="Bookman Old Style" w:cs="Arial"/>
          <w:i/>
          <w:color w:val="000000"/>
          <w:lang w:val="es-CO"/>
        </w:rPr>
        <w:t>m</w:t>
      </w:r>
      <w:r w:rsidR="0006302B" w:rsidRPr="0013707D">
        <w:rPr>
          <w:rFonts w:ascii="Bookman Old Style" w:hAnsi="Bookman Old Style" w:cs="Arial"/>
          <w:color w:val="000000"/>
          <w:lang w:val="es-CO"/>
        </w:rPr>
        <w:t xml:space="preserve"> y para la cantidad </w:t>
      </w:r>
      <m:oMath>
        <m:sSub>
          <m:sSubPr>
            <m:ctrlPr>
              <w:rPr>
                <w:rFonts w:ascii="Cambria Math" w:hAnsi="Cambria Math" w:cs="Arial"/>
                <w:i/>
                <w:color w:val="000000"/>
                <w:lang w:val="es-CO"/>
              </w:rPr>
            </m:ctrlPr>
          </m:sSubPr>
          <m:e>
            <m:r>
              <w:rPr>
                <w:rFonts w:ascii="Cambria Math" w:hAnsi="Cambria Math" w:cs="Arial"/>
                <w:color w:val="000000"/>
                <w:lang w:val="es-CO"/>
              </w:rPr>
              <m:t>G</m:t>
            </m:r>
          </m:e>
          <m:sub>
            <m:r>
              <w:rPr>
                <w:rFonts w:ascii="Cambria Math" w:hAnsi="Cambria Math" w:cs="Arial"/>
                <w:color w:val="000000"/>
                <w:lang w:val="es-CO"/>
              </w:rPr>
              <m:t>2,m</m:t>
            </m:r>
          </m:sub>
        </m:sSub>
      </m:oMath>
      <w:r w:rsidR="0006302B" w:rsidRPr="0013707D">
        <w:rPr>
          <w:rFonts w:ascii="Bookman Old Style" w:hAnsi="Bookman Old Style" w:cs="Arial"/>
          <w:color w:val="000000"/>
          <w:lang w:val="es-CO"/>
        </w:rPr>
        <w:t xml:space="preserve">, según lo establecido en </w:t>
      </w:r>
      <w:r w:rsidR="0006302B">
        <w:rPr>
          <w:rFonts w:ascii="Bookman Old Style" w:hAnsi="Bookman Old Style" w:cs="Arial"/>
          <w:b/>
          <w:bCs/>
          <w:color w:val="000000" w:themeColor="text1"/>
          <w:lang w:val="es-CO"/>
        </w:rPr>
        <w:t>las r</w:t>
      </w:r>
      <w:r w:rsidR="0006302B" w:rsidRPr="00E85C40">
        <w:rPr>
          <w:rFonts w:ascii="Bookman Old Style" w:hAnsi="Bookman Old Style" w:cs="Arial"/>
          <w:b/>
          <w:bCs/>
          <w:color w:val="000000" w:themeColor="text1"/>
          <w:lang w:val="es-CO"/>
        </w:rPr>
        <w:t>esoluciones CREG 202 de 2013, 138 de 2014, 132 y 90 de 2018, y 011 de 2020</w:t>
      </w:r>
      <w:r w:rsidR="00FE3FA1">
        <w:rPr>
          <w:rFonts w:ascii="Bookman Old Style" w:hAnsi="Bookman Old Style" w:cs="Arial"/>
          <w:b/>
          <w:bCs/>
          <w:color w:val="000000" w:themeColor="text1"/>
          <w:lang w:val="es-CO"/>
        </w:rPr>
        <w:t>,</w:t>
      </w:r>
      <w:r w:rsidR="0006302B" w:rsidRPr="00413A02">
        <w:rPr>
          <w:rFonts w:ascii="Bookman Old Style" w:hAnsi="Bookman Old Style" w:cs="Arial"/>
          <w:color w:val="000000" w:themeColor="text1"/>
          <w:lang w:val="es-CO"/>
        </w:rPr>
        <w:t xml:space="preserve"> </w:t>
      </w:r>
      <w:r w:rsidR="0006302B" w:rsidRPr="0013707D">
        <w:rPr>
          <w:rFonts w:ascii="Bookman Old Style" w:hAnsi="Bookman Old Style" w:cs="Arial"/>
          <w:color w:val="000000"/>
          <w:lang w:val="es-CO"/>
        </w:rPr>
        <w:t>o aquella que la</w:t>
      </w:r>
      <w:r w:rsidR="00580570">
        <w:rPr>
          <w:rFonts w:ascii="Bookman Old Style" w:hAnsi="Bookman Old Style" w:cs="Arial"/>
          <w:color w:val="000000"/>
          <w:lang w:val="es-CO"/>
        </w:rPr>
        <w:t>s</w:t>
      </w:r>
      <w:r w:rsidR="0006302B" w:rsidRPr="0013707D">
        <w:rPr>
          <w:rFonts w:ascii="Bookman Old Style" w:hAnsi="Bookman Old Style" w:cs="Arial"/>
          <w:color w:val="000000"/>
          <w:lang w:val="es-CO"/>
        </w:rPr>
        <w:t xml:space="preserve"> modifique o sustituya. Esta variable se expresará en pesos por factura</w:t>
      </w:r>
      <w:r w:rsidR="0006302B" w:rsidRPr="0013707D">
        <w:rPr>
          <w:rFonts w:ascii="Bookman Old Style" w:hAnsi="Bookman Old Style" w:cs="Arial"/>
          <w:color w:val="000000" w:themeColor="text1"/>
          <w:lang w:val="es-CO"/>
        </w:rPr>
        <w:t>.</w:t>
      </w:r>
    </w:p>
    <w:p w14:paraId="42AC4367"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65A2A4FA"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F</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t xml:space="preserve">Número de facturas a usuarios del rango </w:t>
      </w:r>
      <m:oMath>
        <m:r>
          <w:rPr>
            <w:rFonts w:ascii="Cambria Math" w:hAnsi="Cambria Math" w:cs="Arial"/>
            <w:color w:val="000000" w:themeColor="text1"/>
            <w:lang w:val="es-CO"/>
          </w:rPr>
          <m:t>j</m:t>
        </m:r>
      </m:oMath>
      <w:r w:rsidRPr="0013707D">
        <w:rPr>
          <w:rFonts w:ascii="Bookman Old Style" w:hAnsi="Bookman Old Style" w:cs="Arial"/>
          <w:color w:val="000000" w:themeColor="text1"/>
          <w:lang w:val="es-CO"/>
        </w:rPr>
        <w:t xml:space="preserve"> de consumo en el mes </w:t>
      </w:r>
      <m:oMath>
        <m:r>
          <w:rPr>
            <w:rFonts w:ascii="Cambria Math" w:hAnsi="Cambria Math" w:cs="Arial"/>
            <w:color w:val="000000" w:themeColor="text1"/>
            <w:lang w:val="es-CO"/>
          </w:rPr>
          <m:t>m-1</m:t>
        </m:r>
      </m:oMath>
      <w:r w:rsidRPr="0013707D">
        <w:rPr>
          <w:rFonts w:ascii="Bookman Old Style" w:hAnsi="Bookman Old Style" w:cs="Arial"/>
          <w:i/>
          <w:color w:val="000000" w:themeColor="text1"/>
          <w:lang w:val="es-CO"/>
        </w:rPr>
        <w:t>.</w:t>
      </w:r>
    </w:p>
    <w:p w14:paraId="2B9FED81" w14:textId="77777777"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w:p>
    <w:p w14:paraId="316729CF" w14:textId="040D4AF2" w:rsidR="0006302B" w:rsidRPr="0013707D" w:rsidRDefault="0006302B" w:rsidP="0006302B">
      <w:pPr>
        <w:autoSpaceDE w:val="0"/>
        <w:autoSpaceDN w:val="0"/>
        <w:adjustRightInd w:val="0"/>
        <w:ind w:left="1701"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m:t>j:</m:t>
        </m:r>
      </m:oMath>
      <w:r w:rsidRPr="0013707D">
        <w:rPr>
          <w:rFonts w:ascii="Bookman Old Style" w:hAnsi="Bookman Old Style" w:cs="Arial"/>
          <w:color w:val="000000" w:themeColor="text1"/>
          <w:lang w:val="es-CO"/>
        </w:rPr>
        <w:t xml:space="preserve"> </w:t>
      </w:r>
      <w:r w:rsidRPr="0013707D">
        <w:rPr>
          <w:rFonts w:ascii="Bookman Old Style" w:hAnsi="Bookman Old Style" w:cs="Arial"/>
          <w:color w:val="000000" w:themeColor="text1"/>
          <w:lang w:val="es-CO"/>
        </w:rPr>
        <w:tab/>
      </w:r>
      <w:r w:rsidRPr="0013707D">
        <w:rPr>
          <w:rFonts w:ascii="Bookman Old Style" w:hAnsi="Bookman Old Style" w:cs="Arial"/>
          <w:color w:val="000000"/>
          <w:lang w:val="es-CO"/>
        </w:rPr>
        <w:t xml:space="preserve">Rango de consumo de conformidad a lo establecido </w:t>
      </w:r>
      <w:r w:rsidR="002671EF">
        <w:rPr>
          <w:rFonts w:ascii="Bookman Old Style" w:hAnsi="Bookman Old Style" w:cs="Arial"/>
          <w:color w:val="000000"/>
          <w:lang w:val="es-CO"/>
        </w:rPr>
        <w:t xml:space="preserve">en </w:t>
      </w:r>
      <w:r w:rsidR="002671EF">
        <w:rPr>
          <w:rFonts w:ascii="Bookman Old Style" w:hAnsi="Bookman Old Style" w:cs="Arial"/>
          <w:b/>
          <w:bCs/>
          <w:color w:val="000000" w:themeColor="text1"/>
          <w:lang w:val="es-CO"/>
        </w:rPr>
        <w:t>las r</w:t>
      </w:r>
      <w:r w:rsidR="002671EF" w:rsidRPr="00E85C40">
        <w:rPr>
          <w:rFonts w:ascii="Bookman Old Style" w:hAnsi="Bookman Old Style" w:cs="Arial"/>
          <w:b/>
          <w:bCs/>
          <w:color w:val="000000" w:themeColor="text1"/>
          <w:lang w:val="es-CO"/>
        </w:rPr>
        <w:t>esoluciones CREG 202 de 2013, 138 de 2014, 132 y 90 de 2018, y 011 de 2020</w:t>
      </w:r>
      <w:r w:rsidR="00FE3FA1">
        <w:rPr>
          <w:rFonts w:ascii="Bookman Old Style" w:hAnsi="Bookman Old Style" w:cs="Arial"/>
          <w:b/>
          <w:bCs/>
          <w:color w:val="000000" w:themeColor="text1"/>
          <w:lang w:val="es-CO"/>
        </w:rPr>
        <w:t>,</w:t>
      </w:r>
      <w:r w:rsidR="002671EF" w:rsidRPr="00413A02">
        <w:rPr>
          <w:rFonts w:ascii="Bookman Old Style" w:hAnsi="Bookman Old Style" w:cs="Arial"/>
          <w:color w:val="000000" w:themeColor="text1"/>
          <w:lang w:val="es-CO"/>
        </w:rPr>
        <w:t xml:space="preserve"> </w:t>
      </w:r>
      <w:r w:rsidRPr="0013707D">
        <w:rPr>
          <w:rFonts w:ascii="Bookman Old Style" w:hAnsi="Bookman Old Style" w:cs="Arial"/>
          <w:color w:val="000000"/>
          <w:lang w:val="es-CO"/>
        </w:rPr>
        <w:t>o aquella que la</w:t>
      </w:r>
      <w:r w:rsidR="00580570">
        <w:rPr>
          <w:rFonts w:ascii="Bookman Old Style" w:hAnsi="Bookman Old Style" w:cs="Arial"/>
          <w:color w:val="000000"/>
          <w:lang w:val="es-CO"/>
        </w:rPr>
        <w:t>s</w:t>
      </w:r>
      <w:r w:rsidRPr="0013707D">
        <w:rPr>
          <w:rFonts w:ascii="Bookman Old Style" w:hAnsi="Bookman Old Style" w:cs="Arial"/>
          <w:color w:val="000000"/>
          <w:lang w:val="es-CO"/>
        </w:rPr>
        <w:t xml:space="preserve"> modifique o sustituya</w:t>
      </w:r>
      <w:r w:rsidRPr="0013707D">
        <w:rPr>
          <w:rFonts w:ascii="Bookman Old Style" w:hAnsi="Bookman Old Style" w:cs="Arial"/>
          <w:color w:val="000000" w:themeColor="text1"/>
          <w:lang w:val="es-CO"/>
        </w:rPr>
        <w:t>.</w:t>
      </w:r>
    </w:p>
    <w:p w14:paraId="5DBBA9A9" w14:textId="77777777" w:rsidR="0006302B" w:rsidRPr="0013707D" w:rsidRDefault="0006302B" w:rsidP="0006302B">
      <w:pPr>
        <w:keepNext/>
        <w:rPr>
          <w:rFonts w:ascii="Bookman Old Style" w:hAnsi="Bookman Old Style" w:cs="Arial"/>
          <w:color w:val="000000" w:themeColor="text1"/>
          <w:lang w:val="es-CO" w:eastAsia="es-CO"/>
        </w:rPr>
      </w:pPr>
    </w:p>
    <w:p w14:paraId="5F4F986C" w14:textId="77777777" w:rsidR="0006302B" w:rsidRPr="0013707D" w:rsidRDefault="0006302B" w:rsidP="0006302B">
      <w:pPr>
        <w:keepNext/>
        <w:rPr>
          <w:rFonts w:ascii="Bookman Old Style" w:hAnsi="Bookman Old Style" w:cs="Arial"/>
          <w:color w:val="000000" w:themeColor="text1"/>
          <w:lang w:val="es-CO" w:eastAsia="es-CO"/>
        </w:rPr>
      </w:pPr>
    </w:p>
    <w:p w14:paraId="2BEE6F97" w14:textId="77777777" w:rsidR="003D0624" w:rsidRDefault="003D0624" w:rsidP="0006302B">
      <w:pPr>
        <w:pStyle w:val="Ttulo1"/>
        <w:ind w:left="0"/>
        <w:rPr>
          <w:rFonts w:ascii="Bookman Old Style" w:hAnsi="Bookman Old Style"/>
          <w:color w:val="000000" w:themeColor="text1"/>
        </w:rPr>
        <w:sectPr w:rsidR="003D0624" w:rsidSect="003D0624">
          <w:pgSz w:w="12247" w:h="18705" w:code="121"/>
          <w:pgMar w:top="2342" w:right="1185" w:bottom="1758" w:left="1701" w:header="709" w:footer="709" w:gutter="0"/>
          <w:cols w:space="708"/>
          <w:titlePg/>
          <w:docGrid w:linePitch="360"/>
        </w:sectPr>
      </w:pPr>
    </w:p>
    <w:p w14:paraId="19849709" w14:textId="685B2A61" w:rsidR="0006302B" w:rsidRPr="0013707D" w:rsidRDefault="0006302B" w:rsidP="0006302B">
      <w:pPr>
        <w:pStyle w:val="Ttulo1"/>
        <w:ind w:left="0"/>
        <w:rPr>
          <w:rFonts w:ascii="Bookman Old Style" w:hAnsi="Bookman Old Style"/>
          <w:color w:val="000000" w:themeColor="text1"/>
          <w:szCs w:val="24"/>
        </w:rPr>
      </w:pPr>
      <w:bookmarkStart w:id="138" w:name="_Ref451344482"/>
      <w:r w:rsidRPr="0013707D">
        <w:rPr>
          <w:rFonts w:ascii="Bookman Old Style" w:hAnsi="Bookman Old Style"/>
          <w:color w:val="000000" w:themeColor="text1"/>
        </w:rPr>
        <w:lastRenderedPageBreak/>
        <w:t xml:space="preserve">Anexo </w:t>
      </w:r>
      <w:r w:rsidRPr="0013707D">
        <w:rPr>
          <w:rFonts w:ascii="Bookman Old Style" w:hAnsi="Bookman Old Style"/>
          <w:color w:val="000000" w:themeColor="text1"/>
        </w:rPr>
        <w:fldChar w:fldCharType="begin"/>
      </w:r>
      <w:r w:rsidRPr="0013707D">
        <w:rPr>
          <w:rFonts w:ascii="Bookman Old Style" w:hAnsi="Bookman Old Style"/>
          <w:color w:val="000000" w:themeColor="text1"/>
        </w:rPr>
        <w:instrText xml:space="preserve"> SEQ Anexo \* ARABIC </w:instrText>
      </w:r>
      <w:r w:rsidRPr="0013707D">
        <w:rPr>
          <w:rFonts w:ascii="Bookman Old Style" w:hAnsi="Bookman Old Style"/>
          <w:color w:val="000000" w:themeColor="text1"/>
        </w:rPr>
        <w:fldChar w:fldCharType="separate"/>
      </w:r>
      <w:r w:rsidR="00636B6A">
        <w:rPr>
          <w:rFonts w:ascii="Bookman Old Style" w:hAnsi="Bookman Old Style"/>
          <w:noProof/>
          <w:color w:val="000000" w:themeColor="text1"/>
        </w:rPr>
        <w:t>3</w:t>
      </w:r>
      <w:r w:rsidRPr="0013707D">
        <w:rPr>
          <w:rFonts w:ascii="Bookman Old Style" w:hAnsi="Bookman Old Style"/>
          <w:color w:val="000000" w:themeColor="text1"/>
        </w:rPr>
        <w:fldChar w:fldCharType="end"/>
      </w:r>
      <w:bookmarkEnd w:id="138"/>
    </w:p>
    <w:p w14:paraId="0EA305A5" w14:textId="77777777" w:rsidR="0006302B" w:rsidRPr="0013707D" w:rsidRDefault="0006302B" w:rsidP="0006302B">
      <w:pPr>
        <w:ind w:left="0"/>
        <w:jc w:val="center"/>
        <w:rPr>
          <w:rFonts w:ascii="Bookman Old Style" w:hAnsi="Bookman Old Style"/>
          <w:b/>
          <w:lang w:val="es-CO"/>
        </w:rPr>
      </w:pPr>
      <w:r w:rsidRPr="0013707D">
        <w:rPr>
          <w:rFonts w:ascii="Bookman Old Style" w:hAnsi="Bookman Old Style"/>
          <w:b/>
          <w:lang w:val="es-CO"/>
        </w:rPr>
        <w:t>Actualización de precios</w:t>
      </w:r>
    </w:p>
    <w:p w14:paraId="1F1C4876" w14:textId="77777777" w:rsidR="0006302B" w:rsidRPr="0013707D" w:rsidRDefault="0006302B" w:rsidP="0006302B">
      <w:pPr>
        <w:rPr>
          <w:rFonts w:ascii="Bookman Old Style" w:hAnsi="Bookman Old Style"/>
          <w:lang w:val="es-CO"/>
        </w:rPr>
      </w:pPr>
    </w:p>
    <w:p w14:paraId="1B148F37" w14:textId="29C99099" w:rsidR="0006302B" w:rsidRPr="00472E28" w:rsidRDefault="0006302B" w:rsidP="0006302B">
      <w:pPr>
        <w:ind w:left="0"/>
        <w:jc w:val="both"/>
        <w:rPr>
          <w:rFonts w:ascii="Bookman Old Style" w:hAnsi="Bookman Old Style"/>
          <w:lang w:val="es-CO"/>
        </w:rPr>
      </w:pPr>
      <w:r w:rsidRPr="0013707D">
        <w:rPr>
          <w:rFonts w:ascii="Bookman Old Style" w:hAnsi="Bookman Old Style"/>
          <w:lang w:val="es-CO"/>
        </w:rPr>
        <w:t xml:space="preserve">Los precios pactados en los contratos de suministro bajo las modalidades </w:t>
      </w:r>
      <w:r w:rsidR="002D04D2">
        <w:rPr>
          <w:rFonts w:ascii="Bookman Old Style" w:hAnsi="Bookman Old Style"/>
          <w:b/>
          <w:bCs/>
          <w:lang w:val="es-CO"/>
        </w:rPr>
        <w:t xml:space="preserve">firme </w:t>
      </w:r>
      <w:r w:rsidRPr="00D66B65">
        <w:rPr>
          <w:rFonts w:ascii="Bookman Old Style" w:hAnsi="Bookman Old Style"/>
          <w:b/>
          <w:bCs/>
          <w:lang w:val="es-CO"/>
        </w:rPr>
        <w:t>CF80,</w:t>
      </w:r>
      <w:r>
        <w:rPr>
          <w:rFonts w:ascii="Bookman Old Style" w:hAnsi="Bookman Old Style"/>
          <w:lang w:val="es-CO"/>
        </w:rPr>
        <w:t xml:space="preserve"> </w:t>
      </w:r>
      <w:r w:rsidRPr="0013707D">
        <w:rPr>
          <w:rFonts w:ascii="Bookman Old Style" w:hAnsi="Bookman Old Style"/>
          <w:lang w:val="es-CO"/>
        </w:rPr>
        <w:t xml:space="preserve">firme CF95, de firmeza condicionada y </w:t>
      </w:r>
      <w:r w:rsidRPr="00472E28">
        <w:rPr>
          <w:rFonts w:ascii="Bookman Old Style" w:hAnsi="Bookman Old Style"/>
          <w:lang w:val="es-CO"/>
        </w:rPr>
        <w:t xml:space="preserve">de opción de compra de gas </w:t>
      </w:r>
      <w:r w:rsidRPr="00472E28">
        <w:rPr>
          <w:rFonts w:ascii="Bookman Old Style" w:hAnsi="Bookman Old Style"/>
          <w:b/>
          <w:bCs/>
          <w:lang w:val="es-CO"/>
        </w:rPr>
        <w:t>y opción de compra de gas contra exportaciones</w:t>
      </w:r>
      <w:r w:rsidRPr="00472E28">
        <w:rPr>
          <w:rFonts w:ascii="Bookman Old Style" w:hAnsi="Bookman Old Style"/>
          <w:lang w:val="es-CO"/>
        </w:rPr>
        <w:t xml:space="preserve">, se </w:t>
      </w:r>
      <w:r w:rsidR="00D81EA3" w:rsidRPr="00472E28">
        <w:rPr>
          <w:rFonts w:ascii="Bookman Old Style" w:hAnsi="Bookman Old Style"/>
          <w:b/>
          <w:bCs/>
          <w:lang w:val="es-CO"/>
        </w:rPr>
        <w:t xml:space="preserve">podrán </w:t>
      </w:r>
      <w:r w:rsidRPr="00472E28">
        <w:rPr>
          <w:rFonts w:ascii="Bookman Old Style" w:hAnsi="Bookman Old Style"/>
          <w:lang w:val="es-CO"/>
        </w:rPr>
        <w:t>actualizar al inicio de cada año</w:t>
      </w:r>
      <w:r w:rsidR="00733971" w:rsidRPr="00472E28">
        <w:rPr>
          <w:rFonts w:ascii="Bookman Old Style" w:hAnsi="Bookman Old Style"/>
          <w:lang w:val="es-CO"/>
        </w:rPr>
        <w:t xml:space="preserve"> </w:t>
      </w:r>
      <w:r w:rsidR="00733971" w:rsidRPr="00472E28">
        <w:rPr>
          <w:rFonts w:ascii="Bookman Old Style" w:hAnsi="Bookman Old Style"/>
          <w:b/>
          <w:bCs/>
          <w:lang w:val="es-CO"/>
        </w:rPr>
        <w:t>de</w:t>
      </w:r>
      <w:r w:rsidR="007834B7" w:rsidRPr="00472E28">
        <w:rPr>
          <w:rFonts w:ascii="Bookman Old Style" w:hAnsi="Bookman Old Style"/>
          <w:b/>
          <w:bCs/>
          <w:lang w:val="es-CO"/>
        </w:rPr>
        <w:t xml:space="preserve"> ejecución del</w:t>
      </w:r>
      <w:r w:rsidR="00733971" w:rsidRPr="00472E28">
        <w:rPr>
          <w:rFonts w:ascii="Bookman Old Style" w:hAnsi="Bookman Old Style"/>
          <w:b/>
          <w:bCs/>
          <w:lang w:val="es-CO"/>
        </w:rPr>
        <w:t xml:space="preserve"> contrato</w:t>
      </w:r>
      <w:r w:rsidRPr="00472E28">
        <w:rPr>
          <w:rFonts w:ascii="Bookman Old Style" w:hAnsi="Bookman Old Style"/>
          <w:lang w:val="es-CO"/>
        </w:rPr>
        <w:t xml:space="preserve"> </w:t>
      </w:r>
      <m:oMath>
        <m:sSub>
          <m:sSubPr>
            <m:ctrlPr>
              <w:rPr>
                <w:rFonts w:ascii="Cambria Math" w:hAnsi="Cambria Math"/>
                <w:i/>
                <w:lang w:val="es-CO"/>
              </w:rPr>
            </m:ctrlPr>
          </m:sSubPr>
          <m:e>
            <m:r>
              <w:rPr>
                <w:rFonts w:ascii="Cambria Math" w:hAnsi="Cambria Math"/>
                <w:lang w:val="es-CO"/>
              </w:rPr>
              <m:t>a</m:t>
            </m:r>
          </m:e>
          <m:sub>
            <m:r>
              <w:rPr>
                <w:rFonts w:ascii="Cambria Math" w:hAnsi="Cambria Math"/>
                <w:lang w:val="es-CO"/>
              </w:rPr>
              <m:t>i</m:t>
            </m:r>
          </m:sub>
        </m:sSub>
      </m:oMath>
      <w:r w:rsidR="002D04D2" w:rsidRPr="00472E28">
        <w:rPr>
          <w:rFonts w:ascii="Bookman Old Style" w:hAnsi="Bookman Old Style"/>
          <w:lang w:val="es-CO"/>
        </w:rPr>
        <w:t xml:space="preserve">, </w:t>
      </w:r>
      <w:r w:rsidRPr="00472E28">
        <w:rPr>
          <w:rFonts w:ascii="Bookman Old Style" w:hAnsi="Bookman Old Style"/>
          <w:lang w:val="es-CO"/>
        </w:rPr>
        <w:t>con base en la siguiente ecuaci</w:t>
      </w:r>
      <w:r w:rsidR="00134CAC" w:rsidRPr="00472E28">
        <w:rPr>
          <w:rFonts w:ascii="Bookman Old Style" w:hAnsi="Bookman Old Style"/>
          <w:lang w:val="es-CO"/>
        </w:rPr>
        <w:t>ón</w:t>
      </w:r>
      <w:r w:rsidRPr="00472E28">
        <w:rPr>
          <w:rFonts w:ascii="Bookman Old Style" w:hAnsi="Bookman Old Style"/>
          <w:lang w:val="es-CO"/>
        </w:rPr>
        <w:t>:</w:t>
      </w:r>
    </w:p>
    <w:p w14:paraId="56540A64" w14:textId="77777777" w:rsidR="0006302B" w:rsidRPr="00472E28" w:rsidRDefault="0006302B" w:rsidP="0006302B">
      <w:pPr>
        <w:rPr>
          <w:rFonts w:ascii="Bookman Old Style" w:hAnsi="Bookman Old Style" w:cs="Arial"/>
          <w:color w:val="000000" w:themeColor="text1"/>
          <w:lang w:val="es-CO"/>
        </w:rPr>
      </w:pPr>
    </w:p>
    <w:bookmarkStart w:id="139" w:name="OLE_LINK1"/>
    <w:p w14:paraId="27561A29" w14:textId="00890415" w:rsidR="0006302B" w:rsidRPr="00472E28" w:rsidRDefault="00FB7B28" w:rsidP="0006302B">
      <w:pPr>
        <w:rPr>
          <w:rFonts w:ascii="Bookman Old Style" w:hAnsi="Bookman Old Style" w:cs="Arial"/>
          <w:b/>
          <w:bCs/>
          <w:color w:val="000000" w:themeColor="text1"/>
          <w:lang w:val="es-CO"/>
        </w:rPr>
      </w:pPr>
      <m:oMathPara>
        <m:oMath>
          <m:sSub>
            <m:sSubPr>
              <m:ctrlPr>
                <w:rPr>
                  <w:rFonts w:ascii="Cambria Math" w:hAnsi="Cambria Math" w:cs="Arial"/>
                  <w:b/>
                  <w:bCs/>
                  <w:i/>
                  <w:color w:val="000000" w:themeColor="text1"/>
                  <w:lang w:val="es-CO"/>
                </w:rPr>
              </m:ctrlPr>
            </m:sSubPr>
            <m:e>
              <m:r>
                <m:rPr>
                  <m:sty m:val="bi"/>
                </m:rPr>
                <w:rPr>
                  <w:rFonts w:ascii="Cambria Math" w:hAnsi="Cambria Math" w:cs="Arial"/>
                  <w:color w:val="000000" w:themeColor="text1"/>
                  <w:lang w:val="es-CO"/>
                </w:rPr>
                <m:t>P</m:t>
              </m:r>
            </m:e>
            <m:sub>
              <m:sSub>
                <m:sSubPr>
                  <m:ctrlPr>
                    <w:rPr>
                      <w:rFonts w:ascii="Cambria Math" w:hAnsi="Cambria Math" w:cs="Arial"/>
                      <w:b/>
                      <w:bCs/>
                      <w:i/>
                      <w:color w:val="000000" w:themeColor="text1"/>
                      <w:lang w:val="es-CO"/>
                    </w:rPr>
                  </m:ctrlPr>
                </m:sSubPr>
                <m:e>
                  <m:r>
                    <m:rPr>
                      <m:sty m:val="bi"/>
                    </m:rPr>
                    <w:rPr>
                      <w:rFonts w:ascii="Cambria Math" w:hAnsi="Cambria Math" w:cs="Arial"/>
                      <w:color w:val="000000" w:themeColor="text1"/>
                      <w:lang w:val="es-CO"/>
                    </w:rPr>
                    <m:t>T</m:t>
                  </m:r>
                </m:e>
                <m:sub>
                  <m:r>
                    <m:rPr>
                      <m:sty m:val="bi"/>
                    </m:rPr>
                    <w:rPr>
                      <w:rFonts w:ascii="Cambria Math" w:hAnsi="Cambria Math" w:cs="Arial"/>
                      <w:color w:val="000000" w:themeColor="text1"/>
                      <w:lang w:val="es-CO"/>
                    </w:rPr>
                    <m:t>f,d,ai</m:t>
                  </m:r>
                </m:sub>
              </m:sSub>
            </m:sub>
          </m:sSub>
          <m:r>
            <m:rPr>
              <m:sty m:val="bi"/>
            </m:rPr>
            <w:rPr>
              <w:rFonts w:ascii="Cambria Math" w:hAnsi="Cambria Math" w:cs="Arial"/>
              <w:color w:val="000000" w:themeColor="text1"/>
              <w:lang w:val="es-CO"/>
            </w:rPr>
            <m:t>=</m:t>
          </m:r>
          <m:sSub>
            <m:sSubPr>
              <m:ctrlPr>
                <w:rPr>
                  <w:rFonts w:ascii="Cambria Math" w:hAnsi="Cambria Math" w:cs="Arial"/>
                  <w:b/>
                  <w:bCs/>
                  <w:i/>
                  <w:color w:val="000000" w:themeColor="text1"/>
                  <w:lang w:val="es-CO"/>
                </w:rPr>
              </m:ctrlPr>
            </m:sSubPr>
            <m:e>
              <m:r>
                <m:rPr>
                  <m:sty m:val="bi"/>
                </m:rPr>
                <w:rPr>
                  <w:rFonts w:ascii="Cambria Math" w:hAnsi="Cambria Math" w:cs="Arial"/>
                  <w:color w:val="000000" w:themeColor="text1"/>
                  <w:lang w:val="es-CO"/>
                </w:rPr>
                <m:t>P</m:t>
              </m:r>
            </m:e>
            <m:sub>
              <m:sSub>
                <m:sSubPr>
                  <m:ctrlPr>
                    <w:rPr>
                      <w:rFonts w:ascii="Cambria Math" w:hAnsi="Cambria Math" w:cs="Arial"/>
                      <w:b/>
                      <w:bCs/>
                      <w:i/>
                      <w:color w:val="000000" w:themeColor="text1"/>
                      <w:lang w:val="es-CO"/>
                    </w:rPr>
                  </m:ctrlPr>
                </m:sSubPr>
                <m:e>
                  <m:r>
                    <m:rPr>
                      <m:sty m:val="bi"/>
                    </m:rPr>
                    <w:rPr>
                      <w:rFonts w:ascii="Cambria Math" w:hAnsi="Cambria Math" w:cs="Arial"/>
                      <w:color w:val="000000" w:themeColor="text1"/>
                      <w:lang w:val="es-CO"/>
                    </w:rPr>
                    <m:t>T</m:t>
                  </m:r>
                </m:e>
                <m:sub>
                  <m:r>
                    <m:rPr>
                      <m:sty m:val="bi"/>
                    </m:rPr>
                    <w:rPr>
                      <w:rFonts w:ascii="Cambria Math" w:hAnsi="Cambria Math" w:cs="Arial"/>
                      <w:color w:val="000000" w:themeColor="text1"/>
                      <w:lang w:val="es-CO"/>
                    </w:rPr>
                    <m:t>f,d,ai-1</m:t>
                  </m:r>
                </m:sub>
              </m:sSub>
            </m:sub>
          </m:sSub>
          <m:r>
            <m:rPr>
              <m:sty m:val="bi"/>
            </m:rPr>
            <w:rPr>
              <w:rFonts w:ascii="Cambria Math" w:hAnsi="Cambria Math" w:cs="Arial"/>
              <w:color w:val="000000" w:themeColor="text1"/>
              <w:lang w:val="es-CO"/>
            </w:rPr>
            <m:t>×</m:t>
          </m:r>
          <m:d>
            <m:dPr>
              <m:begChr m:val="["/>
              <m:endChr m:val="]"/>
              <m:ctrlPr>
                <w:rPr>
                  <w:rFonts w:ascii="Cambria Math" w:hAnsi="Cambria Math" w:cs="Arial"/>
                  <w:b/>
                  <w:bCs/>
                  <w:i/>
                  <w:color w:val="000000" w:themeColor="text1"/>
                  <w:lang w:val="es-CO"/>
                </w:rPr>
              </m:ctrlPr>
            </m:dPr>
            <m:e>
              <m:d>
                <m:dPr>
                  <m:ctrlPr>
                    <w:rPr>
                      <w:rFonts w:ascii="Cambria Math" w:hAnsi="Cambria Math" w:cs="Arial"/>
                      <w:b/>
                      <w:bCs/>
                      <w:i/>
                      <w:iCs/>
                      <w:color w:val="000000" w:themeColor="text1"/>
                      <w:lang w:val="es-CO"/>
                    </w:rPr>
                  </m:ctrlPr>
                </m:dPr>
                <m:e>
                  <m:r>
                    <m:rPr>
                      <m:sty m:val="bi"/>
                    </m:rPr>
                    <w:rPr>
                      <w:rFonts w:ascii="Cambria Math" w:hAnsi="Cambria Math" w:cs="Arial"/>
                      <w:color w:val="000000" w:themeColor="text1"/>
                      <w:lang w:val="es-CO"/>
                    </w:rPr>
                    <m:t>β∙</m:t>
                  </m:r>
                  <m:f>
                    <m:fPr>
                      <m:ctrlPr>
                        <w:rPr>
                          <w:rFonts w:ascii="Cambria Math" w:hAnsi="Cambria Math" w:cs="Arial"/>
                          <w:b/>
                          <w:bCs/>
                          <w:i/>
                          <w:color w:val="000000" w:themeColor="text1"/>
                          <w:lang w:val="es-CO"/>
                        </w:rPr>
                      </m:ctrlPr>
                    </m:fPr>
                    <m:num>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P</m:t>
                          </m:r>
                        </m:e>
                        <m:sub>
                          <m:r>
                            <m:rPr>
                              <m:sty m:val="bi"/>
                            </m:rPr>
                            <w:rPr>
                              <w:rFonts w:ascii="Cambria Math" w:hAnsi="Cambria Math" w:cs="Arial"/>
                              <w:color w:val="000000" w:themeColor="text1"/>
                              <w:lang w:val="es-CO"/>
                            </w:rPr>
                            <m:t>ai-1</m:t>
                          </m:r>
                        </m:sub>
                        <m:sup>
                          <m:r>
                            <m:rPr>
                              <m:sty m:val="bi"/>
                            </m:rPr>
                            <w:rPr>
                              <w:rFonts w:ascii="Cambria Math" w:hAnsi="Cambria Math" w:cs="Arial"/>
                              <w:color w:val="000000" w:themeColor="text1"/>
                              <w:lang w:val="es-CO"/>
                            </w:rPr>
                            <m:t>W</m:t>
                          </m:r>
                        </m:sup>
                      </m:sSubSup>
                    </m:num>
                    <m:den>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P</m:t>
                          </m:r>
                        </m:e>
                        <m:sub>
                          <m:r>
                            <m:rPr>
                              <m:sty m:val="bi"/>
                            </m:rPr>
                            <w:rPr>
                              <w:rFonts w:ascii="Cambria Math" w:hAnsi="Cambria Math" w:cs="Arial"/>
                              <w:color w:val="000000" w:themeColor="text1"/>
                              <w:lang w:val="es-CO"/>
                            </w:rPr>
                            <m:t>ai-2</m:t>
                          </m:r>
                        </m:sub>
                        <m:sup>
                          <m:r>
                            <m:rPr>
                              <m:sty m:val="bi"/>
                            </m:rPr>
                            <w:rPr>
                              <w:rFonts w:ascii="Cambria Math" w:hAnsi="Cambria Math" w:cs="Arial"/>
                              <w:color w:val="000000" w:themeColor="text1"/>
                              <w:lang w:val="es-CO"/>
                            </w:rPr>
                            <m:t>W</m:t>
                          </m:r>
                        </m:sup>
                      </m:sSubSup>
                    </m:den>
                  </m:f>
                  <m:r>
                    <m:rPr>
                      <m:sty m:val="bi"/>
                    </m:rPr>
                    <w:rPr>
                      <w:rFonts w:ascii="Cambria Math" w:hAnsi="Cambria Math" w:cs="Arial"/>
                      <w:color w:val="000000" w:themeColor="text1"/>
                      <w:lang w:val="es-CO"/>
                    </w:rPr>
                    <m:t>+</m:t>
                  </m:r>
                  <m:d>
                    <m:dPr>
                      <m:ctrlPr>
                        <w:rPr>
                          <w:rFonts w:ascii="Cambria Math" w:hAnsi="Cambria Math" w:cs="Arial"/>
                          <w:b/>
                          <w:bCs/>
                          <w:i/>
                          <w:iCs/>
                          <w:color w:val="000000" w:themeColor="text1"/>
                          <w:lang w:val="es-CO"/>
                        </w:rPr>
                      </m:ctrlPr>
                    </m:dPr>
                    <m:e>
                      <m:r>
                        <m:rPr>
                          <m:sty m:val="bi"/>
                        </m:rPr>
                        <w:rPr>
                          <w:rFonts w:ascii="Cambria Math" w:hAnsi="Cambria Math" w:cs="Arial"/>
                          <w:color w:val="000000" w:themeColor="text1"/>
                          <w:lang w:val="es-CO"/>
                        </w:rPr>
                        <m:t>1-β</m:t>
                      </m:r>
                    </m:e>
                  </m:d>
                  <m:r>
                    <m:rPr>
                      <m:sty m:val="bi"/>
                    </m:rPr>
                    <w:rPr>
                      <w:rFonts w:ascii="Cambria Math" w:hAnsi="Cambria Math" w:cs="Arial"/>
                      <w:color w:val="000000" w:themeColor="text1"/>
                      <w:lang w:val="es-CO"/>
                    </w:rPr>
                    <m:t>∙</m:t>
                  </m:r>
                  <m:f>
                    <m:fPr>
                      <m:ctrlPr>
                        <w:rPr>
                          <w:rFonts w:ascii="Cambria Math" w:hAnsi="Cambria Math" w:cs="Arial"/>
                          <w:b/>
                          <w:bCs/>
                          <w:i/>
                          <w:iCs/>
                          <w:color w:val="000000" w:themeColor="text1"/>
                          <w:lang w:val="es-CO"/>
                        </w:rPr>
                      </m:ctrlPr>
                    </m:fPr>
                    <m:num>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I</m:t>
                          </m:r>
                        </m:e>
                        <m:sub>
                          <m:r>
                            <m:rPr>
                              <m:sty m:val="bi"/>
                            </m:rPr>
                            <w:rPr>
                              <w:rFonts w:ascii="Cambria Math" w:hAnsi="Cambria Math" w:cs="Arial"/>
                              <w:color w:val="000000" w:themeColor="text1"/>
                              <w:lang w:val="es-CO"/>
                            </w:rPr>
                            <m:t>ai-1</m:t>
                          </m:r>
                        </m:sub>
                        <m:sup>
                          <m:r>
                            <m:rPr>
                              <m:sty m:val="bi"/>
                            </m:rPr>
                            <w:rPr>
                              <w:rFonts w:ascii="Cambria Math" w:hAnsi="Cambria Math" w:cs="Arial"/>
                              <w:color w:val="000000" w:themeColor="text1"/>
                              <w:lang w:val="es-CO"/>
                            </w:rPr>
                            <m:t>S</m:t>
                          </m:r>
                        </m:sup>
                      </m:sSubSup>
                    </m:num>
                    <m:den>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I</m:t>
                          </m:r>
                        </m:e>
                        <m:sub>
                          <m:r>
                            <m:rPr>
                              <m:sty m:val="bi"/>
                            </m:rPr>
                            <w:rPr>
                              <w:rFonts w:ascii="Cambria Math" w:hAnsi="Cambria Math" w:cs="Arial"/>
                              <w:color w:val="000000" w:themeColor="text1"/>
                              <w:lang w:val="es-CO"/>
                            </w:rPr>
                            <m:t>ai-2</m:t>
                          </m:r>
                        </m:sub>
                        <m:sup>
                          <m:r>
                            <m:rPr>
                              <m:sty m:val="bi"/>
                            </m:rPr>
                            <w:rPr>
                              <w:rFonts w:ascii="Cambria Math" w:hAnsi="Cambria Math" w:cs="Arial"/>
                              <w:color w:val="000000" w:themeColor="text1"/>
                              <w:lang w:val="es-CO"/>
                            </w:rPr>
                            <m:t>S</m:t>
                          </m:r>
                        </m:sup>
                      </m:sSubSup>
                    </m:den>
                  </m:f>
                </m:e>
              </m:d>
            </m:e>
          </m:d>
        </m:oMath>
      </m:oMathPara>
    </w:p>
    <w:p w14:paraId="2D366412" w14:textId="77777777" w:rsidR="0006302B" w:rsidRPr="00472E28" w:rsidRDefault="0006302B" w:rsidP="0006302B">
      <w:pPr>
        <w:rPr>
          <w:rFonts w:ascii="Bookman Old Style" w:hAnsi="Bookman Old Style" w:cs="Arial"/>
          <w:color w:val="000000" w:themeColor="text1"/>
          <w:lang w:val="es-CO"/>
        </w:rPr>
      </w:pPr>
    </w:p>
    <w:p w14:paraId="0295F4F7" w14:textId="77777777" w:rsidR="0006302B" w:rsidRPr="00472E28" w:rsidRDefault="0006302B" w:rsidP="0006302B">
      <w:pPr>
        <w:ind w:left="1985" w:hanging="1134"/>
        <w:jc w:val="both"/>
        <w:rPr>
          <w:rFonts w:ascii="Bookman Old Style" w:hAnsi="Bookman Old Style" w:cs="Arial"/>
          <w:color w:val="000000" w:themeColor="text1"/>
          <w:lang w:val="es-CO"/>
        </w:rPr>
      </w:pPr>
      <w:r w:rsidRPr="00472E28">
        <w:rPr>
          <w:rFonts w:ascii="Bookman Old Style" w:hAnsi="Bookman Old Style" w:cs="Arial"/>
          <w:color w:val="000000" w:themeColor="text1"/>
          <w:lang w:val="es-CO"/>
        </w:rPr>
        <w:t>Donde:</w:t>
      </w:r>
    </w:p>
    <w:p w14:paraId="4DE35D01" w14:textId="77777777" w:rsidR="0006302B" w:rsidRPr="00472E28" w:rsidRDefault="0006302B" w:rsidP="0006302B">
      <w:pPr>
        <w:ind w:left="1985" w:hanging="1134"/>
        <w:jc w:val="both"/>
        <w:rPr>
          <w:rFonts w:ascii="Bookman Old Style" w:hAnsi="Bookman Old Style" w:cs="Arial"/>
          <w:color w:val="000000" w:themeColor="text1"/>
          <w:lang w:val="es-CO"/>
        </w:rPr>
      </w:pPr>
    </w:p>
    <w:p w14:paraId="2673CED3" w14:textId="0B360A2B" w:rsidR="0006302B" w:rsidRPr="00472E28" w:rsidRDefault="00FB7B28" w:rsidP="0006302B">
      <w:pPr>
        <w:ind w:left="1985" w:hanging="1134"/>
        <w:jc w:val="both"/>
        <w:rPr>
          <w:rFonts w:ascii="Bookman Old Style" w:hAnsi="Bookman Old Style" w:cs="Arial"/>
          <w:i/>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f,d,ai</m:t>
                </m:r>
              </m:sub>
            </m:sSub>
          </m:sub>
        </m:sSub>
      </m:oMath>
      <w:r w:rsidR="0006302B" w:rsidRPr="00472E28">
        <w:rPr>
          <w:rFonts w:ascii="Bookman Old Style" w:hAnsi="Bookman Old Style" w:cs="Arial"/>
          <w:color w:val="000000" w:themeColor="text1"/>
          <w:lang w:val="es-CO"/>
        </w:rPr>
        <w:t>:</w:t>
      </w:r>
      <w:r w:rsidR="0006302B" w:rsidRPr="00472E28">
        <w:rPr>
          <w:rFonts w:ascii="Bookman Old Style" w:hAnsi="Bookman Old Style" w:cs="Arial"/>
          <w:color w:val="000000" w:themeColor="text1"/>
          <w:lang w:val="es-CO"/>
        </w:rPr>
        <w:tab/>
        <w:t xml:space="preserve">Precio del gas natural contratado bajo la modalidad </w:t>
      </w:r>
      <m:oMath>
        <m:r>
          <w:rPr>
            <w:rFonts w:ascii="Cambria Math" w:hAnsi="Cambria Math" w:cs="Arial"/>
            <w:color w:val="000000" w:themeColor="text1"/>
            <w:lang w:val="es-CO"/>
          </w:rPr>
          <m:t>T</m:t>
        </m:r>
      </m:oMath>
      <w:r w:rsidR="0006302B" w:rsidRPr="00472E28">
        <w:rPr>
          <w:rFonts w:ascii="Bookman Old Style" w:hAnsi="Bookman Old Style" w:cs="Arial"/>
          <w:color w:val="000000" w:themeColor="text1"/>
          <w:lang w:val="es-CO"/>
        </w:rPr>
        <w:t xml:space="preserve">, de la fuente </w:t>
      </w:r>
      <m:oMath>
        <m:r>
          <w:rPr>
            <w:rFonts w:ascii="Cambria Math" w:hAnsi="Cambria Math" w:cs="Arial"/>
            <w:color w:val="000000" w:themeColor="text1"/>
            <w:lang w:val="es-CO"/>
          </w:rPr>
          <m:t>f</m:t>
        </m:r>
      </m:oMath>
      <w:r w:rsidR="0006302B" w:rsidRPr="00472E28">
        <w:rPr>
          <w:rFonts w:ascii="Bookman Old Style" w:hAnsi="Bookman Old Style" w:cs="Arial"/>
          <w:color w:val="000000" w:themeColor="text1"/>
          <w:lang w:val="es-CO"/>
        </w:rPr>
        <w:t xml:space="preserve">, con duración </w:t>
      </w:r>
      <m:oMath>
        <m:r>
          <w:rPr>
            <w:rFonts w:ascii="Cambria Math" w:hAnsi="Cambria Math" w:cs="Arial"/>
            <w:color w:val="000000" w:themeColor="text1"/>
            <w:lang w:val="es-CO"/>
          </w:rPr>
          <m:t>d</m:t>
        </m:r>
      </m:oMath>
      <w:r w:rsidR="0006302B" w:rsidRPr="00472E28">
        <w:rPr>
          <w:rFonts w:ascii="Bookman Old Style" w:hAnsi="Bookman Old Style" w:cs="Arial"/>
          <w:color w:val="000000" w:themeColor="text1"/>
          <w:lang w:val="es-CO"/>
        </w:rPr>
        <w:t>, aplicable durante el año</w:t>
      </w:r>
      <w:r w:rsidR="00733971" w:rsidRPr="00472E28">
        <w:rPr>
          <w:rFonts w:ascii="Bookman Old Style" w:hAnsi="Bookman Old Style" w:cs="Arial"/>
          <w:color w:val="000000" w:themeColor="text1"/>
          <w:lang w:val="es-CO"/>
        </w:rPr>
        <w:t xml:space="preserve"> </w:t>
      </w:r>
      <w:r w:rsidR="00733971" w:rsidRPr="00472E28">
        <w:rPr>
          <w:rFonts w:ascii="Bookman Old Style" w:hAnsi="Bookman Old Style" w:cs="Arial"/>
          <w:b/>
          <w:bCs/>
          <w:color w:val="000000" w:themeColor="text1"/>
          <w:lang w:val="es-CO"/>
        </w:rPr>
        <w:t>de</w:t>
      </w:r>
      <w:r w:rsidR="007834B7" w:rsidRPr="00472E28">
        <w:rPr>
          <w:rFonts w:ascii="Bookman Old Style" w:hAnsi="Bookman Old Style" w:cs="Arial"/>
          <w:b/>
          <w:bCs/>
          <w:color w:val="000000" w:themeColor="text1"/>
          <w:lang w:val="es-CO"/>
        </w:rPr>
        <w:t xml:space="preserve"> ejecución de</w:t>
      </w:r>
      <w:r w:rsidR="00733971" w:rsidRPr="00472E28">
        <w:rPr>
          <w:rFonts w:ascii="Bookman Old Style" w:hAnsi="Bookman Old Style" w:cs="Arial"/>
          <w:b/>
          <w:bCs/>
          <w:color w:val="000000" w:themeColor="text1"/>
          <w:lang w:val="es-CO"/>
        </w:rPr>
        <w:t>l contrato</w:t>
      </w:r>
      <w:r w:rsidR="0006302B" w:rsidRPr="00472E28">
        <w:rPr>
          <w:rFonts w:ascii="Bookman Old Style" w:hAnsi="Bookman Old Style" w:cs="Arial"/>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m:t>
            </m:r>
          </m:sub>
        </m:sSub>
      </m:oMath>
      <w:r w:rsidR="0006302B" w:rsidRPr="00472E28">
        <w:rPr>
          <w:rFonts w:ascii="Bookman Old Style" w:hAnsi="Bookman Old Style" w:cs="Arial"/>
          <w:color w:val="000000" w:themeColor="text1"/>
          <w:lang w:val="es-CO"/>
        </w:rPr>
        <w:t>. Este valor se expresará en dólares de los Estados Unidos de América por MBTU.</w:t>
      </w:r>
    </w:p>
    <w:p w14:paraId="43D24EDE" w14:textId="77777777" w:rsidR="0006302B" w:rsidRPr="00472E28" w:rsidRDefault="0006302B" w:rsidP="0006302B">
      <w:pPr>
        <w:ind w:left="1985" w:hanging="1134"/>
        <w:jc w:val="both"/>
        <w:rPr>
          <w:rFonts w:ascii="Bookman Old Style" w:hAnsi="Bookman Old Style" w:cs="Arial"/>
          <w:color w:val="000000" w:themeColor="text1"/>
          <w:lang w:val="es-CO"/>
        </w:rPr>
      </w:pPr>
    </w:p>
    <w:p w14:paraId="762868CC" w14:textId="39234F3B" w:rsidR="0006302B" w:rsidRPr="00472E28" w:rsidRDefault="00FB7B28" w:rsidP="0006302B">
      <w:pPr>
        <w:ind w:left="1985"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f,d,ai-1</m:t>
                </m:r>
              </m:sub>
            </m:sSub>
          </m:sub>
        </m:sSub>
      </m:oMath>
      <w:r w:rsidR="0006302B" w:rsidRPr="00472E28">
        <w:rPr>
          <w:rFonts w:ascii="Bookman Old Style" w:hAnsi="Bookman Old Style" w:cs="Arial"/>
          <w:i/>
          <w:color w:val="000000" w:themeColor="text1"/>
          <w:lang w:val="es-CO"/>
        </w:rPr>
        <w:t>:</w:t>
      </w:r>
      <w:r w:rsidR="0006302B" w:rsidRPr="00472E28">
        <w:rPr>
          <w:rFonts w:ascii="Bookman Old Style" w:hAnsi="Bookman Old Style" w:cs="Arial"/>
          <w:i/>
          <w:color w:val="000000" w:themeColor="text1"/>
          <w:lang w:val="es-CO"/>
        </w:rPr>
        <w:tab/>
      </w:r>
      <w:r w:rsidR="0006302B" w:rsidRPr="00472E28">
        <w:rPr>
          <w:rFonts w:ascii="Bookman Old Style" w:hAnsi="Bookman Old Style" w:cs="Arial"/>
          <w:color w:val="000000" w:themeColor="text1"/>
          <w:lang w:val="es-CO"/>
        </w:rPr>
        <w:t xml:space="preserve">Precio del gas natural contratado bajo la modalidad </w:t>
      </w:r>
      <m:oMath>
        <m:r>
          <w:rPr>
            <w:rFonts w:ascii="Cambria Math" w:hAnsi="Cambria Math" w:cs="Arial"/>
            <w:color w:val="000000" w:themeColor="text1"/>
            <w:lang w:val="es-CO"/>
          </w:rPr>
          <m:t>T</m:t>
        </m:r>
      </m:oMath>
      <w:r w:rsidR="0006302B" w:rsidRPr="00472E28">
        <w:rPr>
          <w:rFonts w:ascii="Bookman Old Style" w:hAnsi="Bookman Old Style" w:cs="Arial"/>
          <w:color w:val="000000" w:themeColor="text1"/>
          <w:lang w:val="es-CO"/>
        </w:rPr>
        <w:t xml:space="preserve">, de la fuente </w:t>
      </w:r>
      <m:oMath>
        <m:r>
          <w:rPr>
            <w:rFonts w:ascii="Cambria Math" w:hAnsi="Cambria Math" w:cs="Arial"/>
            <w:color w:val="000000" w:themeColor="text1"/>
            <w:lang w:val="es-CO"/>
          </w:rPr>
          <m:t>f</m:t>
        </m:r>
      </m:oMath>
      <w:r w:rsidR="0006302B" w:rsidRPr="00472E28">
        <w:rPr>
          <w:rFonts w:ascii="Bookman Old Style" w:hAnsi="Bookman Old Style" w:cs="Arial"/>
          <w:color w:val="000000" w:themeColor="text1"/>
          <w:lang w:val="es-CO"/>
        </w:rPr>
        <w:t xml:space="preserve">, con duración </w:t>
      </w:r>
      <m:oMath>
        <m:r>
          <w:rPr>
            <w:rFonts w:ascii="Cambria Math" w:hAnsi="Cambria Math" w:cs="Arial"/>
            <w:color w:val="000000" w:themeColor="text1"/>
            <w:lang w:val="es-CO"/>
          </w:rPr>
          <m:t>d</m:t>
        </m:r>
      </m:oMath>
      <w:r w:rsidR="0006302B" w:rsidRPr="00472E28">
        <w:rPr>
          <w:rFonts w:ascii="Bookman Old Style" w:hAnsi="Bookman Old Style" w:cs="Arial"/>
          <w:color w:val="000000" w:themeColor="text1"/>
          <w:lang w:val="es-CO"/>
        </w:rPr>
        <w:t>, aplicable durante el año</w:t>
      </w:r>
      <w:r w:rsidR="00733971" w:rsidRPr="00472E28">
        <w:rPr>
          <w:rFonts w:ascii="Bookman Old Style" w:hAnsi="Bookman Old Style" w:cs="Arial"/>
          <w:color w:val="000000" w:themeColor="text1"/>
          <w:lang w:val="es-CO"/>
        </w:rPr>
        <w:t xml:space="preserve"> </w:t>
      </w:r>
      <w:r w:rsidR="00733971" w:rsidRPr="00472E28">
        <w:rPr>
          <w:rFonts w:ascii="Bookman Old Style" w:hAnsi="Bookman Old Style" w:cs="Arial"/>
          <w:b/>
          <w:bCs/>
          <w:color w:val="000000" w:themeColor="text1"/>
          <w:lang w:val="es-CO"/>
        </w:rPr>
        <w:t>de</w:t>
      </w:r>
      <w:r w:rsidR="007834B7" w:rsidRPr="00472E28">
        <w:rPr>
          <w:rFonts w:ascii="Bookman Old Style" w:hAnsi="Bookman Old Style" w:cs="Arial"/>
          <w:b/>
          <w:bCs/>
          <w:color w:val="000000" w:themeColor="text1"/>
          <w:lang w:val="es-CO"/>
        </w:rPr>
        <w:t xml:space="preserve"> ejecución de</w:t>
      </w:r>
      <w:r w:rsidR="00733971" w:rsidRPr="00472E28">
        <w:rPr>
          <w:rFonts w:ascii="Bookman Old Style" w:hAnsi="Bookman Old Style" w:cs="Arial"/>
          <w:b/>
          <w:bCs/>
          <w:color w:val="000000" w:themeColor="text1"/>
          <w:lang w:val="es-CO"/>
        </w:rPr>
        <w:t>l contrato</w:t>
      </w:r>
      <w:r w:rsidR="0006302B" w:rsidRPr="00472E28">
        <w:rPr>
          <w:rFonts w:ascii="Bookman Old Style" w:hAnsi="Bookman Old Style" w:cs="Arial"/>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i-1</m:t>
            </m:r>
          </m:sub>
        </m:sSub>
      </m:oMath>
      <w:r w:rsidR="0006302B" w:rsidRPr="00472E28">
        <w:rPr>
          <w:rFonts w:ascii="Bookman Old Style" w:hAnsi="Bookman Old Style" w:cs="Arial"/>
          <w:color w:val="000000" w:themeColor="text1"/>
          <w:lang w:val="es-CO"/>
        </w:rPr>
        <w:t>. Este valor se expresará en dólares de los Estados Unidos de América por MBTU.</w:t>
      </w:r>
    </w:p>
    <w:p w14:paraId="07494543" w14:textId="77777777" w:rsidR="0006302B" w:rsidRPr="00472E28" w:rsidRDefault="0006302B" w:rsidP="0006302B">
      <w:pPr>
        <w:ind w:left="1985" w:hanging="1134"/>
        <w:jc w:val="both"/>
        <w:rPr>
          <w:rFonts w:ascii="Bookman Old Style" w:hAnsi="Bookman Old Style" w:cs="Arial"/>
          <w:i/>
          <w:color w:val="000000" w:themeColor="text1"/>
          <w:lang w:val="es-CO"/>
        </w:rPr>
      </w:pPr>
    </w:p>
    <w:p w14:paraId="1FC7F6E3" w14:textId="5DCF9E45" w:rsidR="0006302B" w:rsidRPr="00472E28" w:rsidRDefault="00FB7B28" w:rsidP="0006302B">
      <w:pPr>
        <w:ind w:left="1985" w:hanging="1134"/>
        <w:jc w:val="both"/>
        <w:rPr>
          <w:rFonts w:ascii="Bookman Old Style" w:hAnsi="Bookman Old Style" w:cs="Arial"/>
          <w:color w:val="000000" w:themeColor="text1"/>
          <w:lang w:val="es-CO"/>
        </w:rPr>
      </w:pPr>
      <m:oMath>
        <m:sSubSup>
          <m:sSubSupPr>
            <m:ctrlPr>
              <w:rPr>
                <w:rFonts w:ascii="Cambria Math" w:hAnsi="Cambria Math" w:cs="Arial"/>
                <w:i/>
                <w:iCs/>
                <w:color w:val="000000" w:themeColor="text1"/>
                <w:lang w:val="es-CO"/>
              </w:rPr>
            </m:ctrlPr>
          </m:sSubSupPr>
          <m:e>
            <m:r>
              <w:rPr>
                <w:rFonts w:ascii="Cambria Math" w:hAnsi="Cambria Math" w:cs="Arial"/>
                <w:color w:val="000000" w:themeColor="text1"/>
                <w:lang w:val="es-CO"/>
              </w:rPr>
              <m:t>P</m:t>
            </m:r>
          </m:e>
          <m:sub>
            <m:r>
              <w:rPr>
                <w:rFonts w:ascii="Cambria Math" w:hAnsi="Cambria Math" w:cs="Arial"/>
                <w:color w:val="000000" w:themeColor="text1"/>
                <w:lang w:val="es-CO"/>
              </w:rPr>
              <m:t>ai-1</m:t>
            </m:r>
          </m:sub>
          <m:sup>
            <m:r>
              <w:rPr>
                <w:rFonts w:ascii="Cambria Math" w:hAnsi="Cambria Math" w:cs="Arial"/>
                <w:color w:val="000000" w:themeColor="text1"/>
                <w:lang w:val="es-CO"/>
              </w:rPr>
              <m:t>W</m:t>
            </m:r>
          </m:sup>
        </m:sSubSup>
        <m:r>
          <w:rPr>
            <w:rFonts w:ascii="Cambria Math" w:hAnsi="Cambria Math" w:cs="Arial"/>
            <w:color w:val="000000" w:themeColor="text1"/>
            <w:lang w:val="es-CO"/>
          </w:rPr>
          <m:t>:</m:t>
        </m:r>
      </m:oMath>
      <w:r w:rsidR="0006302B" w:rsidRPr="00472E28">
        <w:rPr>
          <w:rFonts w:ascii="Bookman Old Style" w:hAnsi="Bookman Old Style" w:cs="Arial"/>
          <w:color w:val="000000" w:themeColor="text1"/>
          <w:lang w:val="es-CO"/>
        </w:rPr>
        <w:tab/>
        <w:t xml:space="preserve">Promedio aritmético de precios diarios de cierre del marcador </w:t>
      </w:r>
      <w:r w:rsidR="0006302B" w:rsidRPr="00472E28">
        <w:rPr>
          <w:rFonts w:ascii="Bookman Old Style" w:hAnsi="Bookman Old Style" w:cs="Arial"/>
          <w:i/>
          <w:color w:val="000000" w:themeColor="text1"/>
          <w:lang w:val="es-CO"/>
        </w:rPr>
        <w:t xml:space="preserve">West Texas </w:t>
      </w:r>
      <w:proofErr w:type="spellStart"/>
      <w:r w:rsidR="0006302B" w:rsidRPr="00472E28">
        <w:rPr>
          <w:rFonts w:ascii="Bookman Old Style" w:hAnsi="Bookman Old Style" w:cs="Arial"/>
          <w:i/>
          <w:color w:val="000000" w:themeColor="text1"/>
          <w:lang w:val="es-CO"/>
        </w:rPr>
        <w:t>Intermediate</w:t>
      </w:r>
      <w:proofErr w:type="spellEnd"/>
      <w:r w:rsidR="0006302B" w:rsidRPr="00472E28">
        <w:rPr>
          <w:rFonts w:ascii="Bookman Old Style" w:hAnsi="Bookman Old Style" w:cs="Arial"/>
          <w:color w:val="000000" w:themeColor="text1"/>
          <w:lang w:val="es-CO"/>
        </w:rPr>
        <w:t xml:space="preserve"> (WTI), </w:t>
      </w:r>
      <w:r w:rsidR="0006302B" w:rsidRPr="00472E28">
        <w:rPr>
          <w:rFonts w:ascii="Bookman Old Style" w:hAnsi="Bookman Old Style" w:cs="Arial"/>
          <w:i/>
          <w:color w:val="000000" w:themeColor="text1"/>
          <w:lang w:val="es-CO"/>
        </w:rPr>
        <w:t xml:space="preserve">spot </w:t>
      </w:r>
      <w:proofErr w:type="spellStart"/>
      <w:r w:rsidR="0006302B" w:rsidRPr="00472E28">
        <w:rPr>
          <w:rFonts w:ascii="Bookman Old Style" w:hAnsi="Bookman Old Style" w:cs="Arial"/>
          <w:i/>
          <w:color w:val="000000" w:themeColor="text1"/>
          <w:lang w:val="es-CO"/>
        </w:rPr>
        <w:t>prices</w:t>
      </w:r>
      <w:proofErr w:type="spellEnd"/>
      <w:r w:rsidR="0006302B" w:rsidRPr="00472E28">
        <w:rPr>
          <w:rFonts w:ascii="Bookman Old Style" w:hAnsi="Bookman Old Style" w:cs="Arial"/>
          <w:color w:val="000000" w:themeColor="text1"/>
          <w:lang w:val="es-CO"/>
        </w:rPr>
        <w:t>, según la serie publicada por el Departamento de Energía de Estados Unidos (</w:t>
      </w:r>
      <w:r w:rsidR="0006302B" w:rsidRPr="00472E28">
        <w:rPr>
          <w:rFonts w:ascii="Bookman Old Style" w:hAnsi="Bookman Old Style" w:cs="Arial"/>
          <w:i/>
          <w:color w:val="000000" w:themeColor="text1"/>
          <w:lang w:val="es-CO"/>
        </w:rPr>
        <w:t xml:space="preserve">Energy </w:t>
      </w:r>
      <w:proofErr w:type="spellStart"/>
      <w:r w:rsidR="0006302B" w:rsidRPr="00472E28">
        <w:rPr>
          <w:rFonts w:ascii="Bookman Old Style" w:hAnsi="Bookman Old Style" w:cs="Arial"/>
          <w:i/>
          <w:color w:val="000000" w:themeColor="text1"/>
          <w:lang w:val="es-CO"/>
        </w:rPr>
        <w:t>Information</w:t>
      </w:r>
      <w:proofErr w:type="spellEnd"/>
      <w:r w:rsidR="0006302B" w:rsidRPr="00472E28">
        <w:rPr>
          <w:rFonts w:ascii="Bookman Old Style" w:hAnsi="Bookman Old Style" w:cs="Arial"/>
          <w:i/>
          <w:color w:val="000000" w:themeColor="text1"/>
          <w:lang w:val="es-CO"/>
        </w:rPr>
        <w:t xml:space="preserve"> </w:t>
      </w:r>
      <w:proofErr w:type="spellStart"/>
      <w:r w:rsidR="0006302B" w:rsidRPr="00472E28">
        <w:rPr>
          <w:rFonts w:ascii="Bookman Old Style" w:hAnsi="Bookman Old Style" w:cs="Arial"/>
          <w:i/>
          <w:color w:val="000000" w:themeColor="text1"/>
          <w:lang w:val="es-CO"/>
        </w:rPr>
        <w:t>Administration</w:t>
      </w:r>
      <w:proofErr w:type="spellEnd"/>
      <w:r w:rsidR="0006302B" w:rsidRPr="00472E28">
        <w:rPr>
          <w:rFonts w:ascii="Bookman Old Style" w:hAnsi="Bookman Old Style" w:cs="Arial"/>
          <w:color w:val="000000" w:themeColor="text1"/>
          <w:lang w:val="es-CO"/>
        </w:rPr>
        <w:t>), para el año</w:t>
      </w:r>
      <w:r w:rsidR="00733971" w:rsidRPr="00472E28">
        <w:rPr>
          <w:rFonts w:ascii="Bookman Old Style" w:hAnsi="Bookman Old Style" w:cs="Arial"/>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i-1</m:t>
            </m:r>
          </m:sub>
        </m:sSub>
      </m:oMath>
      <w:r w:rsidR="0006302B" w:rsidRPr="00472E28">
        <w:rPr>
          <w:rFonts w:ascii="Bookman Old Style" w:hAnsi="Bookman Old Style" w:cs="Arial"/>
          <w:color w:val="000000" w:themeColor="text1"/>
          <w:lang w:val="es-CO"/>
        </w:rPr>
        <w:t>. Los días a considerarse serán aquellos en los que haya negociación de WTI y la correspondiente publicación. Este valor se expresará en dólares de los Estados Unidos de América por barril.</w:t>
      </w:r>
    </w:p>
    <w:p w14:paraId="55572D64" w14:textId="77777777" w:rsidR="0006302B" w:rsidRPr="00472E28" w:rsidRDefault="0006302B" w:rsidP="0006302B">
      <w:pPr>
        <w:ind w:left="1985" w:hanging="1134"/>
        <w:jc w:val="both"/>
        <w:rPr>
          <w:rFonts w:ascii="Bookman Old Style" w:hAnsi="Bookman Old Style" w:cs="Arial"/>
          <w:color w:val="000000" w:themeColor="text1"/>
          <w:lang w:val="es-CO"/>
        </w:rPr>
      </w:pPr>
    </w:p>
    <w:p w14:paraId="0C7547BF" w14:textId="622D467F" w:rsidR="0006302B" w:rsidRPr="00472E28" w:rsidRDefault="00FB7B28" w:rsidP="0006302B">
      <w:pPr>
        <w:ind w:left="1985" w:hanging="1134"/>
        <w:jc w:val="both"/>
        <w:rPr>
          <w:rFonts w:ascii="Bookman Old Style" w:hAnsi="Bookman Old Style" w:cs="Arial"/>
          <w:color w:val="000000" w:themeColor="text1"/>
          <w:lang w:val="es-CO"/>
        </w:rPr>
      </w:pPr>
      <m:oMath>
        <m:sSubSup>
          <m:sSubSupPr>
            <m:ctrlPr>
              <w:rPr>
                <w:rFonts w:ascii="Cambria Math" w:hAnsi="Cambria Math" w:cs="Arial"/>
                <w:i/>
                <w:iCs/>
                <w:color w:val="000000" w:themeColor="text1"/>
                <w:lang w:val="es-CO"/>
              </w:rPr>
            </m:ctrlPr>
          </m:sSubSupPr>
          <m:e>
            <m:r>
              <w:rPr>
                <w:rFonts w:ascii="Cambria Math" w:hAnsi="Cambria Math" w:cs="Arial"/>
                <w:color w:val="000000" w:themeColor="text1"/>
                <w:lang w:val="es-CO"/>
              </w:rPr>
              <m:t>P</m:t>
            </m:r>
          </m:e>
          <m:sub>
            <m:r>
              <w:rPr>
                <w:rFonts w:ascii="Cambria Math" w:hAnsi="Cambria Math" w:cs="Arial"/>
                <w:color w:val="000000" w:themeColor="text1"/>
                <w:lang w:val="es-CO"/>
              </w:rPr>
              <m:t>ai-2</m:t>
            </m:r>
          </m:sub>
          <m:sup>
            <m:r>
              <w:rPr>
                <w:rFonts w:ascii="Cambria Math" w:hAnsi="Cambria Math" w:cs="Arial"/>
                <w:color w:val="000000" w:themeColor="text1"/>
                <w:lang w:val="es-CO"/>
              </w:rPr>
              <m:t>W</m:t>
            </m:r>
          </m:sup>
        </m:sSubSup>
        <m:r>
          <w:rPr>
            <w:rFonts w:ascii="Cambria Math" w:hAnsi="Cambria Math" w:cs="Arial"/>
            <w:color w:val="000000" w:themeColor="text1"/>
            <w:lang w:val="es-CO"/>
          </w:rPr>
          <m:t>:</m:t>
        </m:r>
      </m:oMath>
      <w:r w:rsidR="0006302B" w:rsidRPr="00472E28">
        <w:rPr>
          <w:rFonts w:ascii="Bookman Old Style" w:hAnsi="Bookman Old Style" w:cs="Arial"/>
          <w:color w:val="000000" w:themeColor="text1"/>
          <w:lang w:val="es-CO"/>
        </w:rPr>
        <w:tab/>
        <w:t xml:space="preserve">Promedio aritmético de precios diarios de cierre del marcador </w:t>
      </w:r>
      <w:r w:rsidR="0006302B" w:rsidRPr="00472E28">
        <w:rPr>
          <w:rFonts w:ascii="Bookman Old Style" w:hAnsi="Bookman Old Style" w:cs="Arial"/>
          <w:i/>
          <w:color w:val="000000" w:themeColor="text1"/>
          <w:lang w:val="es-CO"/>
        </w:rPr>
        <w:t xml:space="preserve">West Texas </w:t>
      </w:r>
      <w:proofErr w:type="spellStart"/>
      <w:r w:rsidR="0006302B" w:rsidRPr="00472E28">
        <w:rPr>
          <w:rFonts w:ascii="Bookman Old Style" w:hAnsi="Bookman Old Style" w:cs="Arial"/>
          <w:i/>
          <w:color w:val="000000" w:themeColor="text1"/>
          <w:lang w:val="es-CO"/>
        </w:rPr>
        <w:t>Intermediate</w:t>
      </w:r>
      <w:proofErr w:type="spellEnd"/>
      <w:r w:rsidR="0006302B" w:rsidRPr="00472E28">
        <w:rPr>
          <w:rFonts w:ascii="Bookman Old Style" w:hAnsi="Bookman Old Style" w:cs="Arial"/>
          <w:color w:val="000000" w:themeColor="text1"/>
          <w:lang w:val="es-CO"/>
        </w:rPr>
        <w:t xml:space="preserve"> (WTI), </w:t>
      </w:r>
      <w:r w:rsidR="0006302B" w:rsidRPr="00472E28">
        <w:rPr>
          <w:rFonts w:ascii="Bookman Old Style" w:hAnsi="Bookman Old Style" w:cs="Arial"/>
          <w:i/>
          <w:color w:val="000000" w:themeColor="text1"/>
          <w:lang w:val="es-CO"/>
        </w:rPr>
        <w:t xml:space="preserve">spot </w:t>
      </w:r>
      <w:proofErr w:type="spellStart"/>
      <w:r w:rsidR="0006302B" w:rsidRPr="00472E28">
        <w:rPr>
          <w:rFonts w:ascii="Bookman Old Style" w:hAnsi="Bookman Old Style" w:cs="Arial"/>
          <w:i/>
          <w:color w:val="000000" w:themeColor="text1"/>
          <w:lang w:val="es-CO"/>
        </w:rPr>
        <w:t>prices</w:t>
      </w:r>
      <w:proofErr w:type="spellEnd"/>
      <w:r w:rsidR="0006302B" w:rsidRPr="00472E28">
        <w:rPr>
          <w:rFonts w:ascii="Bookman Old Style" w:hAnsi="Bookman Old Style" w:cs="Arial"/>
          <w:color w:val="000000" w:themeColor="text1"/>
          <w:lang w:val="es-CO"/>
        </w:rPr>
        <w:t>, según la serie publicada por el Departamento de Energía de Estados Unidos (</w:t>
      </w:r>
      <w:r w:rsidR="0006302B" w:rsidRPr="00472E28">
        <w:rPr>
          <w:rFonts w:ascii="Bookman Old Style" w:hAnsi="Bookman Old Style" w:cs="Arial"/>
          <w:i/>
          <w:color w:val="000000" w:themeColor="text1"/>
          <w:lang w:val="es-CO"/>
        </w:rPr>
        <w:t xml:space="preserve">Energy </w:t>
      </w:r>
      <w:proofErr w:type="spellStart"/>
      <w:r w:rsidR="0006302B" w:rsidRPr="00472E28">
        <w:rPr>
          <w:rFonts w:ascii="Bookman Old Style" w:hAnsi="Bookman Old Style" w:cs="Arial"/>
          <w:i/>
          <w:color w:val="000000" w:themeColor="text1"/>
          <w:lang w:val="es-CO"/>
        </w:rPr>
        <w:t>Information</w:t>
      </w:r>
      <w:proofErr w:type="spellEnd"/>
      <w:r w:rsidR="0006302B" w:rsidRPr="00472E28">
        <w:rPr>
          <w:rFonts w:ascii="Bookman Old Style" w:hAnsi="Bookman Old Style" w:cs="Arial"/>
          <w:i/>
          <w:color w:val="000000" w:themeColor="text1"/>
          <w:lang w:val="es-CO"/>
        </w:rPr>
        <w:t xml:space="preserve"> </w:t>
      </w:r>
      <w:proofErr w:type="spellStart"/>
      <w:r w:rsidR="0006302B" w:rsidRPr="00472E28">
        <w:rPr>
          <w:rFonts w:ascii="Bookman Old Style" w:hAnsi="Bookman Old Style" w:cs="Arial"/>
          <w:i/>
          <w:color w:val="000000" w:themeColor="text1"/>
          <w:lang w:val="es-CO"/>
        </w:rPr>
        <w:t>Administration</w:t>
      </w:r>
      <w:proofErr w:type="spellEnd"/>
      <w:r w:rsidR="0006302B" w:rsidRPr="00472E28">
        <w:rPr>
          <w:rFonts w:ascii="Bookman Old Style" w:hAnsi="Bookman Old Style" w:cs="Arial"/>
          <w:color w:val="000000" w:themeColor="text1"/>
          <w:lang w:val="es-CO"/>
        </w:rPr>
        <w:t>), para el año</w:t>
      </w:r>
      <w:r w:rsidR="00733971" w:rsidRPr="00472E28">
        <w:rPr>
          <w:rFonts w:ascii="Bookman Old Style" w:hAnsi="Bookman Old Style" w:cs="Arial"/>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i-2</m:t>
            </m:r>
          </m:sub>
        </m:sSub>
      </m:oMath>
      <w:r w:rsidR="0006302B" w:rsidRPr="00472E28">
        <w:rPr>
          <w:rFonts w:ascii="Bookman Old Style" w:hAnsi="Bookman Old Style" w:cs="Arial"/>
          <w:color w:val="000000" w:themeColor="text1"/>
          <w:lang w:val="es-CO"/>
        </w:rPr>
        <w:t>. Los días a considerarse serán aquellos en los que haya negociación de WTI y la correspondiente publicación. Este valor se expresará en dólares de los Estados Unidos de América por barril.</w:t>
      </w:r>
    </w:p>
    <w:p w14:paraId="0A4E2BE1" w14:textId="77777777" w:rsidR="0006302B" w:rsidRPr="00472E28" w:rsidRDefault="0006302B" w:rsidP="0006302B">
      <w:pPr>
        <w:ind w:left="1985" w:hanging="1134"/>
        <w:jc w:val="both"/>
        <w:rPr>
          <w:rFonts w:ascii="Bookman Old Style" w:hAnsi="Bookman Old Style" w:cs="Arial"/>
          <w:color w:val="000000" w:themeColor="text1"/>
          <w:lang w:val="es-CO"/>
        </w:rPr>
      </w:pPr>
    </w:p>
    <w:p w14:paraId="73F600C5" w14:textId="3EBEFF04" w:rsidR="0006302B" w:rsidRPr="00472E28" w:rsidRDefault="00FB7B28" w:rsidP="0006302B">
      <w:pPr>
        <w:ind w:left="1985" w:hanging="1134"/>
        <w:jc w:val="both"/>
        <w:rPr>
          <w:rFonts w:ascii="Bookman Old Style" w:hAnsi="Bookman Old Style" w:cs="Arial"/>
          <w:color w:val="000000" w:themeColor="text1"/>
          <w:lang w:val="es-CO"/>
        </w:rPr>
      </w:pPr>
      <m:oMath>
        <m:sSubSup>
          <m:sSubSupPr>
            <m:ctrlPr>
              <w:rPr>
                <w:rFonts w:ascii="Cambria Math" w:hAnsi="Cambria Math" w:cs="Arial"/>
                <w:i/>
                <w:iCs/>
                <w:color w:val="000000" w:themeColor="text1"/>
                <w:lang w:val="es-CO"/>
              </w:rPr>
            </m:ctrlPr>
          </m:sSubSupPr>
          <m:e>
            <m:r>
              <w:rPr>
                <w:rFonts w:ascii="Cambria Math" w:hAnsi="Cambria Math" w:cs="Arial"/>
                <w:color w:val="000000" w:themeColor="text1"/>
                <w:lang w:val="es-CO"/>
              </w:rPr>
              <m:t>I</m:t>
            </m:r>
          </m:e>
          <m:sub>
            <m:r>
              <w:rPr>
                <w:rFonts w:ascii="Cambria Math" w:hAnsi="Cambria Math" w:cs="Arial"/>
                <w:color w:val="000000" w:themeColor="text1"/>
                <w:lang w:val="es-CO"/>
              </w:rPr>
              <m:t>ai-1</m:t>
            </m:r>
          </m:sub>
          <m:sup>
            <m:r>
              <w:rPr>
                <w:rFonts w:ascii="Cambria Math" w:hAnsi="Cambria Math" w:cs="Arial"/>
                <w:color w:val="000000" w:themeColor="text1"/>
                <w:lang w:val="es-CO"/>
              </w:rPr>
              <m:t>S</m:t>
            </m:r>
          </m:sup>
        </m:sSubSup>
        <m:r>
          <w:rPr>
            <w:rFonts w:ascii="Cambria Math" w:hAnsi="Cambria Math" w:cs="Arial"/>
            <w:color w:val="000000" w:themeColor="text1"/>
            <w:lang w:val="es-CO"/>
          </w:rPr>
          <m:t>:</m:t>
        </m:r>
      </m:oMath>
      <w:r w:rsidR="0006302B" w:rsidRPr="00472E28">
        <w:rPr>
          <w:rFonts w:ascii="Bookman Old Style" w:hAnsi="Bookman Old Style" w:cs="Arial"/>
          <w:color w:val="000000" w:themeColor="text1"/>
          <w:lang w:val="es-CO"/>
        </w:rPr>
        <w:tab/>
        <w:t xml:space="preserve">Corresponde al índice de precios al Productor de los Estados Unidos de América, </w:t>
      </w:r>
      <w:proofErr w:type="spellStart"/>
      <w:r w:rsidR="00520B3D" w:rsidRPr="00295053">
        <w:rPr>
          <w:rFonts w:ascii="Bookman Old Style" w:hAnsi="Bookman Old Style" w:cs="Arial"/>
          <w:b/>
          <w:bCs/>
          <w:color w:val="000000" w:themeColor="text1"/>
          <w:lang w:val="es-CO"/>
        </w:rPr>
        <w:t>Item</w:t>
      </w:r>
      <w:proofErr w:type="spellEnd"/>
      <w:r w:rsidR="00520B3D" w:rsidRPr="00295053">
        <w:rPr>
          <w:rFonts w:ascii="Bookman Old Style" w:hAnsi="Bookman Old Style" w:cs="Arial"/>
          <w:b/>
          <w:bCs/>
          <w:color w:val="000000" w:themeColor="text1"/>
          <w:lang w:val="es-CO"/>
        </w:rPr>
        <w:t>:</w:t>
      </w:r>
      <w:r w:rsidR="00520B3D">
        <w:rPr>
          <w:rFonts w:ascii="Bookman Old Style" w:hAnsi="Bookman Old Style" w:cs="Arial"/>
          <w:b/>
          <w:bCs/>
          <w:color w:val="000000" w:themeColor="text1"/>
          <w:lang w:val="es-CO"/>
        </w:rPr>
        <w:t xml:space="preserve"> </w:t>
      </w:r>
      <w:proofErr w:type="spellStart"/>
      <w:r w:rsidR="00520B3D" w:rsidRPr="00295053">
        <w:rPr>
          <w:rFonts w:ascii="Bookman Old Style" w:hAnsi="Bookman Old Style" w:cs="Arial"/>
          <w:b/>
          <w:bCs/>
          <w:color w:val="000000" w:themeColor="text1"/>
          <w:lang w:val="es-CO"/>
        </w:rPr>
        <w:t>Private</w:t>
      </w:r>
      <w:proofErr w:type="spellEnd"/>
      <w:r w:rsidR="00520B3D" w:rsidRPr="00295053">
        <w:rPr>
          <w:rFonts w:ascii="Bookman Old Style" w:hAnsi="Bookman Old Style" w:cs="Arial"/>
          <w:b/>
          <w:bCs/>
          <w:color w:val="000000" w:themeColor="text1"/>
          <w:lang w:val="es-CO"/>
        </w:rPr>
        <w:t xml:space="preserve"> capital </w:t>
      </w:r>
      <w:proofErr w:type="spellStart"/>
      <w:r w:rsidR="00520B3D" w:rsidRPr="00295053">
        <w:rPr>
          <w:rFonts w:ascii="Bookman Old Style" w:hAnsi="Bookman Old Style" w:cs="Arial"/>
          <w:b/>
          <w:bCs/>
          <w:color w:val="000000" w:themeColor="text1"/>
          <w:lang w:val="es-CO"/>
        </w:rPr>
        <w:t>equipment</w:t>
      </w:r>
      <w:proofErr w:type="spellEnd"/>
      <w:r w:rsidR="00520B3D">
        <w:rPr>
          <w:rFonts w:ascii="Bookman Old Style" w:hAnsi="Bookman Old Style" w:cs="Arial"/>
          <w:b/>
          <w:bCs/>
          <w:color w:val="000000" w:themeColor="text1"/>
          <w:lang w:val="es-CO"/>
        </w:rPr>
        <w:t>,</w:t>
      </w:r>
      <w:r w:rsidR="00520B3D">
        <w:rPr>
          <w:rFonts w:ascii="Bookman Old Style" w:hAnsi="Bookman Old Style" w:cs="Arial"/>
          <w:color w:val="000000" w:themeColor="text1"/>
          <w:lang w:val="es-CO"/>
        </w:rPr>
        <w:t xml:space="preserve"> </w:t>
      </w:r>
      <w:r w:rsidR="0006302B" w:rsidRPr="00472E28">
        <w:rPr>
          <w:rFonts w:ascii="Bookman Old Style" w:hAnsi="Bookman Old Style" w:cs="Arial"/>
          <w:color w:val="000000" w:themeColor="text1"/>
          <w:lang w:val="es-CO"/>
        </w:rPr>
        <w:t>serie WPSFD</w:t>
      </w:r>
      <w:r w:rsidR="003D4CAB" w:rsidRPr="00295053">
        <w:rPr>
          <w:rFonts w:ascii="Bookman Old Style" w:hAnsi="Bookman Old Style" w:cs="Arial"/>
          <w:b/>
          <w:bCs/>
          <w:color w:val="000000" w:themeColor="text1"/>
          <w:lang w:val="es-CO"/>
        </w:rPr>
        <w:t>41312</w:t>
      </w:r>
      <w:r w:rsidR="0006302B" w:rsidRPr="00472E28">
        <w:rPr>
          <w:rFonts w:ascii="Bookman Old Style" w:hAnsi="Bookman Old Style" w:cs="Arial"/>
          <w:color w:val="000000" w:themeColor="text1"/>
          <w:lang w:val="es-CO"/>
        </w:rPr>
        <w:t xml:space="preserve"> publicada por el </w:t>
      </w:r>
      <w:r w:rsidR="0006302B" w:rsidRPr="00472E28">
        <w:rPr>
          <w:rFonts w:ascii="Bookman Old Style" w:hAnsi="Bookman Old Style" w:cs="Arial"/>
          <w:i/>
          <w:color w:val="000000" w:themeColor="text1"/>
          <w:lang w:val="es-CO"/>
        </w:rPr>
        <w:t xml:space="preserve">Bureau </w:t>
      </w:r>
      <w:proofErr w:type="spellStart"/>
      <w:r w:rsidR="0006302B" w:rsidRPr="00472E28">
        <w:rPr>
          <w:rFonts w:ascii="Bookman Old Style" w:hAnsi="Bookman Old Style" w:cs="Arial"/>
          <w:i/>
          <w:color w:val="000000" w:themeColor="text1"/>
          <w:lang w:val="es-CO"/>
        </w:rPr>
        <w:t>of</w:t>
      </w:r>
      <w:proofErr w:type="spellEnd"/>
      <w:r w:rsidR="0006302B" w:rsidRPr="00472E28">
        <w:rPr>
          <w:rFonts w:ascii="Bookman Old Style" w:hAnsi="Bookman Old Style" w:cs="Arial"/>
          <w:i/>
          <w:color w:val="000000" w:themeColor="text1"/>
          <w:lang w:val="es-CO"/>
        </w:rPr>
        <w:t xml:space="preserve"> Labor </w:t>
      </w:r>
      <w:proofErr w:type="spellStart"/>
      <w:r w:rsidR="0006302B" w:rsidRPr="00472E28">
        <w:rPr>
          <w:rFonts w:ascii="Bookman Old Style" w:hAnsi="Bookman Old Style" w:cs="Arial"/>
          <w:i/>
          <w:color w:val="000000" w:themeColor="text1"/>
          <w:lang w:val="es-CO"/>
        </w:rPr>
        <w:t>Statistics</w:t>
      </w:r>
      <w:proofErr w:type="spellEnd"/>
      <w:r w:rsidR="0006302B" w:rsidRPr="00472E28">
        <w:rPr>
          <w:rFonts w:ascii="Bookman Old Style" w:hAnsi="Bookman Old Style" w:cs="Arial"/>
          <w:color w:val="000000" w:themeColor="text1"/>
          <w:lang w:val="es-CO"/>
        </w:rPr>
        <w:t xml:space="preserve">, para el </w:t>
      </w:r>
      <w:r w:rsidR="000577A4" w:rsidRPr="00472E28">
        <w:rPr>
          <w:rFonts w:ascii="Bookman Old Style" w:hAnsi="Bookman Old Style" w:cs="Arial"/>
          <w:b/>
          <w:bCs/>
          <w:color w:val="000000" w:themeColor="text1"/>
          <w:lang w:val="es-CO"/>
        </w:rPr>
        <w:t>último</w:t>
      </w:r>
      <w:r w:rsidR="000577A4" w:rsidRPr="00472E28">
        <w:rPr>
          <w:rFonts w:ascii="Bookman Old Style" w:hAnsi="Bookman Old Style" w:cs="Arial"/>
          <w:color w:val="000000" w:themeColor="text1"/>
          <w:lang w:val="es-CO"/>
        </w:rPr>
        <w:t xml:space="preserve"> </w:t>
      </w:r>
      <w:r w:rsidR="0006302B" w:rsidRPr="00472E28">
        <w:rPr>
          <w:rFonts w:ascii="Bookman Old Style" w:hAnsi="Bookman Old Style" w:cs="Arial"/>
          <w:color w:val="000000" w:themeColor="text1"/>
          <w:lang w:val="es-CO"/>
        </w:rPr>
        <w:t>mes de</w:t>
      </w:r>
      <w:r w:rsidR="00D150A4" w:rsidRPr="00472E28">
        <w:rPr>
          <w:rFonts w:ascii="Bookman Old Style" w:hAnsi="Bookman Old Style" w:cs="Arial"/>
          <w:color w:val="000000" w:themeColor="text1"/>
          <w:lang w:val="es-CO"/>
        </w:rPr>
        <w:t>l</w:t>
      </w:r>
      <w:r w:rsidR="000577A4" w:rsidRPr="00472E28">
        <w:rPr>
          <w:rFonts w:ascii="Bookman Old Style" w:hAnsi="Bookman Old Style" w:cs="Arial"/>
          <w:b/>
          <w:bCs/>
          <w:color w:val="000000" w:themeColor="text1"/>
          <w:lang w:val="es-CO"/>
        </w:rPr>
        <w:t xml:space="preserve"> cuarto trimestre estándar </w:t>
      </w:r>
      <w:r w:rsidR="000577A4" w:rsidRPr="00472E28">
        <w:rPr>
          <w:rFonts w:ascii="Bookman Old Style" w:hAnsi="Bookman Old Style" w:cs="Arial"/>
          <w:color w:val="000000" w:themeColor="text1"/>
          <w:lang w:val="es-CO"/>
        </w:rPr>
        <w:t>del año</w:t>
      </w:r>
      <w:r w:rsidR="000577A4" w:rsidRPr="00472E28">
        <w:rPr>
          <w:rFonts w:ascii="Bookman Old Style" w:hAnsi="Bookman Old Style" w:cs="Arial"/>
          <w:b/>
          <w:bCs/>
          <w:color w:val="000000" w:themeColor="text1"/>
          <w:lang w:val="es-CO"/>
        </w:rPr>
        <w:t xml:space="preserve"> </w:t>
      </w:r>
      <w:r w:rsidR="0006302B" w:rsidRPr="00472E28">
        <w:rPr>
          <w:rFonts w:ascii="Bookman Old Style" w:hAnsi="Bookman Old Style" w:cs="Arial"/>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i-1</m:t>
            </m:r>
          </m:sub>
        </m:sSub>
      </m:oMath>
      <w:r w:rsidR="0006302B" w:rsidRPr="00472E28">
        <w:rPr>
          <w:rFonts w:ascii="Bookman Old Style" w:hAnsi="Bookman Old Style" w:cs="Arial"/>
          <w:color w:val="000000" w:themeColor="text1"/>
          <w:lang w:val="es-CO"/>
        </w:rPr>
        <w:t xml:space="preserve">. </w:t>
      </w:r>
    </w:p>
    <w:p w14:paraId="3F8881F3" w14:textId="77777777" w:rsidR="0006302B" w:rsidRPr="00472E28" w:rsidRDefault="0006302B" w:rsidP="0006302B">
      <w:pPr>
        <w:ind w:left="1985" w:hanging="1134"/>
        <w:jc w:val="both"/>
        <w:rPr>
          <w:rFonts w:ascii="Bookman Old Style" w:hAnsi="Bookman Old Style" w:cs="Arial"/>
          <w:color w:val="000000" w:themeColor="text1"/>
          <w:lang w:val="es-CO"/>
        </w:rPr>
      </w:pPr>
    </w:p>
    <w:p w14:paraId="72EE0ED5" w14:textId="404A1791" w:rsidR="0006302B" w:rsidRPr="00472E28" w:rsidRDefault="00FB7B28" w:rsidP="0006302B">
      <w:pPr>
        <w:ind w:left="1985" w:hanging="1134"/>
        <w:jc w:val="both"/>
        <w:rPr>
          <w:rFonts w:ascii="Bookman Old Style" w:hAnsi="Bookman Old Style" w:cs="Arial"/>
          <w:color w:val="000000" w:themeColor="text1"/>
          <w:lang w:val="es-CO"/>
        </w:rPr>
      </w:pPr>
      <m:oMath>
        <m:sSubSup>
          <m:sSubSupPr>
            <m:ctrlPr>
              <w:rPr>
                <w:rFonts w:ascii="Cambria Math" w:hAnsi="Cambria Math" w:cs="Arial"/>
                <w:i/>
                <w:iCs/>
                <w:color w:val="000000" w:themeColor="text1"/>
                <w:lang w:val="es-CO"/>
              </w:rPr>
            </m:ctrlPr>
          </m:sSubSupPr>
          <m:e>
            <m:r>
              <w:rPr>
                <w:rFonts w:ascii="Cambria Math" w:hAnsi="Cambria Math" w:cs="Arial"/>
                <w:color w:val="000000" w:themeColor="text1"/>
                <w:lang w:val="es-CO"/>
              </w:rPr>
              <m:t>I</m:t>
            </m:r>
          </m:e>
          <m:sub>
            <m:r>
              <w:rPr>
                <w:rFonts w:ascii="Cambria Math" w:hAnsi="Cambria Math" w:cs="Arial"/>
                <w:color w:val="000000" w:themeColor="text1"/>
                <w:lang w:val="es-CO"/>
              </w:rPr>
              <m:t>ai-2</m:t>
            </m:r>
          </m:sub>
          <m:sup>
            <m:r>
              <w:rPr>
                <w:rFonts w:ascii="Cambria Math" w:hAnsi="Cambria Math" w:cs="Arial"/>
                <w:color w:val="000000" w:themeColor="text1"/>
                <w:lang w:val="es-CO"/>
              </w:rPr>
              <m:t>S</m:t>
            </m:r>
          </m:sup>
        </m:sSubSup>
        <m:r>
          <w:rPr>
            <w:rFonts w:ascii="Cambria Math" w:hAnsi="Cambria Math" w:cs="Arial"/>
            <w:color w:val="000000" w:themeColor="text1"/>
            <w:lang w:val="es-CO"/>
          </w:rPr>
          <m:t>:</m:t>
        </m:r>
      </m:oMath>
      <w:r w:rsidR="0006302B" w:rsidRPr="00472E28">
        <w:rPr>
          <w:rFonts w:ascii="Bookman Old Style" w:hAnsi="Bookman Old Style" w:cs="Arial"/>
          <w:color w:val="000000" w:themeColor="text1"/>
          <w:lang w:val="es-CO"/>
        </w:rPr>
        <w:tab/>
        <w:t xml:space="preserve">Corresponde al índice de precios al productor de los Estados Unidos de América, </w:t>
      </w:r>
      <w:proofErr w:type="spellStart"/>
      <w:r w:rsidR="00520B3D" w:rsidRPr="00BC43C1">
        <w:rPr>
          <w:rFonts w:ascii="Bookman Old Style" w:hAnsi="Bookman Old Style" w:cs="Arial"/>
          <w:b/>
          <w:bCs/>
          <w:color w:val="000000" w:themeColor="text1"/>
          <w:lang w:val="es-CO"/>
        </w:rPr>
        <w:t>Item</w:t>
      </w:r>
      <w:proofErr w:type="spellEnd"/>
      <w:r w:rsidR="00520B3D" w:rsidRPr="00BC43C1">
        <w:rPr>
          <w:rFonts w:ascii="Bookman Old Style" w:hAnsi="Bookman Old Style" w:cs="Arial"/>
          <w:b/>
          <w:bCs/>
          <w:color w:val="000000" w:themeColor="text1"/>
          <w:lang w:val="es-CO"/>
        </w:rPr>
        <w:t>:</w:t>
      </w:r>
      <w:r w:rsidR="00520B3D">
        <w:rPr>
          <w:rFonts w:ascii="Bookman Old Style" w:hAnsi="Bookman Old Style" w:cs="Arial"/>
          <w:b/>
          <w:bCs/>
          <w:color w:val="000000" w:themeColor="text1"/>
          <w:lang w:val="es-CO"/>
        </w:rPr>
        <w:t xml:space="preserve"> </w:t>
      </w:r>
      <w:proofErr w:type="spellStart"/>
      <w:r w:rsidR="00520B3D" w:rsidRPr="00BC43C1">
        <w:rPr>
          <w:rFonts w:ascii="Bookman Old Style" w:hAnsi="Bookman Old Style" w:cs="Arial"/>
          <w:b/>
          <w:bCs/>
          <w:color w:val="000000" w:themeColor="text1"/>
          <w:lang w:val="es-CO"/>
        </w:rPr>
        <w:t>Private</w:t>
      </w:r>
      <w:proofErr w:type="spellEnd"/>
      <w:r w:rsidR="00520B3D" w:rsidRPr="00BC43C1">
        <w:rPr>
          <w:rFonts w:ascii="Bookman Old Style" w:hAnsi="Bookman Old Style" w:cs="Arial"/>
          <w:b/>
          <w:bCs/>
          <w:color w:val="000000" w:themeColor="text1"/>
          <w:lang w:val="es-CO"/>
        </w:rPr>
        <w:t xml:space="preserve"> capital </w:t>
      </w:r>
      <w:proofErr w:type="spellStart"/>
      <w:r w:rsidR="00520B3D" w:rsidRPr="00BC43C1">
        <w:rPr>
          <w:rFonts w:ascii="Bookman Old Style" w:hAnsi="Bookman Old Style" w:cs="Arial"/>
          <w:b/>
          <w:bCs/>
          <w:color w:val="000000" w:themeColor="text1"/>
          <w:lang w:val="es-CO"/>
        </w:rPr>
        <w:t>equipment</w:t>
      </w:r>
      <w:proofErr w:type="spellEnd"/>
      <w:r w:rsidR="00520B3D">
        <w:rPr>
          <w:rFonts w:ascii="Bookman Old Style" w:hAnsi="Bookman Old Style" w:cs="Arial"/>
          <w:b/>
          <w:bCs/>
          <w:color w:val="000000" w:themeColor="text1"/>
          <w:lang w:val="es-CO"/>
        </w:rPr>
        <w:t>,</w:t>
      </w:r>
      <w:r w:rsidR="00520B3D">
        <w:rPr>
          <w:rFonts w:ascii="Bookman Old Style" w:hAnsi="Bookman Old Style" w:cs="Arial"/>
          <w:color w:val="000000" w:themeColor="text1"/>
          <w:lang w:val="es-CO"/>
        </w:rPr>
        <w:t xml:space="preserve"> </w:t>
      </w:r>
      <w:r w:rsidR="0006302B" w:rsidRPr="00472E28">
        <w:rPr>
          <w:rFonts w:ascii="Bookman Old Style" w:hAnsi="Bookman Old Style" w:cs="Arial"/>
          <w:color w:val="000000" w:themeColor="text1"/>
          <w:lang w:val="es-CO"/>
        </w:rPr>
        <w:t>serie WPSFD</w:t>
      </w:r>
      <w:r w:rsidR="003D4CAB" w:rsidRPr="00295053">
        <w:rPr>
          <w:rFonts w:ascii="Bookman Old Style" w:hAnsi="Bookman Old Style" w:cs="Arial"/>
          <w:b/>
          <w:bCs/>
          <w:color w:val="000000" w:themeColor="text1"/>
          <w:lang w:val="es-CO"/>
        </w:rPr>
        <w:t>41312</w:t>
      </w:r>
      <w:r w:rsidR="0006302B" w:rsidRPr="00472E28">
        <w:rPr>
          <w:rFonts w:ascii="Bookman Old Style" w:hAnsi="Bookman Old Style" w:cs="Arial"/>
          <w:color w:val="000000" w:themeColor="text1"/>
          <w:lang w:val="es-CO"/>
        </w:rPr>
        <w:t xml:space="preserve"> publicada por el </w:t>
      </w:r>
      <w:r w:rsidR="0006302B" w:rsidRPr="00472E28">
        <w:rPr>
          <w:rFonts w:ascii="Bookman Old Style" w:hAnsi="Bookman Old Style" w:cs="Arial"/>
          <w:i/>
          <w:color w:val="000000" w:themeColor="text1"/>
          <w:lang w:val="es-CO"/>
        </w:rPr>
        <w:t xml:space="preserve">Bureau </w:t>
      </w:r>
      <w:proofErr w:type="spellStart"/>
      <w:r w:rsidR="0006302B" w:rsidRPr="00472E28">
        <w:rPr>
          <w:rFonts w:ascii="Bookman Old Style" w:hAnsi="Bookman Old Style" w:cs="Arial"/>
          <w:i/>
          <w:color w:val="000000" w:themeColor="text1"/>
          <w:lang w:val="es-CO"/>
        </w:rPr>
        <w:t>of</w:t>
      </w:r>
      <w:proofErr w:type="spellEnd"/>
      <w:r w:rsidR="0006302B" w:rsidRPr="00472E28">
        <w:rPr>
          <w:rFonts w:ascii="Bookman Old Style" w:hAnsi="Bookman Old Style" w:cs="Arial"/>
          <w:i/>
          <w:color w:val="000000" w:themeColor="text1"/>
          <w:lang w:val="es-CO"/>
        </w:rPr>
        <w:t xml:space="preserve"> Labor </w:t>
      </w:r>
      <w:proofErr w:type="spellStart"/>
      <w:r w:rsidR="0006302B" w:rsidRPr="00472E28">
        <w:rPr>
          <w:rFonts w:ascii="Bookman Old Style" w:hAnsi="Bookman Old Style" w:cs="Arial"/>
          <w:i/>
          <w:color w:val="000000" w:themeColor="text1"/>
          <w:lang w:val="es-CO"/>
        </w:rPr>
        <w:t>Statistics</w:t>
      </w:r>
      <w:proofErr w:type="spellEnd"/>
      <w:r w:rsidR="0006302B" w:rsidRPr="00472E28">
        <w:rPr>
          <w:rFonts w:ascii="Bookman Old Style" w:hAnsi="Bookman Old Style" w:cs="Arial"/>
          <w:color w:val="000000" w:themeColor="text1"/>
          <w:lang w:val="es-CO"/>
        </w:rPr>
        <w:t xml:space="preserve">, para el </w:t>
      </w:r>
      <w:r w:rsidR="008C019F" w:rsidRPr="00472E28">
        <w:rPr>
          <w:rFonts w:ascii="Bookman Old Style" w:hAnsi="Bookman Old Style" w:cs="Arial"/>
          <w:b/>
          <w:bCs/>
          <w:color w:val="000000" w:themeColor="text1"/>
          <w:lang w:val="es-CO"/>
        </w:rPr>
        <w:t xml:space="preserve">último </w:t>
      </w:r>
      <w:r w:rsidR="0006302B" w:rsidRPr="00472E28">
        <w:rPr>
          <w:rFonts w:ascii="Bookman Old Style" w:hAnsi="Bookman Old Style" w:cs="Arial"/>
          <w:b/>
          <w:bCs/>
          <w:color w:val="000000" w:themeColor="text1"/>
          <w:lang w:val="es-CO"/>
        </w:rPr>
        <w:t>mes de</w:t>
      </w:r>
      <w:r w:rsidR="00D150A4" w:rsidRPr="00472E28">
        <w:rPr>
          <w:rFonts w:ascii="Bookman Old Style" w:hAnsi="Bookman Old Style" w:cs="Arial"/>
          <w:b/>
          <w:bCs/>
          <w:color w:val="000000" w:themeColor="text1"/>
          <w:lang w:val="es-CO"/>
        </w:rPr>
        <w:t xml:space="preserve">l </w:t>
      </w:r>
      <w:r w:rsidR="008C019F" w:rsidRPr="00472E28">
        <w:rPr>
          <w:rFonts w:ascii="Bookman Old Style" w:hAnsi="Bookman Old Style" w:cs="Arial"/>
          <w:b/>
          <w:bCs/>
          <w:color w:val="000000" w:themeColor="text1"/>
          <w:lang w:val="es-CO"/>
        </w:rPr>
        <w:t xml:space="preserve">cuarto trimestre estándar </w:t>
      </w:r>
      <w:r w:rsidR="0006302B" w:rsidRPr="00472E28">
        <w:rPr>
          <w:rFonts w:ascii="Bookman Old Style" w:hAnsi="Bookman Old Style" w:cs="Arial"/>
          <w:color w:val="000000" w:themeColor="text1"/>
          <w:lang w:val="es-CO"/>
        </w:rPr>
        <w:t>del año</w:t>
      </w:r>
      <w:r w:rsidR="00733971" w:rsidRPr="00472E28">
        <w:rPr>
          <w:rFonts w:ascii="Bookman Old Style" w:hAnsi="Bookman Old Style" w:cs="Arial"/>
          <w:b/>
          <w:bCs/>
          <w:color w:val="000000" w:themeColor="text1"/>
          <w:lang w:val="es-CO"/>
        </w:rPr>
        <w:t xml:space="preserve">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i-2</m:t>
            </m:r>
          </m:sub>
        </m:sSub>
      </m:oMath>
      <w:r w:rsidR="0006302B" w:rsidRPr="00472E28">
        <w:rPr>
          <w:rFonts w:ascii="Bookman Old Style" w:hAnsi="Bookman Old Style" w:cs="Arial"/>
          <w:color w:val="000000" w:themeColor="text1"/>
          <w:lang w:val="es-CO"/>
        </w:rPr>
        <w:t xml:space="preserve">. </w:t>
      </w:r>
    </w:p>
    <w:p w14:paraId="31BBED21" w14:textId="77777777" w:rsidR="0006302B" w:rsidRPr="00472E28" w:rsidRDefault="0006302B" w:rsidP="0006302B">
      <w:pPr>
        <w:ind w:left="1985" w:hanging="1134"/>
        <w:jc w:val="both"/>
        <w:rPr>
          <w:rFonts w:ascii="Bookman Old Style" w:hAnsi="Bookman Old Style" w:cs="Arial"/>
          <w:color w:val="000000" w:themeColor="text1"/>
          <w:lang w:val="es-CO"/>
        </w:rPr>
      </w:pPr>
    </w:p>
    <w:p w14:paraId="1184C642" w14:textId="77777777" w:rsidR="0006302B" w:rsidRPr="00472E28" w:rsidRDefault="0006302B" w:rsidP="0006302B">
      <w:pPr>
        <w:ind w:left="1985" w:hanging="1134"/>
        <w:jc w:val="both"/>
        <w:rPr>
          <w:rFonts w:ascii="Bookman Old Style" w:hAnsi="Bookman Old Style" w:cs="Arial"/>
          <w:color w:val="000000" w:themeColor="text1"/>
          <w:lang w:val="es-CO"/>
        </w:rPr>
      </w:pPr>
      <m:oMath>
        <m:r>
          <w:rPr>
            <w:rFonts w:ascii="Cambria Math" w:hAnsi="Cambria Math" w:cs="Arial"/>
            <w:color w:val="000000" w:themeColor="text1"/>
            <w:lang w:val="es-CO"/>
          </w:rPr>
          <w:lastRenderedPageBreak/>
          <m:t>β</m:t>
        </m:r>
      </m:oMath>
      <w:r w:rsidRPr="00472E28">
        <w:rPr>
          <w:rFonts w:ascii="Bookman Old Style" w:hAnsi="Bookman Old Style" w:cs="Arial"/>
          <w:color w:val="000000" w:themeColor="text1"/>
          <w:lang w:val="es-CO"/>
        </w:rPr>
        <w:t xml:space="preserve">: </w:t>
      </w:r>
      <w:r w:rsidRPr="00472E28">
        <w:rPr>
          <w:rFonts w:ascii="Bookman Old Style" w:hAnsi="Bookman Old Style" w:cs="Arial"/>
          <w:color w:val="000000" w:themeColor="text1"/>
          <w:lang w:val="es-CO"/>
        </w:rPr>
        <w:tab/>
        <w:t>Valor que pondera el factor de actualización de precios exógenos al mercado de gas natural.</w:t>
      </w:r>
    </w:p>
    <w:p w14:paraId="2DB69F74" w14:textId="77777777" w:rsidR="0006302B" w:rsidRPr="00472E28" w:rsidRDefault="0006302B" w:rsidP="0006302B">
      <w:pPr>
        <w:ind w:left="1985" w:hanging="1134"/>
        <w:jc w:val="both"/>
        <w:rPr>
          <w:rFonts w:ascii="Bookman Old Style" w:hAnsi="Bookman Old Style" w:cs="Arial"/>
          <w:color w:val="000000" w:themeColor="text1"/>
          <w:lang w:val="es-CO"/>
        </w:rPr>
      </w:pPr>
    </w:p>
    <w:p w14:paraId="520FF7F0" w14:textId="30E4D3F3" w:rsidR="0006302B" w:rsidRPr="00472E28" w:rsidRDefault="0006302B" w:rsidP="0006302B">
      <w:pPr>
        <w:ind w:left="1985" w:hanging="1134"/>
        <w:jc w:val="both"/>
        <w:rPr>
          <w:rFonts w:ascii="Bookman Old Style" w:hAnsi="Bookman Old Style" w:cs="Arial"/>
          <w:i/>
          <w:color w:val="000000" w:themeColor="text1"/>
          <w:lang w:val="es-CO"/>
        </w:rPr>
      </w:pPr>
      <m:oMath>
        <m:r>
          <w:rPr>
            <w:rFonts w:ascii="Cambria Math" w:hAnsi="Cambria Math" w:cs="Arial"/>
            <w:color w:val="000000" w:themeColor="text1"/>
            <w:lang w:val="es-CO"/>
          </w:rPr>
          <m:t>T</m:t>
        </m:r>
      </m:oMath>
      <w:r w:rsidRPr="00472E28">
        <w:rPr>
          <w:rFonts w:ascii="Bookman Old Style" w:hAnsi="Bookman Old Style" w:cs="Arial"/>
          <w:color w:val="000000" w:themeColor="text1"/>
          <w:lang w:val="es-CO"/>
        </w:rPr>
        <w:t xml:space="preserve">: </w:t>
      </w:r>
      <w:r w:rsidRPr="00472E28">
        <w:rPr>
          <w:rFonts w:ascii="Bookman Old Style" w:hAnsi="Bookman Old Style" w:cs="Arial"/>
          <w:color w:val="000000" w:themeColor="text1"/>
          <w:lang w:val="es-CO"/>
        </w:rPr>
        <w:tab/>
        <w:t xml:space="preserve">Modalidad bajo la cual se contrató el gas natural. Podrá ser un contrato firme, </w:t>
      </w:r>
      <m:oMath>
        <m:r>
          <w:rPr>
            <w:rFonts w:ascii="Cambria Math" w:hAnsi="Cambria Math" w:cs="Arial"/>
            <w:color w:val="000000" w:themeColor="text1"/>
            <w:lang w:val="es-CO"/>
          </w:rPr>
          <m:t>CF</m:t>
        </m:r>
      </m:oMath>
      <w:r w:rsidRPr="00472E28">
        <w:rPr>
          <w:rFonts w:ascii="Bookman Old Style" w:hAnsi="Bookman Old Style" w:cs="Arial"/>
          <w:color w:val="000000" w:themeColor="text1"/>
          <w:lang w:val="es-CO"/>
        </w:rPr>
        <w:t xml:space="preserve">, </w:t>
      </w:r>
      <w:r w:rsidRPr="00472E28">
        <w:rPr>
          <w:rFonts w:ascii="Bookman Old Style" w:hAnsi="Bookman Old Style" w:cs="Arial"/>
          <w:b/>
          <w:bCs/>
          <w:color w:val="000000" w:themeColor="text1"/>
          <w:lang w:val="es-CO"/>
        </w:rPr>
        <w:t>un contrato CF80, un contrato CF95,</w:t>
      </w:r>
      <w:r w:rsidRPr="00472E28">
        <w:rPr>
          <w:rFonts w:ascii="Bookman Old Style" w:hAnsi="Bookman Old Style" w:cs="Arial"/>
          <w:color w:val="000000" w:themeColor="text1"/>
          <w:lang w:val="es-CO"/>
        </w:rPr>
        <w:t xml:space="preserve"> un contrato de suministro con firmeza condicionada, </w:t>
      </w:r>
      <m:oMath>
        <m:r>
          <w:rPr>
            <w:rFonts w:ascii="Cambria Math" w:hAnsi="Cambria Math" w:cs="Arial"/>
            <w:color w:val="000000" w:themeColor="text1"/>
            <w:lang w:val="es-CO"/>
          </w:rPr>
          <m:t>CFC</m:t>
        </m:r>
      </m:oMath>
      <w:r w:rsidRPr="00472E28">
        <w:rPr>
          <w:rFonts w:ascii="Bookman Old Style" w:hAnsi="Bookman Old Style" w:cs="Arial"/>
          <w:color w:val="000000" w:themeColor="text1"/>
          <w:lang w:val="es-CO"/>
        </w:rPr>
        <w:t xml:space="preserve">, o un contrato de opción de compra de gas, </w:t>
      </w:r>
      <m:oMath>
        <m:r>
          <w:rPr>
            <w:rFonts w:ascii="Cambria Math" w:hAnsi="Cambria Math" w:cs="Arial"/>
            <w:color w:val="000000" w:themeColor="text1"/>
            <w:lang w:val="es-CO"/>
          </w:rPr>
          <m:t>OCG</m:t>
        </m:r>
      </m:oMath>
      <w:r w:rsidRPr="00472E28">
        <w:rPr>
          <w:rFonts w:ascii="Bookman Old Style" w:hAnsi="Bookman Old Style" w:cs="Arial"/>
          <w:color w:val="000000" w:themeColor="text1"/>
          <w:lang w:val="es-CO"/>
        </w:rPr>
        <w:t>.</w:t>
      </w:r>
    </w:p>
    <w:p w14:paraId="49A78103" w14:textId="77777777" w:rsidR="0006302B" w:rsidRPr="00472E28" w:rsidRDefault="0006302B" w:rsidP="0006302B">
      <w:pPr>
        <w:ind w:left="1985" w:hanging="1134"/>
        <w:jc w:val="both"/>
        <w:rPr>
          <w:rFonts w:ascii="Bookman Old Style" w:hAnsi="Bookman Old Style" w:cs="Arial"/>
          <w:color w:val="000000" w:themeColor="text1"/>
          <w:lang w:val="es-CO"/>
        </w:rPr>
      </w:pPr>
    </w:p>
    <w:p w14:paraId="3A0D2D3A" w14:textId="4BED94F9" w:rsidR="0006302B" w:rsidRPr="00472E28" w:rsidRDefault="0006302B" w:rsidP="0006302B">
      <w:pPr>
        <w:ind w:left="1985" w:hanging="1134"/>
        <w:jc w:val="both"/>
        <w:rPr>
          <w:rFonts w:ascii="Bookman Old Style" w:hAnsi="Bookman Old Style" w:cs="Arial"/>
          <w:i/>
          <w:color w:val="000000" w:themeColor="text1"/>
          <w:lang w:val="es-CO"/>
        </w:rPr>
      </w:pPr>
      <m:oMath>
        <m:r>
          <w:rPr>
            <w:rFonts w:ascii="Cambria Math" w:hAnsi="Cambria Math" w:cs="Arial"/>
            <w:color w:val="000000" w:themeColor="text1"/>
            <w:lang w:val="es-CO"/>
          </w:rPr>
          <m:t>f</m:t>
        </m:r>
      </m:oMath>
      <w:r w:rsidRPr="00472E28">
        <w:rPr>
          <w:rFonts w:ascii="Bookman Old Style" w:hAnsi="Bookman Old Style" w:cs="Arial"/>
          <w:color w:val="000000" w:themeColor="text1"/>
          <w:lang w:val="es-CO"/>
        </w:rPr>
        <w:t xml:space="preserve">: </w:t>
      </w:r>
      <w:r w:rsidRPr="00472E28">
        <w:rPr>
          <w:rFonts w:ascii="Bookman Old Style" w:hAnsi="Bookman Old Style" w:cs="Arial"/>
          <w:color w:val="000000" w:themeColor="text1"/>
          <w:lang w:val="es-CO"/>
        </w:rPr>
        <w:tab/>
      </w:r>
      <w:r w:rsidR="00DE20AB" w:rsidRPr="00472E28">
        <w:rPr>
          <w:rFonts w:ascii="Bookman Old Style" w:hAnsi="Bookman Old Style" w:cs="Arial"/>
          <w:b/>
          <w:bCs/>
          <w:color w:val="000000" w:themeColor="text1"/>
          <w:lang w:val="es-CO"/>
        </w:rPr>
        <w:t>Punto de entrega</w:t>
      </w:r>
      <w:r w:rsidR="007252CD" w:rsidRPr="00472E28">
        <w:rPr>
          <w:rFonts w:ascii="Bookman Old Style" w:hAnsi="Bookman Old Style" w:cs="Arial"/>
          <w:b/>
          <w:bCs/>
          <w:color w:val="000000" w:themeColor="text1"/>
          <w:lang w:val="es-CO"/>
        </w:rPr>
        <w:t xml:space="preserve"> </w:t>
      </w:r>
      <w:r w:rsidRPr="00472E28">
        <w:rPr>
          <w:rFonts w:ascii="Bookman Old Style" w:hAnsi="Bookman Old Style" w:cs="Arial"/>
          <w:color w:val="000000" w:themeColor="text1"/>
          <w:lang w:val="es-CO"/>
        </w:rPr>
        <w:t xml:space="preserve">del gas natural contratado. </w:t>
      </w:r>
    </w:p>
    <w:p w14:paraId="268CDB72" w14:textId="77777777" w:rsidR="0006302B" w:rsidRPr="00472E28" w:rsidRDefault="0006302B" w:rsidP="0006302B">
      <w:pPr>
        <w:ind w:left="1985" w:hanging="1134"/>
        <w:jc w:val="both"/>
        <w:rPr>
          <w:rFonts w:ascii="Bookman Old Style" w:hAnsi="Bookman Old Style" w:cs="Arial"/>
          <w:color w:val="000000" w:themeColor="text1"/>
          <w:lang w:val="es-CO"/>
        </w:rPr>
      </w:pPr>
    </w:p>
    <w:p w14:paraId="04CB61EF" w14:textId="77777777" w:rsidR="0006302B" w:rsidRPr="00472E28" w:rsidRDefault="0006302B" w:rsidP="0006302B">
      <w:pPr>
        <w:ind w:left="1985" w:hanging="1134"/>
        <w:jc w:val="both"/>
        <w:rPr>
          <w:rFonts w:ascii="Bookman Old Style" w:hAnsi="Bookman Old Style" w:cs="Arial"/>
          <w:i/>
          <w:color w:val="000000" w:themeColor="text1"/>
          <w:lang w:val="es-CO"/>
        </w:rPr>
      </w:pPr>
      <m:oMath>
        <m:r>
          <w:rPr>
            <w:rFonts w:ascii="Cambria Math" w:hAnsi="Cambria Math" w:cs="Arial"/>
            <w:color w:val="000000" w:themeColor="text1"/>
            <w:lang w:val="es-CO"/>
          </w:rPr>
          <m:t>d</m:t>
        </m:r>
      </m:oMath>
      <w:r w:rsidRPr="00472E28">
        <w:rPr>
          <w:rFonts w:ascii="Bookman Old Style" w:hAnsi="Bookman Old Style" w:cs="Arial"/>
          <w:color w:val="000000" w:themeColor="text1"/>
          <w:lang w:val="es-CO"/>
        </w:rPr>
        <w:t xml:space="preserve">: </w:t>
      </w:r>
      <w:r w:rsidRPr="00472E28">
        <w:rPr>
          <w:rFonts w:ascii="Bookman Old Style" w:hAnsi="Bookman Old Style" w:cs="Arial"/>
          <w:color w:val="000000" w:themeColor="text1"/>
          <w:lang w:val="es-CO"/>
        </w:rPr>
        <w:tab/>
        <w:t>Duración del contrato de suministro.</w:t>
      </w:r>
    </w:p>
    <w:p w14:paraId="0978C62D" w14:textId="77777777" w:rsidR="0006302B" w:rsidRPr="00472E28" w:rsidRDefault="0006302B" w:rsidP="0006302B">
      <w:pPr>
        <w:ind w:left="1985" w:hanging="1134"/>
        <w:jc w:val="both"/>
        <w:rPr>
          <w:rFonts w:ascii="Bookman Old Style" w:hAnsi="Bookman Old Style" w:cs="Arial"/>
          <w:color w:val="000000" w:themeColor="text1"/>
          <w:lang w:val="es-CO"/>
        </w:rPr>
      </w:pPr>
    </w:p>
    <w:p w14:paraId="7957503C" w14:textId="5F9C0F4D" w:rsidR="0006302B" w:rsidRPr="00472E28" w:rsidRDefault="00FB7B28" w:rsidP="0006302B">
      <w:pPr>
        <w:ind w:left="1985" w:hanging="1134"/>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i</m:t>
            </m:r>
          </m:sub>
        </m:sSub>
      </m:oMath>
      <w:r w:rsidR="0006302B" w:rsidRPr="00472E28">
        <w:rPr>
          <w:rFonts w:ascii="Bookman Old Style" w:hAnsi="Bookman Old Style" w:cs="Arial"/>
          <w:color w:val="000000" w:themeColor="text1"/>
          <w:lang w:val="es-CO"/>
        </w:rPr>
        <w:t xml:space="preserve">: </w:t>
      </w:r>
      <w:r w:rsidR="0006302B" w:rsidRPr="00472E28">
        <w:rPr>
          <w:rFonts w:ascii="Bookman Old Style" w:hAnsi="Bookman Old Style" w:cs="Arial"/>
          <w:color w:val="000000" w:themeColor="text1"/>
          <w:lang w:val="es-CO"/>
        </w:rPr>
        <w:tab/>
        <w:t xml:space="preserve">Año </w:t>
      </w:r>
      <w:r w:rsidR="00134CAC" w:rsidRPr="00472E28">
        <w:rPr>
          <w:rFonts w:ascii="Bookman Old Style" w:hAnsi="Bookman Old Style" w:cs="Arial"/>
          <w:b/>
          <w:bCs/>
          <w:color w:val="000000" w:themeColor="text1"/>
          <w:lang w:val="es-CO"/>
        </w:rPr>
        <w:t>de</w:t>
      </w:r>
      <w:r w:rsidR="007834B7" w:rsidRPr="00472E28">
        <w:rPr>
          <w:rFonts w:ascii="Bookman Old Style" w:hAnsi="Bookman Old Style" w:cs="Arial"/>
          <w:b/>
          <w:bCs/>
          <w:color w:val="000000" w:themeColor="text1"/>
          <w:lang w:val="es-CO"/>
        </w:rPr>
        <w:t xml:space="preserve"> ejecución</w:t>
      </w:r>
      <w:r w:rsidR="007834B7" w:rsidRPr="00472E28">
        <w:rPr>
          <w:rFonts w:ascii="Bookman Old Style" w:hAnsi="Bookman Old Style" w:cs="Arial"/>
          <w:color w:val="000000" w:themeColor="text1"/>
          <w:lang w:val="es-CO"/>
        </w:rPr>
        <w:t xml:space="preserve"> de</w:t>
      </w:r>
      <w:r w:rsidR="00134CAC" w:rsidRPr="00472E28">
        <w:rPr>
          <w:rFonts w:ascii="Bookman Old Style" w:hAnsi="Bookman Old Style" w:cs="Arial"/>
          <w:color w:val="000000" w:themeColor="text1"/>
          <w:lang w:val="es-CO"/>
        </w:rPr>
        <w:t xml:space="preserve">l contrato </w:t>
      </w:r>
      <w:r w:rsidR="0006302B" w:rsidRPr="00472E28">
        <w:rPr>
          <w:rFonts w:ascii="Bookman Old Style" w:hAnsi="Bookman Old Style" w:cs="Arial"/>
          <w:color w:val="000000" w:themeColor="text1"/>
          <w:lang w:val="es-CO"/>
        </w:rPr>
        <w:t xml:space="preserve">durante el cual se aplicará el precio del gas natural. La variable </w:t>
      </w:r>
      <m:oMath>
        <m:r>
          <w:rPr>
            <w:rFonts w:ascii="Cambria Math" w:hAnsi="Cambria Math" w:cs="Arial"/>
            <w:color w:val="000000" w:themeColor="text1"/>
            <w:lang w:val="es-CO"/>
          </w:rPr>
          <m:t>i</m:t>
        </m:r>
      </m:oMath>
      <w:r w:rsidR="0006302B" w:rsidRPr="00472E28">
        <w:rPr>
          <w:rFonts w:ascii="Bookman Old Style" w:hAnsi="Bookman Old Style" w:cs="Arial"/>
          <w:color w:val="000000" w:themeColor="text1"/>
          <w:lang w:val="es-CO"/>
        </w:rPr>
        <w:t xml:space="preserve"> tomará los valores de uno (1) a </w:t>
      </w:r>
      <m:oMath>
        <m:r>
          <w:rPr>
            <w:rFonts w:ascii="Cambria Math" w:hAnsi="Cambria Math" w:cs="Arial"/>
            <w:color w:val="000000" w:themeColor="text1"/>
            <w:lang w:val="es-CO"/>
          </w:rPr>
          <m:t>d</m:t>
        </m:r>
      </m:oMath>
      <w:r w:rsidR="0006302B" w:rsidRPr="00472E28">
        <w:rPr>
          <w:rFonts w:ascii="Bookman Old Style" w:hAnsi="Bookman Old Style" w:cs="Arial"/>
          <w:color w:val="000000" w:themeColor="text1"/>
          <w:lang w:val="es-CO"/>
        </w:rPr>
        <w:t xml:space="preserve">, siendo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a</m:t>
            </m:r>
          </m:e>
          <m:sub>
            <m:r>
              <w:rPr>
                <w:rFonts w:ascii="Cambria Math" w:hAnsi="Cambria Math" w:cs="Arial"/>
                <w:color w:val="000000" w:themeColor="text1"/>
                <w:lang w:val="es-CO"/>
              </w:rPr>
              <m:t>1</m:t>
            </m:r>
          </m:sub>
        </m:sSub>
      </m:oMath>
      <w:r w:rsidR="0006302B" w:rsidRPr="00472E28">
        <w:rPr>
          <w:rFonts w:ascii="Bookman Old Style" w:hAnsi="Bookman Old Style" w:cs="Arial"/>
          <w:color w:val="000000" w:themeColor="text1"/>
          <w:lang w:val="es-CO"/>
        </w:rPr>
        <w:t xml:space="preserve"> el primer año de </w:t>
      </w:r>
      <w:r w:rsidR="007834B7" w:rsidRPr="00472E28">
        <w:rPr>
          <w:rFonts w:ascii="Bookman Old Style" w:hAnsi="Bookman Old Style" w:cs="Arial"/>
          <w:b/>
          <w:bCs/>
          <w:color w:val="000000" w:themeColor="text1"/>
          <w:lang w:val="es-CO"/>
        </w:rPr>
        <w:t>ejecución</w:t>
      </w:r>
      <w:r w:rsidR="007834B7" w:rsidRPr="00472E28">
        <w:rPr>
          <w:rFonts w:ascii="Bookman Old Style" w:hAnsi="Bookman Old Style" w:cs="Arial"/>
          <w:color w:val="000000" w:themeColor="text1"/>
          <w:lang w:val="es-CO"/>
        </w:rPr>
        <w:t xml:space="preserve"> </w:t>
      </w:r>
      <w:r w:rsidR="0006302B" w:rsidRPr="00472E28">
        <w:rPr>
          <w:rFonts w:ascii="Bookman Old Style" w:hAnsi="Bookman Old Style" w:cs="Arial"/>
          <w:color w:val="000000" w:themeColor="text1"/>
          <w:lang w:val="es-CO"/>
        </w:rPr>
        <w:t>del contrato objeto de actualización de precios.</w:t>
      </w:r>
    </w:p>
    <w:bookmarkEnd w:id="139"/>
    <w:p w14:paraId="6FFD0E64" w14:textId="5BBEDC42" w:rsidR="000523A0" w:rsidRPr="00472E28" w:rsidRDefault="000523A0" w:rsidP="000523A0">
      <w:pPr>
        <w:ind w:left="0"/>
        <w:jc w:val="both"/>
        <w:rPr>
          <w:rFonts w:ascii="Bookman Old Style" w:hAnsi="Bookman Old Style" w:cs="Arial"/>
          <w:color w:val="000000" w:themeColor="text1"/>
          <w:lang w:val="es-CO"/>
        </w:rPr>
      </w:pPr>
    </w:p>
    <w:p w14:paraId="2D5D8CC6" w14:textId="6A1DB156" w:rsidR="000523A0" w:rsidRPr="00472E28" w:rsidRDefault="000523A0" w:rsidP="000523A0">
      <w:pPr>
        <w:ind w:left="0"/>
        <w:jc w:val="both"/>
        <w:rPr>
          <w:rFonts w:ascii="Bookman Old Style" w:hAnsi="Bookman Old Style" w:cs="Arial"/>
          <w:b/>
          <w:bCs/>
          <w:color w:val="000000" w:themeColor="text1"/>
          <w:lang w:val="es-CO"/>
        </w:rPr>
      </w:pPr>
      <w:r w:rsidRPr="00472E28">
        <w:rPr>
          <w:rFonts w:ascii="Bookman Old Style" w:hAnsi="Bookman Old Style" w:cs="Arial"/>
          <w:b/>
          <w:bCs/>
          <w:color w:val="000000" w:themeColor="text1"/>
          <w:lang w:val="es-CO"/>
        </w:rPr>
        <w:t>Para cada Trimestre Estándar del año de gas</w:t>
      </w:r>
      <w:r w:rsidR="00F25F3B" w:rsidRPr="00472E28">
        <w:rPr>
          <w:rFonts w:ascii="Bookman Old Style" w:hAnsi="Bookman Old Style" w:cs="Arial"/>
          <w:b/>
          <w:bCs/>
          <w:color w:val="000000" w:themeColor="text1"/>
          <w:lang w:val="es-CO"/>
        </w:rPr>
        <w:t>,</w:t>
      </w:r>
      <w:r w:rsidRPr="00472E28">
        <w:rPr>
          <w:rFonts w:ascii="Bookman Old Style" w:hAnsi="Bookman Old Style" w:cs="Arial"/>
          <w:b/>
          <w:bCs/>
          <w:color w:val="000000" w:themeColor="text1"/>
          <w:lang w:val="es-CO"/>
        </w:rPr>
        <w:t xml:space="preserve"> el Gestor del Mercado deberá publicar el valor de los </w:t>
      </w:r>
      <w:r w:rsidR="00B5372F">
        <w:rPr>
          <w:rFonts w:ascii="Bookman Old Style" w:hAnsi="Bookman Old Style" w:cs="Arial"/>
          <w:b/>
          <w:bCs/>
          <w:color w:val="000000" w:themeColor="text1"/>
          <w:lang w:val="es-CO"/>
        </w:rPr>
        <w:t xml:space="preserve">cocientes </w:t>
      </w:r>
      <w:r w:rsidR="00B5372F" w:rsidRPr="00472E28">
        <w:rPr>
          <w:rFonts w:ascii="Bookman Old Style" w:hAnsi="Bookman Old Style" w:cs="Arial"/>
          <w:b/>
          <w:bCs/>
          <w:color w:val="000000" w:themeColor="text1"/>
          <w:lang w:val="es-CO"/>
        </w:rPr>
        <w:t xml:space="preserve"> </w:t>
      </w:r>
      <m:oMath>
        <m:f>
          <m:fPr>
            <m:ctrlPr>
              <w:rPr>
                <w:rFonts w:ascii="Cambria Math" w:hAnsi="Cambria Math" w:cs="Arial"/>
                <w:b/>
                <w:bCs/>
                <w:i/>
                <w:color w:val="000000" w:themeColor="text1"/>
                <w:sz w:val="28"/>
                <w:szCs w:val="28"/>
                <w:lang w:val="es-CO"/>
              </w:rPr>
            </m:ctrlPr>
          </m:fPr>
          <m:num>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P</m:t>
                </m:r>
              </m:e>
              <m:sub>
                <m:r>
                  <m:rPr>
                    <m:sty m:val="bi"/>
                  </m:rPr>
                  <w:rPr>
                    <w:rFonts w:ascii="Cambria Math" w:hAnsi="Cambria Math" w:cs="Arial"/>
                    <w:color w:val="000000" w:themeColor="text1"/>
                    <w:sz w:val="28"/>
                    <w:szCs w:val="28"/>
                    <w:lang w:val="es-CO"/>
                  </w:rPr>
                  <m:t>ai-1</m:t>
                </m:r>
              </m:sub>
              <m:sup>
                <m:r>
                  <m:rPr>
                    <m:sty m:val="bi"/>
                  </m:rPr>
                  <w:rPr>
                    <w:rFonts w:ascii="Cambria Math" w:hAnsi="Cambria Math" w:cs="Arial"/>
                    <w:color w:val="000000" w:themeColor="text1"/>
                    <w:sz w:val="28"/>
                    <w:szCs w:val="28"/>
                    <w:lang w:val="es-CO"/>
                  </w:rPr>
                  <m:t>W</m:t>
                </m:r>
              </m:sup>
            </m:sSubSup>
          </m:num>
          <m:den>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P</m:t>
                </m:r>
              </m:e>
              <m:sub>
                <m:r>
                  <m:rPr>
                    <m:sty m:val="bi"/>
                  </m:rPr>
                  <w:rPr>
                    <w:rFonts w:ascii="Cambria Math" w:hAnsi="Cambria Math" w:cs="Arial"/>
                    <w:color w:val="000000" w:themeColor="text1"/>
                    <w:sz w:val="28"/>
                    <w:szCs w:val="28"/>
                    <w:lang w:val="es-CO"/>
                  </w:rPr>
                  <m:t>ai-2</m:t>
                </m:r>
              </m:sub>
              <m:sup>
                <m:r>
                  <m:rPr>
                    <m:sty m:val="bi"/>
                  </m:rPr>
                  <w:rPr>
                    <w:rFonts w:ascii="Cambria Math" w:hAnsi="Cambria Math" w:cs="Arial"/>
                    <w:color w:val="000000" w:themeColor="text1"/>
                    <w:sz w:val="28"/>
                    <w:szCs w:val="28"/>
                    <w:lang w:val="es-CO"/>
                  </w:rPr>
                  <m:t>W</m:t>
                </m:r>
              </m:sup>
            </m:sSubSup>
          </m:den>
        </m:f>
      </m:oMath>
      <w:r w:rsidRPr="00472E28">
        <w:rPr>
          <w:rFonts w:ascii="Bookman Old Style" w:hAnsi="Bookman Old Style" w:cs="Arial"/>
          <w:b/>
          <w:bCs/>
          <w:iCs/>
          <w:color w:val="000000" w:themeColor="text1"/>
          <w:lang w:val="es-CO"/>
        </w:rPr>
        <w:t xml:space="preserve"> y </w:t>
      </w:r>
      <m:oMath>
        <m:f>
          <m:fPr>
            <m:ctrlPr>
              <w:rPr>
                <w:rFonts w:ascii="Cambria Math" w:hAnsi="Cambria Math" w:cs="Arial"/>
                <w:b/>
                <w:bCs/>
                <w:i/>
                <w:iCs/>
                <w:color w:val="000000" w:themeColor="text1"/>
                <w:sz w:val="28"/>
                <w:szCs w:val="28"/>
                <w:lang w:val="es-CO"/>
              </w:rPr>
            </m:ctrlPr>
          </m:fPr>
          <m:num>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I</m:t>
                </m:r>
              </m:e>
              <m:sub>
                <m:r>
                  <m:rPr>
                    <m:sty m:val="bi"/>
                  </m:rPr>
                  <w:rPr>
                    <w:rFonts w:ascii="Cambria Math" w:hAnsi="Cambria Math" w:cs="Arial"/>
                    <w:color w:val="000000" w:themeColor="text1"/>
                    <w:sz w:val="28"/>
                    <w:szCs w:val="28"/>
                    <w:lang w:val="es-CO"/>
                  </w:rPr>
                  <m:t>ai-1</m:t>
                </m:r>
              </m:sub>
              <m:sup>
                <m:r>
                  <m:rPr>
                    <m:sty m:val="bi"/>
                  </m:rPr>
                  <w:rPr>
                    <w:rFonts w:ascii="Cambria Math" w:hAnsi="Cambria Math" w:cs="Arial"/>
                    <w:color w:val="000000" w:themeColor="text1"/>
                    <w:sz w:val="28"/>
                    <w:szCs w:val="28"/>
                    <w:lang w:val="es-CO"/>
                  </w:rPr>
                  <m:t>S</m:t>
                </m:r>
              </m:sup>
            </m:sSubSup>
          </m:num>
          <m:den>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I</m:t>
                </m:r>
              </m:e>
              <m:sub>
                <m:r>
                  <m:rPr>
                    <m:sty m:val="bi"/>
                  </m:rPr>
                  <w:rPr>
                    <w:rFonts w:ascii="Cambria Math" w:hAnsi="Cambria Math" w:cs="Arial"/>
                    <w:color w:val="000000" w:themeColor="text1"/>
                    <w:sz w:val="28"/>
                    <w:szCs w:val="28"/>
                    <w:lang w:val="es-CO"/>
                  </w:rPr>
                  <m:t>ai-2</m:t>
                </m:r>
              </m:sub>
              <m:sup>
                <m:r>
                  <m:rPr>
                    <m:sty m:val="bi"/>
                  </m:rPr>
                  <w:rPr>
                    <w:rFonts w:ascii="Cambria Math" w:hAnsi="Cambria Math" w:cs="Arial"/>
                    <w:color w:val="000000" w:themeColor="text1"/>
                    <w:sz w:val="28"/>
                    <w:szCs w:val="28"/>
                    <w:lang w:val="es-CO"/>
                  </w:rPr>
                  <m:t>S</m:t>
                </m:r>
              </m:sup>
            </m:sSubSup>
          </m:den>
        </m:f>
      </m:oMath>
      <w:r w:rsidRPr="00472E28">
        <w:rPr>
          <w:rFonts w:ascii="Bookman Old Style" w:hAnsi="Bookman Old Style" w:cs="Arial"/>
          <w:b/>
          <w:bCs/>
          <w:iCs/>
          <w:color w:val="000000" w:themeColor="text1"/>
          <w:lang w:val="es-CO"/>
        </w:rPr>
        <w:t>, dentro de los cinco (5) días hábiles</w:t>
      </w:r>
      <w:r w:rsidR="00590A38" w:rsidRPr="00472E28">
        <w:rPr>
          <w:rFonts w:ascii="Bookman Old Style" w:hAnsi="Bookman Old Style" w:cs="Arial"/>
          <w:b/>
          <w:bCs/>
          <w:iCs/>
          <w:color w:val="000000" w:themeColor="text1"/>
          <w:lang w:val="es-CO"/>
        </w:rPr>
        <w:t xml:space="preserve"> siguientes</w:t>
      </w:r>
      <w:r w:rsidRPr="00472E28">
        <w:rPr>
          <w:rFonts w:ascii="Bookman Old Style" w:hAnsi="Bookman Old Style" w:cs="Arial"/>
          <w:b/>
          <w:bCs/>
          <w:iCs/>
          <w:color w:val="000000" w:themeColor="text1"/>
          <w:lang w:val="es-CO"/>
        </w:rPr>
        <w:t xml:space="preserve"> a la terminación de</w:t>
      </w:r>
      <w:r w:rsidR="002C49DF" w:rsidRPr="00472E28">
        <w:rPr>
          <w:rFonts w:ascii="Bookman Old Style" w:hAnsi="Bookman Old Style" w:cs="Arial"/>
          <w:b/>
          <w:bCs/>
          <w:iCs/>
          <w:color w:val="000000" w:themeColor="text1"/>
          <w:lang w:val="es-CO"/>
        </w:rPr>
        <w:t xml:space="preserve"> cada</w:t>
      </w:r>
      <w:r w:rsidRPr="00472E28">
        <w:rPr>
          <w:rFonts w:ascii="Bookman Old Style" w:hAnsi="Bookman Old Style" w:cs="Arial"/>
          <w:b/>
          <w:bCs/>
          <w:iCs/>
          <w:color w:val="000000" w:themeColor="text1"/>
          <w:lang w:val="es-CO"/>
        </w:rPr>
        <w:t xml:space="preserve"> trimestre estándar, teniendo en cuenta </w:t>
      </w:r>
      <w:r w:rsidR="002C49DF" w:rsidRPr="00472E28">
        <w:rPr>
          <w:rFonts w:ascii="Bookman Old Style" w:hAnsi="Bookman Old Style" w:cs="Arial"/>
          <w:b/>
          <w:bCs/>
          <w:iCs/>
          <w:color w:val="000000" w:themeColor="text1"/>
          <w:lang w:val="es-CO"/>
        </w:rPr>
        <w:t>que</w:t>
      </w:r>
      <w:r w:rsidR="00272438" w:rsidRPr="00472E28">
        <w:rPr>
          <w:rFonts w:ascii="Bookman Old Style" w:hAnsi="Bookman Old Style" w:cs="Arial"/>
          <w:b/>
          <w:bCs/>
          <w:iCs/>
          <w:color w:val="000000" w:themeColor="text1"/>
          <w:lang w:val="es-CO"/>
        </w:rPr>
        <w:t xml:space="preserve"> el </w:t>
      </w:r>
      <w:r w:rsidR="006119C7" w:rsidRPr="00472E28">
        <w:rPr>
          <w:rFonts w:ascii="Bookman Old Style" w:hAnsi="Bookman Old Style" w:cs="Arial"/>
          <w:b/>
          <w:bCs/>
          <w:iCs/>
          <w:color w:val="000000" w:themeColor="text1"/>
          <w:lang w:val="es-CO"/>
        </w:rPr>
        <w:t>T</w:t>
      </w:r>
      <w:r w:rsidR="00272438" w:rsidRPr="00472E28">
        <w:rPr>
          <w:rFonts w:ascii="Bookman Old Style" w:hAnsi="Bookman Old Style" w:cs="Arial"/>
          <w:b/>
          <w:bCs/>
          <w:iCs/>
          <w:color w:val="000000" w:themeColor="text1"/>
          <w:lang w:val="es-CO"/>
        </w:rPr>
        <w:t xml:space="preserve">rimestre </w:t>
      </w:r>
      <w:r w:rsidR="006119C7" w:rsidRPr="00472E28">
        <w:rPr>
          <w:rFonts w:ascii="Bookman Old Style" w:hAnsi="Bookman Old Style" w:cs="Arial"/>
          <w:b/>
          <w:bCs/>
          <w:iCs/>
          <w:color w:val="000000" w:themeColor="text1"/>
          <w:lang w:val="es-CO"/>
        </w:rPr>
        <w:t>E</w:t>
      </w:r>
      <w:r w:rsidR="00272438" w:rsidRPr="00472E28">
        <w:rPr>
          <w:rFonts w:ascii="Bookman Old Style" w:hAnsi="Bookman Old Style" w:cs="Arial"/>
          <w:b/>
          <w:bCs/>
          <w:iCs/>
          <w:color w:val="000000" w:themeColor="text1"/>
          <w:lang w:val="es-CO"/>
        </w:rPr>
        <w:t xml:space="preserve">stándar </w:t>
      </w:r>
      <w:proofErr w:type="spellStart"/>
      <w:r w:rsidR="006119C7" w:rsidRPr="00472E28">
        <w:rPr>
          <w:rFonts w:ascii="Bookman Old Style" w:hAnsi="Bookman Old Style" w:cs="Arial"/>
          <w:b/>
          <w:bCs/>
          <w:i/>
          <w:color w:val="000000" w:themeColor="text1"/>
          <w:lang w:val="es-CO"/>
        </w:rPr>
        <w:t>TE</w:t>
      </w:r>
      <w:r w:rsidR="006119C7" w:rsidRPr="00472E28">
        <w:rPr>
          <w:rFonts w:ascii="Bookman Old Style" w:hAnsi="Bookman Old Style" w:cs="Arial"/>
          <w:b/>
          <w:bCs/>
          <w:i/>
          <w:color w:val="000000" w:themeColor="text1"/>
          <w:vertAlign w:val="subscript"/>
          <w:lang w:val="es-CO"/>
        </w:rPr>
        <w:t>i</w:t>
      </w:r>
      <w:proofErr w:type="spellEnd"/>
      <w:r w:rsidR="006119C7" w:rsidRPr="00472E28">
        <w:rPr>
          <w:rFonts w:ascii="Bookman Old Style" w:hAnsi="Bookman Old Style" w:cs="Arial"/>
          <w:b/>
          <w:bCs/>
          <w:iCs/>
          <w:color w:val="000000" w:themeColor="text1"/>
          <w:lang w:val="es-CO"/>
        </w:rPr>
        <w:t>,</w:t>
      </w:r>
      <w:r w:rsidR="00272438" w:rsidRPr="00472E28">
        <w:rPr>
          <w:rFonts w:ascii="Bookman Old Style" w:hAnsi="Bookman Old Style" w:cs="Arial"/>
          <w:b/>
          <w:bCs/>
          <w:iCs/>
          <w:color w:val="000000" w:themeColor="text1"/>
          <w:lang w:val="es-CO"/>
        </w:rPr>
        <w:t xml:space="preserve"> corresponde a cada uno de los siguientes</w:t>
      </w:r>
      <w:r w:rsidR="006119C7" w:rsidRPr="00472E28">
        <w:rPr>
          <w:rFonts w:ascii="Bookman Old Style" w:hAnsi="Bookman Old Style" w:cs="Arial"/>
          <w:b/>
          <w:bCs/>
          <w:iCs/>
          <w:color w:val="000000" w:themeColor="text1"/>
          <w:lang w:val="es-CO"/>
        </w:rPr>
        <w:t xml:space="preserve"> trimestres</w:t>
      </w:r>
      <w:r w:rsidRPr="00472E28">
        <w:rPr>
          <w:rFonts w:ascii="Bookman Old Style" w:hAnsi="Bookman Old Style" w:cs="Arial"/>
          <w:b/>
          <w:bCs/>
          <w:iCs/>
          <w:color w:val="000000" w:themeColor="text1"/>
          <w:lang w:val="es-CO"/>
        </w:rPr>
        <w:t>:</w:t>
      </w:r>
    </w:p>
    <w:p w14:paraId="67C186B0" w14:textId="77777777" w:rsidR="001F441D" w:rsidRPr="00472E28" w:rsidRDefault="001F441D" w:rsidP="001F441D">
      <w:pPr>
        <w:ind w:left="2127" w:hanging="1134"/>
        <w:jc w:val="both"/>
        <w:rPr>
          <w:rFonts w:ascii="Bookman Old Style" w:hAnsi="Bookman Old Style" w:cs="Arial"/>
          <w:color w:val="000000" w:themeColor="text1"/>
          <w:lang w:val="es-CO"/>
        </w:rPr>
      </w:pPr>
    </w:p>
    <w:p w14:paraId="0658F92A" w14:textId="6316A1B1" w:rsidR="001F441D" w:rsidRPr="00472E28" w:rsidRDefault="001F441D" w:rsidP="002D5416">
      <w:pPr>
        <w:pStyle w:val="Prrafodelista"/>
        <w:numPr>
          <w:ilvl w:val="0"/>
          <w:numId w:val="261"/>
        </w:numPr>
        <w:jc w:val="both"/>
        <w:rPr>
          <w:rFonts w:ascii="Bookman Old Style" w:hAnsi="Bookman Old Style" w:cs="Arial"/>
          <w:b/>
          <w:bCs/>
          <w:color w:val="000000" w:themeColor="text1"/>
        </w:rPr>
      </w:pPr>
      <w:r w:rsidRPr="00472E28">
        <w:rPr>
          <w:rFonts w:ascii="Bookman Old Style" w:hAnsi="Bookman Old Style" w:cs="Arial"/>
          <w:b/>
          <w:bCs/>
          <w:color w:val="000000" w:themeColor="text1"/>
          <w:sz w:val="24"/>
          <w:szCs w:val="24"/>
        </w:rPr>
        <w:t xml:space="preserve">trimestre estándar de 1 de </w:t>
      </w:r>
      <w:r w:rsidR="00590A38" w:rsidRPr="00472E28">
        <w:rPr>
          <w:rFonts w:ascii="Bookman Old Style" w:hAnsi="Bookman Old Style" w:cs="Arial"/>
          <w:b/>
          <w:bCs/>
          <w:color w:val="000000" w:themeColor="text1"/>
          <w:sz w:val="24"/>
          <w:szCs w:val="24"/>
        </w:rPr>
        <w:t xml:space="preserve">diciembre </w:t>
      </w:r>
      <w:r w:rsidRPr="00472E28">
        <w:rPr>
          <w:rFonts w:ascii="Bookman Old Style" w:hAnsi="Bookman Old Style" w:cs="Arial"/>
          <w:b/>
          <w:bCs/>
          <w:color w:val="000000" w:themeColor="text1"/>
          <w:sz w:val="24"/>
          <w:szCs w:val="24"/>
        </w:rPr>
        <w:t xml:space="preserve">a </w:t>
      </w:r>
      <w:r w:rsidR="00590A38" w:rsidRPr="00472E28">
        <w:rPr>
          <w:rFonts w:ascii="Bookman Old Style" w:hAnsi="Bookman Old Style" w:cs="Arial"/>
          <w:b/>
          <w:bCs/>
          <w:color w:val="000000" w:themeColor="text1"/>
          <w:sz w:val="24"/>
          <w:szCs w:val="24"/>
        </w:rPr>
        <w:t>28 de febrero (29 de febrero en año bisiesto) del siguiente año calendario</w:t>
      </w:r>
      <w:r w:rsidRPr="00472E28">
        <w:rPr>
          <w:rFonts w:ascii="Bookman Old Style" w:hAnsi="Bookman Old Style" w:cs="Arial"/>
          <w:b/>
          <w:bCs/>
          <w:color w:val="000000" w:themeColor="text1"/>
          <w:sz w:val="24"/>
          <w:szCs w:val="24"/>
        </w:rPr>
        <w:t xml:space="preserve">. </w:t>
      </w:r>
    </w:p>
    <w:p w14:paraId="1E5B70F7" w14:textId="77777777" w:rsidR="001F441D" w:rsidRPr="00472E28" w:rsidRDefault="001F441D" w:rsidP="002D5416">
      <w:pPr>
        <w:ind w:left="1134" w:hanging="1134"/>
        <w:jc w:val="both"/>
        <w:rPr>
          <w:rFonts w:ascii="Bookman Old Style" w:hAnsi="Bookman Old Style" w:cs="Arial"/>
          <w:b/>
          <w:bCs/>
          <w:color w:val="000000" w:themeColor="text1"/>
          <w:lang w:val="es-CO"/>
        </w:rPr>
      </w:pPr>
    </w:p>
    <w:p w14:paraId="350969C1" w14:textId="53551DC5" w:rsidR="001F441D" w:rsidRPr="00472E28" w:rsidRDefault="001F441D" w:rsidP="002D5416">
      <w:pPr>
        <w:pStyle w:val="Prrafodelista"/>
        <w:numPr>
          <w:ilvl w:val="0"/>
          <w:numId w:val="261"/>
        </w:numPr>
        <w:jc w:val="both"/>
        <w:rPr>
          <w:rFonts w:ascii="Bookman Old Style" w:hAnsi="Bookman Old Style" w:cs="Arial"/>
          <w:b/>
          <w:bCs/>
          <w:color w:val="000000" w:themeColor="text1"/>
        </w:rPr>
      </w:pPr>
      <w:r w:rsidRPr="00472E28">
        <w:rPr>
          <w:rFonts w:ascii="Bookman Old Style" w:hAnsi="Bookman Old Style" w:cs="Arial"/>
          <w:b/>
          <w:bCs/>
          <w:color w:val="000000" w:themeColor="text1"/>
          <w:sz w:val="24"/>
          <w:szCs w:val="24"/>
        </w:rPr>
        <w:t xml:space="preserve">trimestre estándar de 1 de </w:t>
      </w:r>
      <w:r w:rsidR="00590A38" w:rsidRPr="00472E28">
        <w:rPr>
          <w:rFonts w:ascii="Bookman Old Style" w:hAnsi="Bookman Old Style" w:cs="Arial"/>
          <w:b/>
          <w:bCs/>
          <w:color w:val="000000" w:themeColor="text1"/>
          <w:sz w:val="24"/>
          <w:szCs w:val="24"/>
        </w:rPr>
        <w:t xml:space="preserve">marzo </w:t>
      </w:r>
      <w:r w:rsidRPr="00472E28">
        <w:rPr>
          <w:rFonts w:ascii="Bookman Old Style" w:hAnsi="Bookman Old Style" w:cs="Arial"/>
          <w:b/>
          <w:bCs/>
          <w:color w:val="000000" w:themeColor="text1"/>
          <w:sz w:val="24"/>
          <w:szCs w:val="24"/>
        </w:rPr>
        <w:t xml:space="preserve">a 31 de </w:t>
      </w:r>
      <w:r w:rsidR="00590A38" w:rsidRPr="00472E28">
        <w:rPr>
          <w:rFonts w:ascii="Bookman Old Style" w:hAnsi="Bookman Old Style" w:cs="Arial"/>
          <w:b/>
          <w:bCs/>
          <w:color w:val="000000" w:themeColor="text1"/>
          <w:sz w:val="24"/>
          <w:szCs w:val="24"/>
        </w:rPr>
        <w:t>mayo</w:t>
      </w:r>
      <w:r w:rsidRPr="00472E28">
        <w:rPr>
          <w:rFonts w:ascii="Bookman Old Style" w:hAnsi="Bookman Old Style" w:cs="Arial"/>
          <w:b/>
          <w:bCs/>
          <w:color w:val="000000" w:themeColor="text1"/>
          <w:sz w:val="24"/>
          <w:szCs w:val="24"/>
        </w:rPr>
        <w:t xml:space="preserve">. </w:t>
      </w:r>
    </w:p>
    <w:p w14:paraId="452AE987" w14:textId="77777777" w:rsidR="001F441D" w:rsidRPr="00472E28" w:rsidRDefault="001F441D" w:rsidP="002D5416">
      <w:pPr>
        <w:ind w:left="1134" w:hanging="1134"/>
        <w:jc w:val="both"/>
        <w:rPr>
          <w:rFonts w:ascii="Bookman Old Style" w:hAnsi="Bookman Old Style" w:cs="Arial"/>
          <w:b/>
          <w:bCs/>
          <w:color w:val="000000" w:themeColor="text1"/>
          <w:lang w:val="es-CO"/>
        </w:rPr>
      </w:pPr>
    </w:p>
    <w:p w14:paraId="1A4DC6C6" w14:textId="2561A5DD" w:rsidR="001F441D" w:rsidRPr="00472E28" w:rsidRDefault="001F441D" w:rsidP="002D5416">
      <w:pPr>
        <w:pStyle w:val="Prrafodelista"/>
        <w:numPr>
          <w:ilvl w:val="0"/>
          <w:numId w:val="261"/>
        </w:numPr>
        <w:jc w:val="both"/>
        <w:rPr>
          <w:rFonts w:ascii="Bookman Old Style" w:hAnsi="Bookman Old Style" w:cs="Arial"/>
          <w:b/>
          <w:bCs/>
          <w:color w:val="000000" w:themeColor="text1"/>
        </w:rPr>
      </w:pPr>
      <w:r w:rsidRPr="00472E28">
        <w:rPr>
          <w:rFonts w:ascii="Bookman Old Style" w:hAnsi="Bookman Old Style" w:cs="Arial"/>
          <w:b/>
          <w:bCs/>
          <w:color w:val="000000" w:themeColor="text1"/>
          <w:sz w:val="24"/>
          <w:szCs w:val="24"/>
        </w:rPr>
        <w:t xml:space="preserve">trimestre estándar de 1 de </w:t>
      </w:r>
      <w:r w:rsidR="00590A38" w:rsidRPr="00472E28">
        <w:rPr>
          <w:rFonts w:ascii="Bookman Old Style" w:hAnsi="Bookman Old Style" w:cs="Arial"/>
          <w:b/>
          <w:bCs/>
          <w:color w:val="000000" w:themeColor="text1"/>
          <w:sz w:val="24"/>
          <w:szCs w:val="24"/>
        </w:rPr>
        <w:t xml:space="preserve">junio </w:t>
      </w:r>
      <w:r w:rsidRPr="00472E28">
        <w:rPr>
          <w:rFonts w:ascii="Bookman Old Style" w:hAnsi="Bookman Old Style" w:cs="Arial"/>
          <w:b/>
          <w:bCs/>
          <w:color w:val="000000" w:themeColor="text1"/>
          <w:sz w:val="24"/>
          <w:szCs w:val="24"/>
        </w:rPr>
        <w:t xml:space="preserve">a </w:t>
      </w:r>
      <w:r w:rsidR="00590A38" w:rsidRPr="00472E28">
        <w:rPr>
          <w:rFonts w:ascii="Bookman Old Style" w:hAnsi="Bookman Old Style" w:cs="Arial"/>
          <w:b/>
          <w:bCs/>
          <w:color w:val="000000" w:themeColor="text1"/>
          <w:sz w:val="24"/>
          <w:szCs w:val="24"/>
        </w:rPr>
        <w:t>31 de agosto</w:t>
      </w:r>
      <w:r w:rsidRPr="00472E28">
        <w:rPr>
          <w:rFonts w:ascii="Bookman Old Style" w:hAnsi="Bookman Old Style" w:cs="Arial"/>
          <w:b/>
          <w:bCs/>
          <w:color w:val="000000" w:themeColor="text1"/>
          <w:sz w:val="24"/>
          <w:szCs w:val="24"/>
        </w:rPr>
        <w:t xml:space="preserve">. </w:t>
      </w:r>
    </w:p>
    <w:p w14:paraId="34CF4E88" w14:textId="77777777" w:rsidR="001F441D" w:rsidRPr="00472E28" w:rsidRDefault="001F441D" w:rsidP="002D5416">
      <w:pPr>
        <w:ind w:left="1134" w:hanging="1134"/>
        <w:jc w:val="both"/>
        <w:rPr>
          <w:rFonts w:ascii="Bookman Old Style" w:hAnsi="Bookman Old Style" w:cs="Arial"/>
          <w:b/>
          <w:bCs/>
          <w:color w:val="000000" w:themeColor="text1"/>
          <w:lang w:val="es-CO"/>
        </w:rPr>
      </w:pPr>
    </w:p>
    <w:p w14:paraId="10047E84" w14:textId="779D7E85" w:rsidR="001F441D" w:rsidRPr="00472E28" w:rsidRDefault="001F441D" w:rsidP="002D5416">
      <w:pPr>
        <w:pStyle w:val="Prrafodelista"/>
        <w:numPr>
          <w:ilvl w:val="0"/>
          <w:numId w:val="261"/>
        </w:numPr>
        <w:jc w:val="both"/>
        <w:rPr>
          <w:rFonts w:ascii="Bookman Old Style" w:hAnsi="Bookman Old Style" w:cs="Arial"/>
          <w:b/>
          <w:bCs/>
          <w:color w:val="000000" w:themeColor="text1"/>
        </w:rPr>
      </w:pPr>
      <w:r w:rsidRPr="00472E28">
        <w:rPr>
          <w:rFonts w:ascii="Bookman Old Style" w:hAnsi="Bookman Old Style" w:cs="Arial"/>
          <w:b/>
          <w:bCs/>
          <w:color w:val="000000" w:themeColor="text1"/>
          <w:sz w:val="24"/>
          <w:szCs w:val="24"/>
        </w:rPr>
        <w:t xml:space="preserve">trimestre estándar de 1 de </w:t>
      </w:r>
      <w:r w:rsidR="00590A38" w:rsidRPr="00472E28">
        <w:rPr>
          <w:rFonts w:ascii="Bookman Old Style" w:hAnsi="Bookman Old Style" w:cs="Arial"/>
          <w:b/>
          <w:bCs/>
          <w:color w:val="000000" w:themeColor="text1"/>
          <w:sz w:val="24"/>
          <w:szCs w:val="24"/>
        </w:rPr>
        <w:t xml:space="preserve">septiembre </w:t>
      </w:r>
      <w:r w:rsidRPr="00472E28">
        <w:rPr>
          <w:rFonts w:ascii="Bookman Old Style" w:hAnsi="Bookman Old Style" w:cs="Arial"/>
          <w:b/>
          <w:bCs/>
          <w:color w:val="000000" w:themeColor="text1"/>
          <w:sz w:val="24"/>
          <w:szCs w:val="24"/>
        </w:rPr>
        <w:t xml:space="preserve">a </w:t>
      </w:r>
      <w:r w:rsidR="00590A38" w:rsidRPr="00472E28">
        <w:rPr>
          <w:rFonts w:ascii="Bookman Old Style" w:hAnsi="Bookman Old Style" w:cs="Arial"/>
          <w:b/>
          <w:bCs/>
          <w:color w:val="000000" w:themeColor="text1"/>
          <w:sz w:val="24"/>
          <w:szCs w:val="24"/>
        </w:rPr>
        <w:t>30 de noviembre</w:t>
      </w:r>
      <w:r w:rsidRPr="00472E28">
        <w:rPr>
          <w:rFonts w:ascii="Bookman Old Style" w:hAnsi="Bookman Old Style" w:cs="Arial"/>
          <w:b/>
          <w:bCs/>
          <w:color w:val="000000" w:themeColor="text1"/>
          <w:sz w:val="24"/>
          <w:szCs w:val="24"/>
        </w:rPr>
        <w:t xml:space="preserve">. </w:t>
      </w:r>
    </w:p>
    <w:p w14:paraId="2F7E015F" w14:textId="77777777" w:rsidR="0006302B" w:rsidRPr="0013707D" w:rsidRDefault="0006302B" w:rsidP="0006302B">
      <w:pPr>
        <w:rPr>
          <w:rFonts w:ascii="Bookman Old Style" w:hAnsi="Bookman Old Style"/>
          <w:lang w:val="es-CO"/>
        </w:rPr>
      </w:pPr>
    </w:p>
    <w:p w14:paraId="64E149AB" w14:textId="772E9A18" w:rsidR="00176190" w:rsidRPr="00295053" w:rsidRDefault="00AE5971" w:rsidP="00295053">
      <w:pPr>
        <w:ind w:left="0"/>
        <w:jc w:val="both"/>
        <w:rPr>
          <w:rFonts w:ascii="Bookman Old Style" w:hAnsi="Bookman Old Style"/>
          <w:b/>
          <w:bCs/>
          <w:lang w:val="es-CO"/>
        </w:rPr>
      </w:pPr>
      <w:r>
        <w:rPr>
          <w:rFonts w:ascii="Bookman Old Style" w:hAnsi="Bookman Old Style"/>
          <w:b/>
          <w:bCs/>
          <w:lang w:val="es-CO"/>
        </w:rPr>
        <w:t xml:space="preserve">Dado el caso de que </w:t>
      </w:r>
      <w:r w:rsidR="00176190" w:rsidRPr="00295053">
        <w:rPr>
          <w:rFonts w:ascii="Bookman Old Style" w:hAnsi="Bookman Old Style"/>
          <w:b/>
          <w:bCs/>
          <w:lang w:val="es-CO"/>
        </w:rPr>
        <w:t xml:space="preserve">el </w:t>
      </w:r>
      <w:r>
        <w:rPr>
          <w:rFonts w:ascii="Bookman Old Style" w:hAnsi="Bookman Old Style"/>
          <w:b/>
          <w:bCs/>
          <w:lang w:val="es-CO"/>
        </w:rPr>
        <w:t>índice</w:t>
      </w:r>
      <w:r w:rsidR="00B31A5F">
        <w:rPr>
          <w:rFonts w:ascii="Bookman Old Style" w:hAnsi="Bookman Old Style"/>
          <w:b/>
          <w:bCs/>
          <w:lang w:val="es-CO"/>
        </w:rPr>
        <w:t xml:space="preserve"> de precios</w:t>
      </w:r>
      <w:r w:rsidR="00176190" w:rsidRPr="00295053">
        <w:rPr>
          <w:rFonts w:ascii="Bookman Old Style" w:hAnsi="Bookman Old Style"/>
          <w:b/>
          <w:bCs/>
          <w:lang w:val="es-CO"/>
        </w:rPr>
        <w:t xml:space="preserve"> </w:t>
      </w:r>
      <m:oMath>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I</m:t>
            </m:r>
          </m:e>
          <m:sub>
            <m:r>
              <m:rPr>
                <m:sty m:val="bi"/>
              </m:rPr>
              <w:rPr>
                <w:rFonts w:ascii="Cambria Math" w:hAnsi="Cambria Math" w:cs="Arial"/>
                <w:color w:val="000000" w:themeColor="text1"/>
                <w:lang w:val="es-CO"/>
              </w:rPr>
              <m:t>ai-1</m:t>
            </m:r>
          </m:sub>
          <m:sup>
            <m:r>
              <m:rPr>
                <m:sty m:val="bi"/>
              </m:rPr>
              <w:rPr>
                <w:rFonts w:ascii="Cambria Math" w:hAnsi="Cambria Math" w:cs="Arial"/>
                <w:color w:val="000000" w:themeColor="text1"/>
                <w:lang w:val="es-CO"/>
              </w:rPr>
              <m:t>S</m:t>
            </m:r>
          </m:sup>
        </m:sSubSup>
        <m:r>
          <m:rPr>
            <m:sty m:val="bi"/>
          </m:rPr>
          <w:rPr>
            <w:rFonts w:ascii="Cambria Math" w:hAnsi="Cambria Math" w:cs="Arial"/>
            <w:color w:val="000000" w:themeColor="text1"/>
            <w:lang w:val="es-CO"/>
          </w:rPr>
          <m:t xml:space="preserve"> </m:t>
        </m:r>
      </m:oMath>
      <w:r>
        <w:rPr>
          <w:rFonts w:ascii="Bookman Old Style" w:hAnsi="Bookman Old Style"/>
          <w:b/>
          <w:bCs/>
          <w:lang w:val="es-CO"/>
        </w:rPr>
        <w:t>publicado</w:t>
      </w:r>
      <w:r w:rsidR="00B5372F">
        <w:rPr>
          <w:rFonts w:ascii="Bookman Old Style" w:hAnsi="Bookman Old Style"/>
          <w:b/>
          <w:bCs/>
          <w:lang w:val="es-CO"/>
        </w:rPr>
        <w:t xml:space="preserve"> por el </w:t>
      </w:r>
      <w:r w:rsidR="00B5372F" w:rsidRPr="00295053">
        <w:rPr>
          <w:rFonts w:ascii="Bookman Old Style" w:hAnsi="Bookman Old Style" w:cs="Arial"/>
          <w:b/>
          <w:bCs/>
          <w:i/>
          <w:color w:val="000000" w:themeColor="text1"/>
          <w:lang w:val="es-CO"/>
        </w:rPr>
        <w:t xml:space="preserve">Bureau </w:t>
      </w:r>
      <w:proofErr w:type="spellStart"/>
      <w:r w:rsidR="00B5372F" w:rsidRPr="00295053">
        <w:rPr>
          <w:rFonts w:ascii="Bookman Old Style" w:hAnsi="Bookman Old Style" w:cs="Arial"/>
          <w:b/>
          <w:bCs/>
          <w:i/>
          <w:color w:val="000000" w:themeColor="text1"/>
          <w:lang w:val="es-CO"/>
        </w:rPr>
        <w:t>of</w:t>
      </w:r>
      <w:proofErr w:type="spellEnd"/>
      <w:r w:rsidR="00B5372F" w:rsidRPr="00295053">
        <w:rPr>
          <w:rFonts w:ascii="Bookman Old Style" w:hAnsi="Bookman Old Style" w:cs="Arial"/>
          <w:b/>
          <w:bCs/>
          <w:i/>
          <w:color w:val="000000" w:themeColor="text1"/>
          <w:lang w:val="es-CO"/>
        </w:rPr>
        <w:t xml:space="preserve"> Labor </w:t>
      </w:r>
      <w:proofErr w:type="spellStart"/>
      <w:r w:rsidR="00B5372F" w:rsidRPr="00295053">
        <w:rPr>
          <w:rFonts w:ascii="Bookman Old Style" w:hAnsi="Bookman Old Style" w:cs="Arial"/>
          <w:b/>
          <w:bCs/>
          <w:i/>
          <w:color w:val="000000" w:themeColor="text1"/>
          <w:lang w:val="es-CO"/>
        </w:rPr>
        <w:t>Statistics</w:t>
      </w:r>
      <w:proofErr w:type="spellEnd"/>
      <w:r w:rsidRPr="00B5372F">
        <w:rPr>
          <w:rFonts w:ascii="Bookman Old Style" w:hAnsi="Bookman Old Style"/>
          <w:b/>
          <w:bCs/>
          <w:lang w:val="es-CO"/>
        </w:rPr>
        <w:t xml:space="preserve"> </w:t>
      </w:r>
      <w:r>
        <w:rPr>
          <w:rFonts w:ascii="Bookman Old Style" w:hAnsi="Bookman Old Style"/>
          <w:b/>
          <w:bCs/>
          <w:lang w:val="es-CO"/>
        </w:rPr>
        <w:t>para la fecha de cálculo</w:t>
      </w:r>
      <w:r w:rsidR="00B31A5F">
        <w:rPr>
          <w:rFonts w:ascii="Bookman Old Style" w:hAnsi="Bookman Old Style"/>
          <w:b/>
          <w:bCs/>
          <w:lang w:val="es-CO"/>
        </w:rPr>
        <w:t xml:space="preserve"> del Gestor del Mercado,</w:t>
      </w:r>
      <w:r>
        <w:rPr>
          <w:rFonts w:ascii="Bookman Old Style" w:hAnsi="Bookman Old Style"/>
          <w:b/>
          <w:bCs/>
          <w:lang w:val="es-CO"/>
        </w:rPr>
        <w:t xml:space="preserve"> corresponda</w:t>
      </w:r>
      <w:r w:rsidR="00176190" w:rsidRPr="00295053">
        <w:rPr>
          <w:rFonts w:ascii="Bookman Old Style" w:hAnsi="Bookman Old Style"/>
          <w:b/>
          <w:bCs/>
          <w:lang w:val="es-CO"/>
        </w:rPr>
        <w:t xml:space="preserve"> </w:t>
      </w:r>
      <w:r w:rsidR="00B5372F">
        <w:rPr>
          <w:rFonts w:ascii="Bookman Old Style" w:hAnsi="Bookman Old Style"/>
          <w:b/>
          <w:bCs/>
          <w:lang w:val="es-CO"/>
        </w:rPr>
        <w:t xml:space="preserve">a </w:t>
      </w:r>
      <w:r w:rsidR="00176190" w:rsidRPr="00295053">
        <w:rPr>
          <w:rFonts w:ascii="Bookman Old Style" w:hAnsi="Bookman Old Style"/>
          <w:b/>
          <w:bCs/>
          <w:lang w:val="es-CO"/>
        </w:rPr>
        <w:t xml:space="preserve">un valor preliminar y posteriormente </w:t>
      </w:r>
      <w:r w:rsidR="00B31A5F">
        <w:rPr>
          <w:rFonts w:ascii="Bookman Old Style" w:hAnsi="Bookman Old Style"/>
          <w:b/>
          <w:bCs/>
          <w:lang w:val="es-CO"/>
        </w:rPr>
        <w:t xml:space="preserve">publique </w:t>
      </w:r>
      <w:r w:rsidR="00176190" w:rsidRPr="00295053">
        <w:rPr>
          <w:rFonts w:ascii="Bookman Old Style" w:hAnsi="Bookman Old Style"/>
          <w:b/>
          <w:bCs/>
          <w:lang w:val="es-CO"/>
        </w:rPr>
        <w:t>un valor definitivo, la facturación que se realice para</w:t>
      </w:r>
      <w:r w:rsidR="00B5372F">
        <w:rPr>
          <w:rFonts w:ascii="Bookman Old Style" w:hAnsi="Bookman Old Style"/>
          <w:b/>
          <w:bCs/>
          <w:lang w:val="es-CO"/>
        </w:rPr>
        <w:t xml:space="preserve"> los</w:t>
      </w:r>
      <w:r w:rsidR="00176190" w:rsidRPr="00295053">
        <w:rPr>
          <w:rFonts w:ascii="Bookman Old Style" w:hAnsi="Bookman Old Style"/>
          <w:b/>
          <w:bCs/>
          <w:lang w:val="es-CO"/>
        </w:rPr>
        <w:t xml:space="preserve"> </w:t>
      </w:r>
      <w:r w:rsidR="00B5372F">
        <w:rPr>
          <w:rFonts w:ascii="Bookman Old Style" w:hAnsi="Bookman Old Style"/>
          <w:b/>
          <w:bCs/>
          <w:lang w:val="es-CO"/>
        </w:rPr>
        <w:t xml:space="preserve">meses transcurridos desde el inicio de aplicación del precio actualizado anualmente hasta que </w:t>
      </w:r>
      <w:r w:rsidR="00176190" w:rsidRPr="00295053">
        <w:rPr>
          <w:rFonts w:ascii="Bookman Old Style" w:hAnsi="Bookman Old Style"/>
          <w:b/>
          <w:bCs/>
          <w:lang w:val="es-CO"/>
        </w:rPr>
        <w:t xml:space="preserve">se publique </w:t>
      </w:r>
      <w:r w:rsidR="00B5372F">
        <w:rPr>
          <w:rFonts w:ascii="Bookman Old Style" w:hAnsi="Bookman Old Style"/>
          <w:b/>
          <w:bCs/>
          <w:lang w:val="es-CO"/>
        </w:rPr>
        <w:t>el valor definitivo</w:t>
      </w:r>
      <w:r w:rsidR="00176190" w:rsidRPr="00295053">
        <w:rPr>
          <w:rFonts w:ascii="Bookman Old Style" w:hAnsi="Bookman Old Style"/>
          <w:b/>
          <w:bCs/>
          <w:lang w:val="es-CO"/>
        </w:rPr>
        <w:t xml:space="preserve"> del índice de </w:t>
      </w:r>
      <w:r w:rsidR="00B5372F">
        <w:rPr>
          <w:rFonts w:ascii="Bookman Old Style" w:hAnsi="Bookman Old Style"/>
          <w:b/>
          <w:bCs/>
          <w:lang w:val="es-CO"/>
        </w:rPr>
        <w:t>precios,</w:t>
      </w:r>
      <w:r w:rsidR="00176190" w:rsidRPr="00295053">
        <w:rPr>
          <w:rFonts w:ascii="Bookman Old Style" w:hAnsi="Bookman Old Style"/>
          <w:b/>
          <w:bCs/>
          <w:lang w:val="es-CO"/>
        </w:rPr>
        <w:t xml:space="preserve"> en cada año </w:t>
      </w:r>
      <w:proofErr w:type="spellStart"/>
      <w:r w:rsidR="00B5372F" w:rsidRPr="00295053">
        <w:rPr>
          <w:rFonts w:ascii="Bookman Old Style" w:hAnsi="Bookman Old Style"/>
          <w:b/>
          <w:bCs/>
          <w:i/>
          <w:iCs/>
          <w:lang w:val="es-CO"/>
        </w:rPr>
        <w:t>a</w:t>
      </w:r>
      <w:r w:rsidR="00B5372F" w:rsidRPr="00295053">
        <w:rPr>
          <w:rFonts w:ascii="Bookman Old Style" w:hAnsi="Bookman Old Style"/>
          <w:b/>
          <w:bCs/>
          <w:i/>
          <w:iCs/>
          <w:vertAlign w:val="subscript"/>
          <w:lang w:val="es-CO"/>
        </w:rPr>
        <w:t>i</w:t>
      </w:r>
      <w:proofErr w:type="spellEnd"/>
      <w:r w:rsidR="00B5372F">
        <w:rPr>
          <w:rFonts w:ascii="Bookman Old Style" w:hAnsi="Bookman Old Style"/>
          <w:b/>
          <w:bCs/>
          <w:lang w:val="es-CO"/>
        </w:rPr>
        <w:t xml:space="preserve"> de ejecución del contrato</w:t>
      </w:r>
      <w:r w:rsidR="00176190" w:rsidRPr="00295053">
        <w:rPr>
          <w:rFonts w:ascii="Bookman Old Style" w:hAnsi="Bookman Old Style"/>
          <w:b/>
          <w:bCs/>
          <w:lang w:val="es-CO"/>
        </w:rPr>
        <w:t xml:space="preserve">, se efectuará con el precio </w:t>
      </w:r>
      <w:r w:rsidR="00B5372F">
        <w:rPr>
          <w:rFonts w:ascii="Bookman Old Style" w:hAnsi="Bookman Old Style"/>
          <w:b/>
          <w:bCs/>
          <w:lang w:val="es-CO"/>
        </w:rPr>
        <w:t>obtenido a partir del</w:t>
      </w:r>
      <w:r w:rsidR="00176190" w:rsidRPr="00295053">
        <w:rPr>
          <w:rFonts w:ascii="Bookman Old Style" w:hAnsi="Bookman Old Style"/>
          <w:b/>
          <w:bCs/>
          <w:lang w:val="es-CO"/>
        </w:rPr>
        <w:t xml:space="preserve"> </w:t>
      </w:r>
      <w:r w:rsidR="00B5372F">
        <w:rPr>
          <w:rFonts w:ascii="Bookman Old Style" w:hAnsi="Bookman Old Style"/>
          <w:b/>
          <w:bCs/>
          <w:lang w:val="es-CO"/>
        </w:rPr>
        <w:t xml:space="preserve">cociente publicado por el Gestor del mercado </w:t>
      </w:r>
      <w:r w:rsidR="00721826">
        <w:rPr>
          <w:rFonts w:ascii="Bookman Old Style" w:hAnsi="Bookman Old Style"/>
          <w:b/>
          <w:bCs/>
          <w:lang w:val="es-CO"/>
        </w:rPr>
        <w:t xml:space="preserve">en el que utilizó el </w:t>
      </w:r>
      <w:r w:rsidR="00176190" w:rsidRPr="00295053">
        <w:rPr>
          <w:rFonts w:ascii="Bookman Old Style" w:hAnsi="Bookman Old Style"/>
          <w:b/>
          <w:bCs/>
          <w:lang w:val="es-CO"/>
        </w:rPr>
        <w:t>índice preliminar</w:t>
      </w:r>
      <w:r w:rsidR="00721826">
        <w:rPr>
          <w:rFonts w:ascii="Bookman Old Style" w:hAnsi="Bookman Old Style"/>
          <w:b/>
          <w:bCs/>
          <w:lang w:val="es-CO"/>
        </w:rPr>
        <w:t xml:space="preserve"> </w:t>
      </w:r>
      <m:oMath>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I</m:t>
            </m:r>
          </m:e>
          <m:sub>
            <m:r>
              <m:rPr>
                <m:sty m:val="bi"/>
              </m:rPr>
              <w:rPr>
                <w:rFonts w:ascii="Cambria Math" w:hAnsi="Cambria Math" w:cs="Arial"/>
                <w:color w:val="000000" w:themeColor="text1"/>
                <w:lang w:val="es-CO"/>
              </w:rPr>
              <m:t>ai-1</m:t>
            </m:r>
          </m:sub>
          <m:sup>
            <m:r>
              <m:rPr>
                <m:sty m:val="bi"/>
              </m:rPr>
              <w:rPr>
                <w:rFonts w:ascii="Cambria Math" w:hAnsi="Cambria Math" w:cs="Arial"/>
                <w:color w:val="000000" w:themeColor="text1"/>
                <w:lang w:val="es-CO"/>
              </w:rPr>
              <m:t>S</m:t>
            </m:r>
          </m:sup>
        </m:sSubSup>
      </m:oMath>
      <w:r w:rsidR="00176190" w:rsidRPr="00295053">
        <w:rPr>
          <w:rFonts w:ascii="Bookman Old Style" w:hAnsi="Bookman Old Style"/>
          <w:b/>
          <w:bCs/>
          <w:lang w:val="es-CO"/>
        </w:rPr>
        <w:t xml:space="preserve">. </w:t>
      </w:r>
      <w:r w:rsidR="00B5372F">
        <w:rPr>
          <w:rFonts w:ascii="Bookman Old Style" w:hAnsi="Bookman Old Style"/>
          <w:b/>
          <w:bCs/>
          <w:lang w:val="es-CO"/>
        </w:rPr>
        <w:t xml:space="preserve">El Gestor del Mercado dentro de los cinco (5) días hábiles siguientes a la publicación del índice de precios definitivo </w:t>
      </w:r>
      <m:oMath>
        <m:sSubSup>
          <m:sSubSupPr>
            <m:ctrlPr>
              <w:rPr>
                <w:rFonts w:ascii="Cambria Math" w:hAnsi="Cambria Math" w:cs="Arial"/>
                <w:b/>
                <w:bCs/>
                <w:i/>
                <w:iCs/>
                <w:color w:val="000000" w:themeColor="text1"/>
                <w:lang w:val="es-CO"/>
              </w:rPr>
            </m:ctrlPr>
          </m:sSubSupPr>
          <m:e>
            <m:r>
              <m:rPr>
                <m:sty m:val="bi"/>
              </m:rPr>
              <w:rPr>
                <w:rFonts w:ascii="Cambria Math" w:hAnsi="Cambria Math" w:cs="Arial"/>
                <w:color w:val="000000" w:themeColor="text1"/>
                <w:lang w:val="es-CO"/>
              </w:rPr>
              <m:t>I</m:t>
            </m:r>
          </m:e>
          <m:sub>
            <m:r>
              <m:rPr>
                <m:sty m:val="bi"/>
              </m:rPr>
              <w:rPr>
                <w:rFonts w:ascii="Cambria Math" w:hAnsi="Cambria Math" w:cs="Arial"/>
                <w:color w:val="000000" w:themeColor="text1"/>
                <w:lang w:val="es-CO"/>
              </w:rPr>
              <m:t>ai-1</m:t>
            </m:r>
          </m:sub>
          <m:sup>
            <m:r>
              <m:rPr>
                <m:sty m:val="bi"/>
              </m:rPr>
              <w:rPr>
                <w:rFonts w:ascii="Cambria Math" w:hAnsi="Cambria Math" w:cs="Arial"/>
                <w:color w:val="000000" w:themeColor="text1"/>
                <w:lang w:val="es-CO"/>
              </w:rPr>
              <m:t>S</m:t>
            </m:r>
          </m:sup>
        </m:sSubSup>
      </m:oMath>
      <w:r w:rsidR="00B5372F">
        <w:rPr>
          <w:rFonts w:ascii="Bookman Old Style" w:hAnsi="Bookman Old Style"/>
          <w:b/>
          <w:bCs/>
          <w:iCs/>
          <w:color w:val="000000" w:themeColor="text1"/>
          <w:lang w:val="es-CO"/>
        </w:rPr>
        <w:t xml:space="preserve">, </w:t>
      </w:r>
      <w:r w:rsidR="00B5372F">
        <w:rPr>
          <w:rFonts w:ascii="Bookman Old Style" w:hAnsi="Bookman Old Style"/>
          <w:b/>
          <w:bCs/>
          <w:lang w:val="es-CO"/>
        </w:rPr>
        <w:t>publicará</w:t>
      </w:r>
      <w:r w:rsidR="00176190" w:rsidRPr="00295053">
        <w:rPr>
          <w:rFonts w:ascii="Bookman Old Style" w:hAnsi="Bookman Old Style"/>
          <w:b/>
          <w:bCs/>
          <w:lang w:val="es-CO"/>
        </w:rPr>
        <w:t xml:space="preserve"> </w:t>
      </w:r>
      <w:r w:rsidR="00B5372F">
        <w:rPr>
          <w:rFonts w:ascii="Bookman Old Style" w:hAnsi="Bookman Old Style"/>
          <w:b/>
          <w:bCs/>
          <w:lang w:val="es-CO"/>
        </w:rPr>
        <w:t xml:space="preserve">el valor definitivo del </w:t>
      </w:r>
      <w:r w:rsidR="00721826">
        <w:rPr>
          <w:rFonts w:ascii="Bookman Old Style" w:hAnsi="Bookman Old Style"/>
          <w:b/>
          <w:bCs/>
          <w:lang w:val="es-CO"/>
        </w:rPr>
        <w:t xml:space="preserve">cociente </w:t>
      </w:r>
      <m:oMath>
        <m:f>
          <m:fPr>
            <m:ctrlPr>
              <w:rPr>
                <w:rFonts w:ascii="Cambria Math" w:hAnsi="Cambria Math" w:cs="Arial"/>
                <w:b/>
                <w:bCs/>
                <w:i/>
                <w:iCs/>
                <w:color w:val="000000" w:themeColor="text1"/>
                <w:sz w:val="28"/>
                <w:szCs w:val="28"/>
                <w:lang w:val="es-CO"/>
              </w:rPr>
            </m:ctrlPr>
          </m:fPr>
          <m:num>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I</m:t>
                </m:r>
              </m:e>
              <m:sub>
                <m:r>
                  <m:rPr>
                    <m:sty m:val="bi"/>
                  </m:rPr>
                  <w:rPr>
                    <w:rFonts w:ascii="Cambria Math" w:hAnsi="Cambria Math" w:cs="Arial"/>
                    <w:color w:val="000000" w:themeColor="text1"/>
                    <w:sz w:val="28"/>
                    <w:szCs w:val="28"/>
                    <w:lang w:val="es-CO"/>
                  </w:rPr>
                  <m:t>ai-1</m:t>
                </m:r>
              </m:sub>
              <m:sup>
                <m:r>
                  <m:rPr>
                    <m:sty m:val="bi"/>
                  </m:rPr>
                  <w:rPr>
                    <w:rFonts w:ascii="Cambria Math" w:hAnsi="Cambria Math" w:cs="Arial"/>
                    <w:color w:val="000000" w:themeColor="text1"/>
                    <w:sz w:val="28"/>
                    <w:szCs w:val="28"/>
                    <w:lang w:val="es-CO"/>
                  </w:rPr>
                  <m:t>S</m:t>
                </m:r>
              </m:sup>
            </m:sSubSup>
          </m:num>
          <m:den>
            <m:sSubSup>
              <m:sSubSupPr>
                <m:ctrlPr>
                  <w:rPr>
                    <w:rFonts w:ascii="Cambria Math" w:hAnsi="Cambria Math" w:cs="Arial"/>
                    <w:b/>
                    <w:bCs/>
                    <w:i/>
                    <w:iCs/>
                    <w:color w:val="000000" w:themeColor="text1"/>
                    <w:sz w:val="28"/>
                    <w:szCs w:val="28"/>
                    <w:lang w:val="es-CO"/>
                  </w:rPr>
                </m:ctrlPr>
              </m:sSubSupPr>
              <m:e>
                <m:r>
                  <m:rPr>
                    <m:sty m:val="bi"/>
                  </m:rPr>
                  <w:rPr>
                    <w:rFonts w:ascii="Cambria Math" w:hAnsi="Cambria Math" w:cs="Arial"/>
                    <w:color w:val="000000" w:themeColor="text1"/>
                    <w:sz w:val="28"/>
                    <w:szCs w:val="28"/>
                    <w:lang w:val="es-CO"/>
                  </w:rPr>
                  <m:t>I</m:t>
                </m:r>
              </m:e>
              <m:sub>
                <m:r>
                  <m:rPr>
                    <m:sty m:val="bi"/>
                  </m:rPr>
                  <w:rPr>
                    <w:rFonts w:ascii="Cambria Math" w:hAnsi="Cambria Math" w:cs="Arial"/>
                    <w:color w:val="000000" w:themeColor="text1"/>
                    <w:sz w:val="28"/>
                    <w:szCs w:val="28"/>
                    <w:lang w:val="es-CO"/>
                  </w:rPr>
                  <m:t>ai-2</m:t>
                </m:r>
              </m:sub>
              <m:sup>
                <m:r>
                  <m:rPr>
                    <m:sty m:val="bi"/>
                  </m:rPr>
                  <w:rPr>
                    <w:rFonts w:ascii="Cambria Math" w:hAnsi="Cambria Math" w:cs="Arial"/>
                    <w:color w:val="000000" w:themeColor="text1"/>
                    <w:sz w:val="28"/>
                    <w:szCs w:val="28"/>
                    <w:lang w:val="es-CO"/>
                  </w:rPr>
                  <m:t>S</m:t>
                </m:r>
              </m:sup>
            </m:sSubSup>
          </m:den>
        </m:f>
      </m:oMath>
      <w:r w:rsidR="00B5372F">
        <w:rPr>
          <w:rFonts w:ascii="Bookman Old Style" w:hAnsi="Bookman Old Style"/>
          <w:b/>
          <w:bCs/>
          <w:lang w:val="es-CO"/>
        </w:rPr>
        <w:t xml:space="preserve">, a partir de ese momento </w:t>
      </w:r>
      <w:r w:rsidR="00176190" w:rsidRPr="00295053">
        <w:rPr>
          <w:rFonts w:ascii="Bookman Old Style" w:hAnsi="Bookman Old Style"/>
          <w:b/>
          <w:bCs/>
          <w:lang w:val="es-CO"/>
        </w:rPr>
        <w:t xml:space="preserve">se calculará el precio con </w:t>
      </w:r>
      <w:r w:rsidR="00721826">
        <w:rPr>
          <w:rFonts w:ascii="Bookman Old Style" w:hAnsi="Bookman Old Style"/>
          <w:b/>
          <w:bCs/>
          <w:lang w:val="es-CO"/>
        </w:rPr>
        <w:t>dicho cociente</w:t>
      </w:r>
      <w:r w:rsidR="00176190" w:rsidRPr="00295053">
        <w:rPr>
          <w:rFonts w:ascii="Bookman Old Style" w:hAnsi="Bookman Old Style"/>
          <w:b/>
          <w:bCs/>
          <w:lang w:val="es-CO"/>
        </w:rPr>
        <w:t xml:space="preserve"> y se ajustará únicamente la facturación que se haya realizado para </w:t>
      </w:r>
      <w:r w:rsidR="00B5372F">
        <w:rPr>
          <w:rFonts w:ascii="Bookman Old Style" w:hAnsi="Bookman Old Style"/>
          <w:b/>
          <w:bCs/>
          <w:lang w:val="es-CO"/>
        </w:rPr>
        <w:t xml:space="preserve">los meses en que </w:t>
      </w:r>
      <w:r w:rsidR="00721826">
        <w:rPr>
          <w:rFonts w:ascii="Bookman Old Style" w:hAnsi="Bookman Old Style"/>
          <w:b/>
          <w:bCs/>
          <w:lang w:val="es-CO"/>
        </w:rPr>
        <w:t>s</w:t>
      </w:r>
      <w:r w:rsidR="00B5372F">
        <w:rPr>
          <w:rFonts w:ascii="Bookman Old Style" w:hAnsi="Bookman Old Style"/>
          <w:b/>
          <w:bCs/>
          <w:lang w:val="es-CO"/>
        </w:rPr>
        <w:t xml:space="preserve">e aplicó el precio actualizado con el </w:t>
      </w:r>
      <w:r w:rsidR="00721826">
        <w:rPr>
          <w:rFonts w:ascii="Bookman Old Style" w:hAnsi="Bookman Old Style"/>
          <w:b/>
          <w:bCs/>
          <w:lang w:val="es-CO"/>
        </w:rPr>
        <w:t>cociente</w:t>
      </w:r>
      <w:r w:rsidR="00B5372F">
        <w:rPr>
          <w:rFonts w:ascii="Bookman Old Style" w:hAnsi="Bookman Old Style"/>
          <w:b/>
          <w:bCs/>
          <w:lang w:val="es-CO"/>
        </w:rPr>
        <w:t xml:space="preserve"> preliminar</w:t>
      </w:r>
      <w:r w:rsidR="00176190" w:rsidRPr="00295053">
        <w:rPr>
          <w:rFonts w:ascii="Bookman Old Style" w:hAnsi="Bookman Old Style"/>
          <w:b/>
          <w:bCs/>
          <w:lang w:val="es-CO"/>
        </w:rPr>
        <w:t xml:space="preserve">. De ahí en adelante se aplicará el precio actualizado con el </w:t>
      </w:r>
      <w:r w:rsidR="00721826">
        <w:rPr>
          <w:rFonts w:ascii="Bookman Old Style" w:hAnsi="Bookman Old Style"/>
          <w:b/>
          <w:bCs/>
          <w:lang w:val="es-CO"/>
        </w:rPr>
        <w:t xml:space="preserve">cociente </w:t>
      </w:r>
      <w:r w:rsidR="00176190" w:rsidRPr="00295053">
        <w:rPr>
          <w:rFonts w:ascii="Bookman Old Style" w:hAnsi="Bookman Old Style"/>
          <w:b/>
          <w:bCs/>
          <w:lang w:val="es-CO"/>
        </w:rPr>
        <w:t>definitivo</w:t>
      </w:r>
      <w:r w:rsidR="00721826">
        <w:rPr>
          <w:rFonts w:ascii="Bookman Old Style" w:hAnsi="Bookman Old Style"/>
          <w:b/>
          <w:bCs/>
          <w:lang w:val="es-CO"/>
        </w:rPr>
        <w:t xml:space="preserve"> publicado por el Gestor del Mercado</w:t>
      </w:r>
      <w:r w:rsidR="00176190" w:rsidRPr="00295053">
        <w:rPr>
          <w:rFonts w:ascii="Bookman Old Style" w:hAnsi="Bookman Old Style"/>
          <w:b/>
          <w:bCs/>
          <w:lang w:val="es-CO"/>
        </w:rPr>
        <w:t>.</w:t>
      </w:r>
    </w:p>
    <w:tbl>
      <w:tblPr>
        <w:tblW w:w="9468" w:type="dxa"/>
        <w:tblInd w:w="-70" w:type="dxa"/>
        <w:tblCellMar>
          <w:left w:w="70" w:type="dxa"/>
          <w:right w:w="70" w:type="dxa"/>
        </w:tblCellMar>
        <w:tblLook w:val="04A0" w:firstRow="1" w:lastRow="0" w:firstColumn="1" w:lastColumn="0" w:noHBand="0" w:noVBand="1"/>
      </w:tblPr>
      <w:tblGrid>
        <w:gridCol w:w="4572"/>
        <w:gridCol w:w="4896"/>
      </w:tblGrid>
      <w:tr w:rsidR="0006302B" w:rsidRPr="0013707D" w14:paraId="6F75883A" w14:textId="77777777" w:rsidTr="002D5416">
        <w:trPr>
          <w:trHeight w:val="302"/>
        </w:trPr>
        <w:tc>
          <w:tcPr>
            <w:tcW w:w="4572" w:type="dxa"/>
            <w:hideMark/>
          </w:tcPr>
          <w:p w14:paraId="051B40D3" w14:textId="49D91011" w:rsidR="0006302B" w:rsidRPr="0013707D" w:rsidRDefault="0006302B" w:rsidP="00341DAD">
            <w:pPr>
              <w:ind w:left="204"/>
              <w:jc w:val="center"/>
              <w:rPr>
                <w:rFonts w:ascii="Bookman Old Style" w:hAnsi="Bookman Old Style" w:cs="Arial"/>
                <w:b/>
                <w:spacing w:val="-3"/>
                <w:lang w:val="es-CO"/>
              </w:rPr>
            </w:pPr>
          </w:p>
        </w:tc>
        <w:tc>
          <w:tcPr>
            <w:tcW w:w="4896" w:type="dxa"/>
            <w:hideMark/>
          </w:tcPr>
          <w:p w14:paraId="01929547" w14:textId="63598D51" w:rsidR="0006302B" w:rsidRPr="0013707D" w:rsidRDefault="0006302B" w:rsidP="00341DAD">
            <w:pPr>
              <w:ind w:left="161"/>
              <w:jc w:val="center"/>
              <w:rPr>
                <w:rFonts w:ascii="Bookman Old Style" w:hAnsi="Bookman Old Style" w:cs="Arial"/>
                <w:b/>
                <w:spacing w:val="-3"/>
                <w:lang w:val="es-CO"/>
              </w:rPr>
            </w:pPr>
          </w:p>
        </w:tc>
      </w:tr>
    </w:tbl>
    <w:p w14:paraId="3825B930" w14:textId="77777777" w:rsidR="0006302B" w:rsidRDefault="0006302B" w:rsidP="0006302B">
      <w:pPr>
        <w:pStyle w:val="Ttulo1"/>
        <w:rPr>
          <w:rFonts w:ascii="Bookman Old Style" w:hAnsi="Bookman Old Style"/>
          <w:color w:val="000000" w:themeColor="text1"/>
        </w:rPr>
      </w:pPr>
      <w:r w:rsidRPr="0013707D">
        <w:rPr>
          <w:rFonts w:ascii="Bookman Old Style" w:hAnsi="Bookman Old Style"/>
          <w:color w:val="000000" w:themeColor="text1"/>
        </w:rPr>
        <w:br w:type="page"/>
      </w:r>
      <w:bookmarkStart w:id="140" w:name="_Ref442880254"/>
      <w:bookmarkEnd w:id="135"/>
    </w:p>
    <w:p w14:paraId="5DF8DAB6" w14:textId="77777777" w:rsidR="0006302B" w:rsidRPr="0013707D" w:rsidRDefault="0006302B" w:rsidP="0006302B">
      <w:pPr>
        <w:pStyle w:val="Ttulo1"/>
        <w:ind w:left="0"/>
        <w:rPr>
          <w:rFonts w:ascii="Bookman Old Style" w:hAnsi="Bookman Old Style"/>
          <w:color w:val="000000" w:themeColor="text1"/>
        </w:rPr>
      </w:pPr>
      <w:bookmarkStart w:id="141" w:name="_Ref442967428"/>
      <w:bookmarkStart w:id="142" w:name="_Ref328041433"/>
      <w:bookmarkStart w:id="143" w:name="_Ref328042189"/>
      <w:bookmarkStart w:id="144" w:name="_Ref328042519"/>
      <w:bookmarkStart w:id="145" w:name="_Toc328748372"/>
      <w:bookmarkEnd w:id="140"/>
      <w:r w:rsidRPr="0013707D">
        <w:rPr>
          <w:rFonts w:ascii="Bookman Old Style" w:hAnsi="Bookman Old Style"/>
          <w:color w:val="000000" w:themeColor="text1"/>
        </w:rPr>
        <w:lastRenderedPageBreak/>
        <w:t xml:space="preserve">Anexo </w:t>
      </w:r>
      <w:bookmarkEnd w:id="141"/>
      <w:r>
        <w:rPr>
          <w:rFonts w:ascii="Bookman Old Style" w:hAnsi="Bookman Old Style"/>
          <w:color w:val="000000" w:themeColor="text1"/>
        </w:rPr>
        <w:t>4</w:t>
      </w:r>
    </w:p>
    <w:bookmarkEnd w:id="142"/>
    <w:bookmarkEnd w:id="143"/>
    <w:bookmarkEnd w:id="144"/>
    <w:bookmarkEnd w:id="145"/>
    <w:p w14:paraId="2EEB4F1C" w14:textId="77777777" w:rsidR="0006302B" w:rsidRPr="007D7881" w:rsidRDefault="0006302B" w:rsidP="0006302B">
      <w:pPr>
        <w:pStyle w:val="Ttulo1"/>
        <w:ind w:left="0"/>
        <w:rPr>
          <w:rFonts w:ascii="Bookman Old Style" w:hAnsi="Bookman Old Style"/>
          <w:b w:val="0"/>
          <w:color w:val="000000" w:themeColor="text1"/>
          <w:highlight w:val="lightGray"/>
        </w:rPr>
      </w:pPr>
      <w:r w:rsidRPr="0013707D">
        <w:rPr>
          <w:rFonts w:ascii="Bookman Old Style" w:hAnsi="Bookman Old Style"/>
          <w:color w:val="000000" w:themeColor="text1"/>
        </w:rPr>
        <w:t xml:space="preserve">Reglamento de las subastas </w:t>
      </w:r>
      <w:r w:rsidRPr="00BB0741">
        <w:rPr>
          <w:rFonts w:ascii="Bookman Old Style" w:hAnsi="Bookman Old Style"/>
          <w:color w:val="000000" w:themeColor="text1"/>
        </w:rPr>
        <w:t xml:space="preserve">del proceso úselo o véndalo de corto plazo para gas natural </w:t>
      </w:r>
    </w:p>
    <w:p w14:paraId="1446BA98" w14:textId="77777777" w:rsidR="0006302B" w:rsidRPr="007D7881" w:rsidRDefault="0006302B" w:rsidP="0006302B">
      <w:pPr>
        <w:ind w:left="0"/>
        <w:rPr>
          <w:rFonts w:ascii="Bookman Old Style" w:hAnsi="Bookman Old Style"/>
          <w:b/>
          <w:bCs/>
          <w:color w:val="000000" w:themeColor="text1"/>
          <w:highlight w:val="lightGray"/>
          <w:lang w:val="es-CO" w:eastAsia="x-none"/>
        </w:rPr>
      </w:pPr>
    </w:p>
    <w:p w14:paraId="246855AF" w14:textId="77777777" w:rsidR="0006302B" w:rsidRPr="0013707D" w:rsidRDefault="0006302B" w:rsidP="00A4790E">
      <w:pPr>
        <w:numPr>
          <w:ilvl w:val="0"/>
          <w:numId w:val="74"/>
        </w:numPr>
        <w:ind w:left="567" w:hanging="567"/>
        <w:jc w:val="both"/>
        <w:rPr>
          <w:rFonts w:ascii="Bookman Old Style" w:hAnsi="Bookman Old Style"/>
          <w:b/>
          <w:bCs/>
          <w:color w:val="000000" w:themeColor="text1"/>
          <w:lang w:val="es-CO" w:eastAsia="x-none"/>
        </w:rPr>
      </w:pPr>
      <w:r w:rsidRPr="0013707D">
        <w:rPr>
          <w:rFonts w:ascii="Bookman Old Style" w:hAnsi="Bookman Old Style"/>
          <w:b/>
          <w:bCs/>
          <w:color w:val="000000" w:themeColor="text1"/>
          <w:lang w:val="es-CO" w:eastAsia="x-none"/>
        </w:rPr>
        <w:t>Objeto</w:t>
      </w:r>
    </w:p>
    <w:p w14:paraId="51ABD2D8" w14:textId="77777777" w:rsidR="0006302B" w:rsidRPr="0013707D" w:rsidRDefault="0006302B" w:rsidP="0006302B">
      <w:pPr>
        <w:ind w:left="0"/>
        <w:jc w:val="both"/>
        <w:rPr>
          <w:rFonts w:ascii="Bookman Old Style" w:hAnsi="Bookman Old Style"/>
          <w:bCs/>
          <w:color w:val="000000" w:themeColor="text1"/>
          <w:lang w:val="es-CO" w:eastAsia="x-none"/>
        </w:rPr>
      </w:pPr>
    </w:p>
    <w:p w14:paraId="47C4921E" w14:textId="424029C1"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El presente reglamento tiene por objeto establecer las condiciones y procedimientos para la </w:t>
      </w:r>
      <w:r w:rsidRPr="002A3125">
        <w:rPr>
          <w:rFonts w:ascii="Bookman Old Style" w:hAnsi="Bookman Old Style"/>
          <w:bCs/>
          <w:color w:val="000000" w:themeColor="text1"/>
          <w:lang w:val="es-CO" w:eastAsia="x-none"/>
        </w:rPr>
        <w:t>negociación de suministro de gas natural mediante subastas, según lo dispuesto en</w:t>
      </w:r>
      <w:r w:rsidR="00210424">
        <w:rPr>
          <w:rFonts w:ascii="Bookman Old Style" w:hAnsi="Bookman Old Style"/>
          <w:bCs/>
          <w:color w:val="000000" w:themeColor="text1"/>
          <w:lang w:val="es-CO" w:eastAsia="x-none"/>
        </w:rPr>
        <w:t xml:space="preserve"> artículo 36</w:t>
      </w:r>
      <w:r w:rsidR="004508F7" w:rsidRPr="002A3125">
        <w:rPr>
          <w:rFonts w:ascii="Bookman Old Style" w:hAnsi="Bookman Old Style"/>
          <w:bCs/>
          <w:color w:val="000000" w:themeColor="text1"/>
          <w:lang w:val="es-CO" w:eastAsia="x-none"/>
        </w:rPr>
        <w:t xml:space="preserve"> </w:t>
      </w:r>
      <w:r w:rsidRPr="002A3125">
        <w:rPr>
          <w:rFonts w:ascii="Bookman Old Style" w:hAnsi="Bookman Old Style"/>
          <w:bCs/>
          <w:color w:val="000000" w:themeColor="text1"/>
          <w:lang w:val="es-CO" w:eastAsia="x-none"/>
        </w:rPr>
        <w:t>de esta Resolución.</w:t>
      </w:r>
    </w:p>
    <w:p w14:paraId="5B266715" w14:textId="77777777" w:rsidR="0006302B" w:rsidRPr="0013707D" w:rsidRDefault="0006302B" w:rsidP="0006302B">
      <w:pPr>
        <w:ind w:left="0"/>
        <w:jc w:val="both"/>
        <w:rPr>
          <w:rFonts w:ascii="Bookman Old Style" w:hAnsi="Bookman Old Style"/>
          <w:bCs/>
          <w:color w:val="000000" w:themeColor="text1"/>
          <w:lang w:val="es-CO" w:eastAsia="x-none"/>
        </w:rPr>
      </w:pPr>
    </w:p>
    <w:p w14:paraId="6B4D76D4" w14:textId="77777777" w:rsidR="0006302B" w:rsidRPr="0013707D" w:rsidRDefault="0006302B" w:rsidP="00A4790E">
      <w:pPr>
        <w:numPr>
          <w:ilvl w:val="0"/>
          <w:numId w:val="74"/>
        </w:numPr>
        <w:ind w:left="567" w:hanging="567"/>
        <w:jc w:val="both"/>
        <w:rPr>
          <w:rFonts w:ascii="Bookman Old Style" w:hAnsi="Bookman Old Style"/>
          <w:b/>
          <w:bCs/>
          <w:color w:val="000000" w:themeColor="text1"/>
          <w:lang w:val="es-CO" w:eastAsia="x-none"/>
        </w:rPr>
      </w:pPr>
      <w:r w:rsidRPr="0013707D">
        <w:rPr>
          <w:rFonts w:ascii="Bookman Old Style" w:hAnsi="Bookman Old Style"/>
          <w:b/>
          <w:bCs/>
          <w:color w:val="000000" w:themeColor="text1"/>
          <w:lang w:val="es-CO" w:eastAsia="x-none"/>
        </w:rPr>
        <w:t>Definiciones</w:t>
      </w:r>
    </w:p>
    <w:p w14:paraId="15D499EE" w14:textId="77777777" w:rsidR="0006302B" w:rsidRPr="0013707D" w:rsidRDefault="0006302B" w:rsidP="0006302B">
      <w:pPr>
        <w:ind w:left="0"/>
        <w:jc w:val="both"/>
        <w:rPr>
          <w:rFonts w:ascii="Bookman Old Style" w:hAnsi="Bookman Old Style"/>
          <w:bCs/>
          <w:color w:val="000000" w:themeColor="text1"/>
          <w:lang w:val="es-CO" w:eastAsia="x-none"/>
        </w:rPr>
      </w:pPr>
    </w:p>
    <w:p w14:paraId="1821FD21" w14:textId="77777777" w:rsidR="0006302B" w:rsidRPr="0013707D" w:rsidRDefault="0006302B" w:rsidP="0006302B">
      <w:pPr>
        <w:ind w:left="0"/>
        <w:jc w:val="both"/>
        <w:rPr>
          <w:rFonts w:ascii="Bookman Old Style" w:hAnsi="Bookman Old Style"/>
          <w:color w:val="000000" w:themeColor="text1"/>
          <w:lang w:val="es-CO"/>
        </w:rPr>
      </w:pPr>
      <w:r w:rsidRPr="0013707D">
        <w:rPr>
          <w:rFonts w:ascii="Bookman Old Style" w:hAnsi="Bookman Old Style"/>
          <w:b/>
          <w:color w:val="000000" w:themeColor="text1"/>
          <w:lang w:val="es-CO"/>
        </w:rPr>
        <w:t xml:space="preserve">Administrador de las subastas: </w:t>
      </w:r>
      <w:r w:rsidRPr="0013707D">
        <w:rPr>
          <w:rFonts w:ascii="Bookman Old Style" w:hAnsi="Bookman Old Style"/>
          <w:color w:val="000000" w:themeColor="text1"/>
          <w:lang w:val="es-CO"/>
        </w:rPr>
        <w:t>persona natural o jurídica encargada de organizar las subastas.</w:t>
      </w:r>
    </w:p>
    <w:p w14:paraId="6AF8A145" w14:textId="77777777" w:rsidR="0006302B" w:rsidRPr="0013707D" w:rsidRDefault="0006302B" w:rsidP="0006302B">
      <w:pPr>
        <w:ind w:left="0"/>
        <w:jc w:val="both"/>
        <w:rPr>
          <w:rFonts w:ascii="Bookman Old Style" w:hAnsi="Bookman Old Style"/>
          <w:bCs/>
          <w:color w:val="000000" w:themeColor="text1"/>
          <w:lang w:val="es-CO" w:eastAsia="x-none"/>
        </w:rPr>
      </w:pPr>
    </w:p>
    <w:p w14:paraId="5F4FBC71" w14:textId="77777777" w:rsidR="0006302B" w:rsidRDefault="0006302B" w:rsidP="0006302B">
      <w:pPr>
        <w:ind w:left="0"/>
        <w:jc w:val="both"/>
        <w:rPr>
          <w:rFonts w:ascii="Bookman Old Style" w:hAnsi="Bookman Old Style"/>
          <w:color w:val="000000" w:themeColor="text1"/>
          <w:lang w:val="es-CO"/>
        </w:rPr>
      </w:pPr>
      <w:r w:rsidRPr="0013707D">
        <w:rPr>
          <w:rFonts w:ascii="Bookman Old Style" w:hAnsi="Bookman Old Style"/>
          <w:b/>
          <w:bCs/>
          <w:color w:val="000000" w:themeColor="text1"/>
          <w:lang w:val="es-CO" w:eastAsia="x-none"/>
        </w:rPr>
        <w:t>Auditor de las subastas:</w:t>
      </w:r>
      <w:r w:rsidRPr="0013707D">
        <w:rPr>
          <w:rFonts w:ascii="Bookman Old Style" w:hAnsi="Bookman Old Style"/>
          <w:bCs/>
          <w:color w:val="000000" w:themeColor="text1"/>
          <w:lang w:val="es-CO" w:eastAsia="x-none"/>
        </w:rPr>
        <w:t xml:space="preserve"> </w:t>
      </w:r>
      <w:r w:rsidRPr="0013707D">
        <w:rPr>
          <w:rFonts w:ascii="Bookman Old Style" w:hAnsi="Bookman Old Style"/>
          <w:color w:val="000000" w:themeColor="text1"/>
          <w:lang w:val="es-CO"/>
        </w:rPr>
        <w:t>persona natural o jurídica, con reconocida experiencia en procesos de auditoría, contratada por el administrador de las subastas para auditar el desarrollo de las mismas.</w:t>
      </w:r>
    </w:p>
    <w:p w14:paraId="10FD15F1" w14:textId="77777777" w:rsidR="0006302B" w:rsidRPr="0013707D" w:rsidRDefault="0006302B" w:rsidP="0006302B">
      <w:pPr>
        <w:ind w:left="0"/>
        <w:jc w:val="both"/>
        <w:rPr>
          <w:rFonts w:ascii="Bookman Old Style" w:hAnsi="Bookman Old Style"/>
          <w:bCs/>
          <w:color w:val="000000" w:themeColor="text1"/>
          <w:lang w:val="es-CO" w:eastAsia="x-none"/>
        </w:rPr>
      </w:pPr>
    </w:p>
    <w:p w14:paraId="583F7EB0" w14:textId="2627457A" w:rsidR="0006302B" w:rsidRPr="0013707D" w:rsidRDefault="0006302B" w:rsidP="0006302B">
      <w:pPr>
        <w:ind w:left="0"/>
        <w:jc w:val="both"/>
        <w:rPr>
          <w:rFonts w:ascii="Bookman Old Style" w:hAnsi="Bookman Old Style"/>
          <w:bCs/>
          <w:color w:val="000000" w:themeColor="text1"/>
          <w:lang w:val="es-CO" w:eastAsia="x-none"/>
        </w:rPr>
      </w:pPr>
      <w:r w:rsidRPr="008470D3">
        <w:rPr>
          <w:rFonts w:ascii="Bookman Old Style" w:hAnsi="Bookman Old Style"/>
          <w:b/>
          <w:color w:val="000000" w:themeColor="text1"/>
          <w:lang w:val="es-CO"/>
        </w:rPr>
        <w:t xml:space="preserve">Compradores de gas natural: </w:t>
      </w:r>
      <w:r w:rsidRPr="008470D3">
        <w:rPr>
          <w:rFonts w:ascii="Bookman Old Style" w:hAnsi="Bookman Old Style"/>
          <w:color w:val="000000" w:themeColor="text1"/>
          <w:lang w:val="es-CO"/>
        </w:rPr>
        <w:t>compradores a los que se hace referencia en el</w:t>
      </w:r>
      <w:r w:rsidR="00210424">
        <w:rPr>
          <w:rFonts w:ascii="Bookman Old Style" w:hAnsi="Bookman Old Style"/>
          <w:color w:val="000000" w:themeColor="text1"/>
          <w:lang w:val="es-CO"/>
        </w:rPr>
        <w:t xml:space="preserve"> artículo 30</w:t>
      </w:r>
      <w:r w:rsidR="009A71C9">
        <w:rPr>
          <w:rFonts w:ascii="Bookman Old Style" w:hAnsi="Bookman Old Style"/>
          <w:color w:val="000000" w:themeColor="text1"/>
          <w:lang w:val="es-CO"/>
        </w:rPr>
        <w:t xml:space="preserve"> y en el </w:t>
      </w:r>
      <w:r w:rsidR="00780B0B">
        <w:rPr>
          <w:rFonts w:ascii="Bookman Old Style" w:hAnsi="Bookman Old Style"/>
          <w:color w:val="000000" w:themeColor="text1"/>
          <w:lang w:val="es-CO"/>
        </w:rPr>
        <w:t>a</w:t>
      </w:r>
      <w:r w:rsidR="009A71C9">
        <w:rPr>
          <w:rFonts w:ascii="Bookman Old Style" w:hAnsi="Bookman Old Style"/>
          <w:color w:val="000000" w:themeColor="text1"/>
          <w:lang w:val="es-CO"/>
        </w:rPr>
        <w:t>rtículo 30</w:t>
      </w:r>
      <w:r w:rsidR="009A71C9" w:rsidRPr="008470D3">
        <w:rPr>
          <w:rFonts w:ascii="Bookman Old Style" w:hAnsi="Bookman Old Style"/>
          <w:color w:val="000000" w:themeColor="text1"/>
          <w:lang w:val="es-CO"/>
        </w:rPr>
        <w:t xml:space="preserve"> </w:t>
      </w:r>
      <w:r w:rsidRPr="008470D3">
        <w:rPr>
          <w:rFonts w:ascii="Bookman Old Style" w:hAnsi="Bookman Old Style"/>
          <w:color w:val="000000" w:themeColor="text1"/>
          <w:lang w:val="es-CO"/>
        </w:rPr>
        <w:t>de esta</w:t>
      </w:r>
      <w:r w:rsidRPr="0013707D">
        <w:rPr>
          <w:rFonts w:ascii="Bookman Old Style" w:hAnsi="Bookman Old Style"/>
          <w:color w:val="000000" w:themeColor="text1"/>
          <w:lang w:val="es-CO"/>
        </w:rPr>
        <w:t xml:space="preserve"> Resolución.</w:t>
      </w:r>
    </w:p>
    <w:p w14:paraId="16EC125D" w14:textId="77777777" w:rsidR="0006302B" w:rsidRPr="0013707D" w:rsidRDefault="0006302B" w:rsidP="0006302B">
      <w:pPr>
        <w:ind w:left="0"/>
        <w:jc w:val="both"/>
        <w:rPr>
          <w:rFonts w:ascii="Bookman Old Style" w:hAnsi="Bookman Old Style"/>
          <w:b/>
          <w:bCs/>
          <w:color w:val="000000" w:themeColor="text1"/>
          <w:lang w:val="es-CO" w:eastAsia="x-none"/>
        </w:rPr>
      </w:pPr>
    </w:p>
    <w:p w14:paraId="798926E4"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
          <w:bCs/>
          <w:color w:val="000000" w:themeColor="text1"/>
          <w:lang w:val="es-CO" w:eastAsia="x-none"/>
        </w:rPr>
        <w:t xml:space="preserve">Declarantes de información sobre suministro de gas natural: </w:t>
      </w:r>
      <w:r w:rsidRPr="0013707D">
        <w:rPr>
          <w:rFonts w:ascii="Bookman Old Style" w:hAnsi="Bookman Old Style"/>
          <w:bCs/>
          <w:color w:val="000000" w:themeColor="text1"/>
          <w:lang w:val="es-CO" w:eastAsia="x-none"/>
        </w:rPr>
        <w:t xml:space="preserve">son los </w:t>
      </w:r>
      <w:r>
        <w:rPr>
          <w:rFonts w:ascii="Bookman Old Style" w:hAnsi="Bookman Old Style"/>
          <w:b/>
          <w:color w:val="000000" w:themeColor="text1"/>
          <w:lang w:val="es-CO" w:eastAsia="x-none"/>
        </w:rPr>
        <w:t>Vendedores del Mercado Primario</w:t>
      </w:r>
      <w:r w:rsidRPr="0013707D">
        <w:rPr>
          <w:rFonts w:ascii="Bookman Old Style" w:hAnsi="Bookman Old Style"/>
          <w:bCs/>
          <w:color w:val="000000" w:themeColor="text1"/>
          <w:lang w:val="es-CO" w:eastAsia="x-none"/>
        </w:rPr>
        <w:t xml:space="preserve">, los cuales deberán declarar al administrador de las subastas los </w:t>
      </w:r>
      <w:r w:rsidRPr="0013707D">
        <w:rPr>
          <w:rFonts w:ascii="Bookman Old Style" w:hAnsi="Bookman Old Style"/>
          <w:color w:val="000000" w:themeColor="text1"/>
          <w:lang w:val="es-CO"/>
        </w:rPr>
        <w:t xml:space="preserve">titulares de los </w:t>
      </w:r>
      <w:r w:rsidRPr="001E0FE9">
        <w:rPr>
          <w:rFonts w:ascii="Bookman Old Style" w:hAnsi="Bookman Old Style"/>
          <w:color w:val="000000" w:themeColor="text1"/>
          <w:lang w:val="es-CO"/>
        </w:rPr>
        <w:t xml:space="preserve">derechos de suministro de gas natural contratado, bajo las modalidades de </w:t>
      </w:r>
      <w:r w:rsidRPr="00D66B65">
        <w:rPr>
          <w:rFonts w:ascii="Bookman Old Style" w:hAnsi="Bookman Old Style"/>
          <w:color w:val="000000" w:themeColor="text1"/>
          <w:lang w:val="es-CO"/>
        </w:rPr>
        <w:t>contratos firmes</w:t>
      </w:r>
      <w:r w:rsidRPr="006F4D92">
        <w:rPr>
          <w:rFonts w:ascii="Bookman Old Style" w:hAnsi="Bookman Old Style"/>
          <w:b/>
          <w:bCs/>
          <w:color w:val="000000" w:themeColor="text1"/>
          <w:lang w:val="es-CO"/>
        </w:rPr>
        <w:t xml:space="preserve">, </w:t>
      </w:r>
      <w:r>
        <w:rPr>
          <w:rFonts w:ascii="Bookman Old Style" w:hAnsi="Bookman Old Style"/>
          <w:b/>
          <w:bCs/>
          <w:color w:val="000000" w:themeColor="text1"/>
          <w:lang w:val="es-CO"/>
        </w:rPr>
        <w:t xml:space="preserve">firmes CF80, </w:t>
      </w:r>
      <w:r w:rsidRPr="00D66B65">
        <w:rPr>
          <w:rFonts w:ascii="Bookman Old Style" w:hAnsi="Bookman Old Style"/>
          <w:color w:val="000000" w:themeColor="text1"/>
          <w:lang w:val="es-CO"/>
        </w:rPr>
        <w:t>firmes CF95 y de suministro con firmeza condicionada</w:t>
      </w:r>
      <w:r w:rsidRPr="001E0FE9">
        <w:rPr>
          <w:rFonts w:ascii="Bookman Old Style" w:hAnsi="Bookman Old Style"/>
          <w:color w:val="000000" w:themeColor="text1"/>
          <w:lang w:val="es-CO"/>
        </w:rPr>
        <w:t xml:space="preserve">, </w:t>
      </w:r>
      <w:r>
        <w:rPr>
          <w:rFonts w:ascii="Bookman Old Style" w:hAnsi="Bookman Old Style" w:cs="Arial"/>
          <w:b/>
          <w:bCs/>
          <w:color w:val="000000" w:themeColor="text1"/>
          <w:lang w:val="es-CO"/>
        </w:rPr>
        <w:t>OCG y OCGX</w:t>
      </w:r>
      <w:r w:rsidRPr="0013707D">
        <w:rPr>
          <w:rFonts w:ascii="Bookman Old Style" w:hAnsi="Bookman Old Style" w:cs="Arial"/>
          <w:color w:val="000000" w:themeColor="text1"/>
          <w:lang w:val="es-CO"/>
        </w:rPr>
        <w:t xml:space="preserve"> </w:t>
      </w:r>
      <w:r w:rsidRPr="001E0FE9">
        <w:rPr>
          <w:rFonts w:ascii="Bookman Old Style" w:hAnsi="Bookman Old Style"/>
          <w:color w:val="000000" w:themeColor="text1"/>
          <w:lang w:val="es-CO"/>
        </w:rPr>
        <w:t>que no haya sido nom</w:t>
      </w:r>
      <w:r w:rsidRPr="0013707D">
        <w:rPr>
          <w:rFonts w:ascii="Bookman Old Style" w:hAnsi="Bookman Old Style"/>
          <w:color w:val="000000" w:themeColor="text1"/>
          <w:lang w:val="es-CO"/>
        </w:rPr>
        <w:t>inado para el siguiente día de gas y que sea de obligatorio pago.</w:t>
      </w:r>
    </w:p>
    <w:p w14:paraId="1DA5E002" w14:textId="77777777" w:rsidR="0006302B" w:rsidRPr="0013707D" w:rsidRDefault="0006302B" w:rsidP="0006302B">
      <w:pPr>
        <w:ind w:left="0"/>
        <w:jc w:val="both"/>
        <w:rPr>
          <w:rFonts w:ascii="Bookman Old Style" w:hAnsi="Bookman Old Style"/>
          <w:bCs/>
          <w:color w:val="000000" w:themeColor="text1"/>
          <w:lang w:val="es-CO" w:eastAsia="x-none"/>
        </w:rPr>
      </w:pPr>
    </w:p>
    <w:p w14:paraId="7F8F64D8"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
          <w:color w:val="000000" w:themeColor="text1"/>
          <w:lang w:val="es-CO"/>
        </w:rPr>
        <w:t>Precios de adjudicación:</w:t>
      </w:r>
      <w:r w:rsidRPr="0013707D">
        <w:rPr>
          <w:rFonts w:ascii="Bookman Old Style" w:hAnsi="Bookman Old Style"/>
          <w:color w:val="000000" w:themeColor="text1"/>
          <w:lang w:val="es-CO"/>
        </w:rPr>
        <w:t xml:space="preserve"> son los precios que pagarán los compradores por el gas natural a través de las subastas. Corresponden a los precios de cierre de las subastas.</w:t>
      </w:r>
    </w:p>
    <w:p w14:paraId="3B1CB48B" w14:textId="77777777" w:rsidR="0006302B" w:rsidRPr="0013707D" w:rsidRDefault="0006302B" w:rsidP="0006302B">
      <w:pPr>
        <w:ind w:left="0"/>
        <w:jc w:val="both"/>
        <w:rPr>
          <w:rFonts w:ascii="Bookman Old Style" w:hAnsi="Bookman Old Style"/>
          <w:b/>
          <w:bCs/>
          <w:color w:val="000000" w:themeColor="text1"/>
          <w:lang w:val="es-CO" w:eastAsia="x-none"/>
        </w:rPr>
      </w:pPr>
    </w:p>
    <w:p w14:paraId="5E7A2930" w14:textId="3348B8C4" w:rsidR="0006302B" w:rsidRPr="0013707D" w:rsidRDefault="0006302B" w:rsidP="0006302B">
      <w:pPr>
        <w:ind w:left="0"/>
        <w:jc w:val="both"/>
        <w:rPr>
          <w:rFonts w:ascii="Bookman Old Style" w:hAnsi="Bookman Old Style"/>
          <w:b/>
          <w:bCs/>
          <w:color w:val="000000" w:themeColor="text1"/>
          <w:lang w:val="es-CO" w:eastAsia="x-none"/>
        </w:rPr>
      </w:pPr>
      <w:r w:rsidRPr="0013707D">
        <w:rPr>
          <w:rFonts w:ascii="Bookman Old Style" w:hAnsi="Bookman Old Style"/>
          <w:b/>
          <w:bCs/>
          <w:color w:val="000000" w:themeColor="text1"/>
          <w:lang w:val="es-CO" w:eastAsia="x-none"/>
        </w:rPr>
        <w:t xml:space="preserve">Precio de reserva: </w:t>
      </w:r>
      <w:r w:rsidRPr="0013707D">
        <w:rPr>
          <w:rFonts w:ascii="Bookman Old Style" w:hAnsi="Bookman Old Style"/>
          <w:bCs/>
          <w:color w:val="000000" w:themeColor="text1"/>
          <w:lang w:val="es-CO" w:eastAsia="x-none"/>
        </w:rPr>
        <w:t xml:space="preserve">precio mínimo al cual se ofrece para la venta un producto en una subasta. </w:t>
      </w:r>
    </w:p>
    <w:p w14:paraId="0F8AEE08" w14:textId="77777777" w:rsidR="0006302B" w:rsidRPr="0013707D" w:rsidRDefault="0006302B" w:rsidP="0006302B">
      <w:pPr>
        <w:ind w:left="0"/>
        <w:jc w:val="both"/>
        <w:rPr>
          <w:rFonts w:ascii="Bookman Old Style" w:hAnsi="Bookman Old Style"/>
          <w:bCs/>
          <w:color w:val="000000" w:themeColor="text1"/>
          <w:lang w:val="es-CO" w:eastAsia="x-none"/>
        </w:rPr>
      </w:pPr>
    </w:p>
    <w:p w14:paraId="5FDA6958"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
          <w:bCs/>
          <w:color w:val="000000" w:themeColor="text1"/>
          <w:lang w:val="es-CO" w:eastAsia="x-none"/>
        </w:rPr>
        <w:t>Producto:</w:t>
      </w:r>
      <w:r w:rsidRPr="0013707D">
        <w:rPr>
          <w:rFonts w:ascii="Bookman Old Style" w:hAnsi="Bookman Old Style"/>
          <w:bCs/>
          <w:color w:val="000000" w:themeColor="text1"/>
          <w:lang w:val="es-CO" w:eastAsia="x-none"/>
        </w:rPr>
        <w:t xml:space="preserve"> cantidad de energía negociada bajo la modalidad contractual firme para el día de gas. La cantidad de energía se entregará en </w:t>
      </w:r>
      <w:r w:rsidRPr="0013707D">
        <w:rPr>
          <w:rFonts w:ascii="Bookman Old Style" w:hAnsi="Bookman Old Style"/>
          <w:color w:val="000000" w:themeColor="text1"/>
          <w:lang w:val="es-CO"/>
        </w:rPr>
        <w:t xml:space="preserve">un campo, punto de entrada al SNT </w:t>
      </w:r>
      <w:r w:rsidRPr="0013707D">
        <w:rPr>
          <w:rFonts w:ascii="Bookman Old Style" w:hAnsi="Bookman Old Style" w:cs="Arial"/>
          <w:color w:val="000000" w:themeColor="text1"/>
          <w:lang w:val="es-CO"/>
        </w:rPr>
        <w:t>o punto del SNT que corresponda al sitio de inicio o terminación de alguno de los tramos de gasoductos definidos para efectos tarifarios</w:t>
      </w:r>
      <w:r w:rsidRPr="0013707D">
        <w:rPr>
          <w:rFonts w:ascii="Bookman Old Style" w:hAnsi="Bookman Old Style"/>
          <w:bCs/>
          <w:color w:val="000000" w:themeColor="text1"/>
          <w:lang w:val="es-CO" w:eastAsia="x-none"/>
        </w:rPr>
        <w:t xml:space="preserve">. </w:t>
      </w:r>
    </w:p>
    <w:p w14:paraId="590836E6" w14:textId="77777777" w:rsidR="0006302B" w:rsidRPr="0013707D" w:rsidRDefault="0006302B" w:rsidP="0006302B">
      <w:pPr>
        <w:ind w:left="0"/>
        <w:jc w:val="both"/>
        <w:rPr>
          <w:rFonts w:ascii="Bookman Old Style" w:hAnsi="Bookman Old Style"/>
          <w:bCs/>
          <w:color w:val="000000" w:themeColor="text1"/>
          <w:sz w:val="28"/>
          <w:lang w:val="es-CO" w:eastAsia="x-none"/>
        </w:rPr>
      </w:pPr>
    </w:p>
    <w:p w14:paraId="2B2EFEE8" w14:textId="77777777" w:rsidR="0006302B" w:rsidRPr="0013707D" w:rsidRDefault="0006302B" w:rsidP="0006302B">
      <w:pPr>
        <w:ind w:left="0"/>
        <w:jc w:val="both"/>
        <w:rPr>
          <w:rFonts w:ascii="Bookman Old Style" w:hAnsi="Bookman Old Style"/>
          <w:color w:val="000000" w:themeColor="text1"/>
          <w:lang w:val="es-CO"/>
        </w:rPr>
      </w:pPr>
      <w:r w:rsidRPr="0013707D">
        <w:rPr>
          <w:rFonts w:ascii="Bookman Old Style" w:hAnsi="Bookman Old Style"/>
          <w:b/>
          <w:color w:val="000000" w:themeColor="text1"/>
          <w:lang w:val="es-CO"/>
        </w:rPr>
        <w:t>Sistema de subastas:</w:t>
      </w:r>
      <w:r w:rsidRPr="0013707D">
        <w:rPr>
          <w:rFonts w:ascii="Bookman Old Style" w:hAnsi="Bookman Old Style"/>
          <w:color w:val="000000" w:themeColor="text1"/>
          <w:lang w:val="es-CO"/>
        </w:rPr>
        <w:t xml:space="preserve"> corresponde a la plataforma tecnológica en la cual se desarrollarán las subastas que se reglamentan en este Anexo.</w:t>
      </w:r>
    </w:p>
    <w:p w14:paraId="44F5CC98" w14:textId="77777777" w:rsidR="0006302B" w:rsidRPr="0013707D" w:rsidRDefault="0006302B" w:rsidP="0006302B">
      <w:pPr>
        <w:ind w:left="0"/>
        <w:jc w:val="both"/>
        <w:rPr>
          <w:rFonts w:ascii="Bookman Old Style" w:hAnsi="Bookman Old Style"/>
          <w:bCs/>
          <w:color w:val="000000" w:themeColor="text1"/>
          <w:sz w:val="28"/>
          <w:lang w:val="es-CO" w:eastAsia="x-none"/>
        </w:rPr>
      </w:pPr>
    </w:p>
    <w:p w14:paraId="24B6B38B"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
          <w:bCs/>
          <w:color w:val="000000" w:themeColor="text1"/>
          <w:lang w:val="es-CO" w:eastAsia="x-none"/>
        </w:rPr>
        <w:t>Subasta:</w:t>
      </w:r>
      <w:r w:rsidRPr="0013707D">
        <w:rPr>
          <w:rFonts w:ascii="Bookman Old Style" w:hAnsi="Bookman Old Style"/>
          <w:bCs/>
          <w:color w:val="000000" w:themeColor="text1"/>
          <w:lang w:val="es-CO" w:eastAsia="x-none"/>
        </w:rPr>
        <w:t xml:space="preserve"> proceso de negociación con reglas definidas para la formación del precio y la asignación del producto, de acuerdo con lo establecido en este Anexo.</w:t>
      </w:r>
    </w:p>
    <w:p w14:paraId="1012AA8C" w14:textId="77777777" w:rsidR="0006302B" w:rsidRPr="0013707D" w:rsidRDefault="0006302B" w:rsidP="0006302B">
      <w:pPr>
        <w:ind w:left="0"/>
        <w:jc w:val="both"/>
        <w:rPr>
          <w:rFonts w:ascii="Bookman Old Style" w:hAnsi="Bookman Old Style"/>
          <w:bCs/>
          <w:color w:val="000000" w:themeColor="text1"/>
          <w:sz w:val="28"/>
          <w:lang w:val="es-CO" w:eastAsia="x-none"/>
        </w:rPr>
      </w:pPr>
    </w:p>
    <w:p w14:paraId="3725888A" w14:textId="77777777" w:rsidR="0006302B" w:rsidRDefault="0006302B" w:rsidP="0006302B">
      <w:pPr>
        <w:ind w:left="0"/>
        <w:jc w:val="both"/>
        <w:rPr>
          <w:rFonts w:ascii="Bookman Old Style" w:hAnsi="Bookman Old Style"/>
          <w:color w:val="000000" w:themeColor="text1"/>
          <w:lang w:val="es-CO"/>
        </w:rPr>
      </w:pPr>
      <w:r w:rsidRPr="0013707D">
        <w:rPr>
          <w:rFonts w:ascii="Bookman Old Style" w:hAnsi="Bookman Old Style"/>
          <w:b/>
          <w:color w:val="000000" w:themeColor="text1"/>
          <w:lang w:val="es-CO"/>
        </w:rPr>
        <w:t xml:space="preserve">Subastador: </w:t>
      </w:r>
      <w:r w:rsidRPr="0013707D">
        <w:rPr>
          <w:rFonts w:ascii="Bookman Old Style" w:hAnsi="Bookman Old Style"/>
          <w:color w:val="000000" w:themeColor="text1"/>
          <w:lang w:val="es-CO"/>
        </w:rPr>
        <w:t>persona natural o jurídica, con reconocida experiencia en la materia, que da aplicación al procedimiento de las subastas. Puede ser el administrador de las subastas u otra persona que éste contrate.</w:t>
      </w:r>
    </w:p>
    <w:p w14:paraId="35F3DB25" w14:textId="77777777" w:rsidR="0006302B" w:rsidRPr="0013707D" w:rsidRDefault="0006302B" w:rsidP="0006302B">
      <w:pPr>
        <w:ind w:left="0"/>
        <w:jc w:val="both"/>
        <w:rPr>
          <w:rFonts w:ascii="Bookman Old Style" w:hAnsi="Bookman Old Style"/>
          <w:color w:val="000000" w:themeColor="text1"/>
          <w:lang w:val="es-CO"/>
        </w:rPr>
      </w:pPr>
    </w:p>
    <w:p w14:paraId="672AD914" w14:textId="77777777" w:rsidR="0006302B" w:rsidRPr="007D7881" w:rsidRDefault="0006302B" w:rsidP="0006302B">
      <w:pPr>
        <w:ind w:left="0"/>
        <w:jc w:val="both"/>
        <w:rPr>
          <w:rFonts w:ascii="Bookman Old Style" w:hAnsi="Bookman Old Style"/>
          <w:bCs/>
          <w:color w:val="000000" w:themeColor="text1"/>
          <w:highlight w:val="lightGray"/>
          <w:lang w:val="es-CO" w:eastAsia="x-none"/>
        </w:rPr>
      </w:pPr>
      <w:r w:rsidRPr="0013707D">
        <w:rPr>
          <w:rFonts w:ascii="Bookman Old Style" w:hAnsi="Bookman Old Style"/>
          <w:b/>
          <w:color w:val="000000" w:themeColor="text1"/>
          <w:lang w:val="es-CO"/>
        </w:rPr>
        <w:lastRenderedPageBreak/>
        <w:t xml:space="preserve">Vendedores de gas natural: </w:t>
      </w:r>
      <w:r w:rsidRPr="0013707D">
        <w:rPr>
          <w:rFonts w:ascii="Bookman Old Style" w:hAnsi="Bookman Old Style"/>
          <w:color w:val="000000" w:themeColor="text1"/>
          <w:lang w:val="es-CO"/>
        </w:rPr>
        <w:t xml:space="preserve">son los titulares de derechos de suministro de gas natural, bajo las modalidades de </w:t>
      </w:r>
      <w:r w:rsidRPr="00D66B65">
        <w:rPr>
          <w:rFonts w:ascii="Bookman Old Style" w:hAnsi="Bookman Old Style"/>
          <w:color w:val="000000" w:themeColor="text1"/>
          <w:lang w:val="es-CO"/>
        </w:rPr>
        <w:t xml:space="preserve">contratos firmes, </w:t>
      </w:r>
      <w:r>
        <w:rPr>
          <w:rFonts w:ascii="Bookman Old Style" w:hAnsi="Bookman Old Style"/>
          <w:b/>
          <w:bCs/>
          <w:color w:val="000000" w:themeColor="text1"/>
          <w:lang w:val="es-CO"/>
        </w:rPr>
        <w:t xml:space="preserve">firmes CF80, </w:t>
      </w:r>
      <w:r w:rsidRPr="00D66B65">
        <w:rPr>
          <w:rFonts w:ascii="Bookman Old Style" w:hAnsi="Bookman Old Style"/>
          <w:color w:val="000000" w:themeColor="text1"/>
          <w:lang w:val="es-CO"/>
        </w:rPr>
        <w:t>firmes CF95,</w:t>
      </w:r>
      <w:r>
        <w:rPr>
          <w:rFonts w:ascii="Bookman Old Style" w:hAnsi="Bookman Old Style"/>
          <w:b/>
          <w:bCs/>
          <w:color w:val="000000" w:themeColor="text1"/>
          <w:lang w:val="es-CO"/>
        </w:rPr>
        <w:t xml:space="preserve"> </w:t>
      </w:r>
      <w:r w:rsidRPr="00D66B65">
        <w:rPr>
          <w:rFonts w:ascii="Bookman Old Style" w:hAnsi="Bookman Old Style"/>
          <w:color w:val="000000" w:themeColor="text1"/>
          <w:lang w:val="es-CO"/>
        </w:rPr>
        <w:t>y de suministro con firmeza condicionada</w:t>
      </w:r>
      <w:r>
        <w:rPr>
          <w:rFonts w:ascii="Bookman Old Style" w:hAnsi="Bookman Old Style"/>
          <w:color w:val="000000" w:themeColor="text1"/>
          <w:lang w:val="es-CO"/>
        </w:rPr>
        <w:t>,</w:t>
      </w:r>
      <w:r w:rsidRPr="00606AD6">
        <w:rPr>
          <w:rFonts w:ascii="Bookman Old Style" w:hAnsi="Bookman Old Style"/>
          <w:color w:val="000000" w:themeColor="text1"/>
          <w:lang w:val="es-CO"/>
        </w:rPr>
        <w:t xml:space="preserve"> </w:t>
      </w:r>
      <w:r>
        <w:rPr>
          <w:rFonts w:ascii="Bookman Old Style" w:hAnsi="Bookman Old Style" w:cs="Arial"/>
          <w:b/>
          <w:bCs/>
          <w:color w:val="000000" w:themeColor="text1"/>
          <w:lang w:val="es-CO"/>
        </w:rPr>
        <w:t>OCG y OCGX</w:t>
      </w:r>
      <w:r w:rsidRPr="0013707D">
        <w:rPr>
          <w:rFonts w:ascii="Bookman Old Style" w:hAnsi="Bookman Old Style" w:cs="Arial"/>
          <w:color w:val="000000" w:themeColor="text1"/>
          <w:lang w:val="es-CO"/>
        </w:rPr>
        <w:t xml:space="preserve"> </w:t>
      </w:r>
      <w:r w:rsidRPr="00606AD6">
        <w:rPr>
          <w:rFonts w:ascii="Bookman Old Style" w:hAnsi="Bookman Old Style"/>
          <w:color w:val="000000" w:themeColor="text1"/>
          <w:lang w:val="es-CO"/>
        </w:rPr>
        <w:t>con</w:t>
      </w:r>
      <w:r w:rsidRPr="0013707D">
        <w:rPr>
          <w:rFonts w:ascii="Bookman Old Style" w:hAnsi="Bookman Old Style"/>
          <w:color w:val="000000" w:themeColor="text1"/>
          <w:lang w:val="es-CO"/>
        </w:rPr>
        <w:t xml:space="preserve"> energía disponible para la subasta.</w:t>
      </w:r>
    </w:p>
    <w:p w14:paraId="71D6CEC5" w14:textId="77777777" w:rsidR="0006302B" w:rsidRPr="0013707D" w:rsidRDefault="0006302B" w:rsidP="0006302B">
      <w:pPr>
        <w:ind w:left="0"/>
        <w:jc w:val="both"/>
        <w:rPr>
          <w:rFonts w:ascii="Bookman Old Style" w:hAnsi="Bookman Old Style"/>
          <w:bCs/>
          <w:color w:val="000000" w:themeColor="text1"/>
          <w:sz w:val="28"/>
          <w:lang w:val="es-CO" w:eastAsia="x-none"/>
        </w:rPr>
      </w:pPr>
    </w:p>
    <w:p w14:paraId="58C75B18" w14:textId="77777777" w:rsidR="0006302B" w:rsidRPr="0013707D" w:rsidRDefault="0006302B" w:rsidP="00A4790E">
      <w:pPr>
        <w:numPr>
          <w:ilvl w:val="0"/>
          <w:numId w:val="74"/>
        </w:numPr>
        <w:ind w:left="567" w:hanging="567"/>
        <w:jc w:val="both"/>
        <w:rPr>
          <w:rFonts w:ascii="Bookman Old Style" w:hAnsi="Bookman Old Style"/>
          <w:b/>
          <w:bCs/>
          <w:color w:val="000000" w:themeColor="text1"/>
          <w:lang w:val="es-CO" w:eastAsia="x-none"/>
        </w:rPr>
      </w:pPr>
      <w:r w:rsidRPr="0013707D">
        <w:rPr>
          <w:rFonts w:ascii="Bookman Old Style" w:hAnsi="Bookman Old Style"/>
          <w:b/>
          <w:bCs/>
          <w:color w:val="000000" w:themeColor="text1"/>
          <w:lang w:val="es-CO" w:eastAsia="x-none"/>
        </w:rPr>
        <w:t xml:space="preserve">Principios generales de las </w:t>
      </w:r>
      <w:r w:rsidRPr="0013707D">
        <w:rPr>
          <w:rFonts w:ascii="Bookman Old Style" w:hAnsi="Bookman Old Style"/>
          <w:b/>
          <w:color w:val="000000" w:themeColor="text1"/>
          <w:lang w:val="es-CO"/>
        </w:rPr>
        <w:t>subastas</w:t>
      </w:r>
    </w:p>
    <w:p w14:paraId="72FE878D" w14:textId="77777777" w:rsidR="0006302B" w:rsidRPr="0013707D" w:rsidRDefault="0006302B" w:rsidP="0006302B">
      <w:pPr>
        <w:keepNext/>
        <w:ind w:left="0"/>
        <w:jc w:val="both"/>
        <w:rPr>
          <w:rFonts w:ascii="Bookman Old Style" w:hAnsi="Bookman Old Style"/>
          <w:bCs/>
          <w:color w:val="000000" w:themeColor="text1"/>
          <w:sz w:val="28"/>
          <w:lang w:val="es-CO" w:eastAsia="x-none"/>
        </w:rPr>
      </w:pPr>
    </w:p>
    <w:p w14:paraId="29A31247"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Las subastas se regirán por los siguientes principios:</w:t>
      </w:r>
    </w:p>
    <w:p w14:paraId="7000F08D" w14:textId="77777777" w:rsidR="0006302B" w:rsidRPr="0013707D" w:rsidRDefault="0006302B" w:rsidP="0006302B">
      <w:pPr>
        <w:ind w:left="0"/>
        <w:jc w:val="both"/>
        <w:rPr>
          <w:rFonts w:ascii="Bookman Old Style" w:hAnsi="Bookman Old Style"/>
          <w:bCs/>
          <w:color w:val="000000" w:themeColor="text1"/>
          <w:sz w:val="28"/>
          <w:lang w:val="es-CO" w:eastAsia="x-none"/>
        </w:rPr>
      </w:pPr>
    </w:p>
    <w:p w14:paraId="6F194B5A" w14:textId="77777777" w:rsidR="0006302B" w:rsidRPr="0013707D" w:rsidRDefault="0006302B" w:rsidP="00A4790E">
      <w:pPr>
        <w:numPr>
          <w:ilvl w:val="0"/>
          <w:numId w:val="75"/>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Eficiencia: el desarrollo de las </w:t>
      </w:r>
      <w:r w:rsidRPr="0013707D">
        <w:rPr>
          <w:rFonts w:ascii="Bookman Old Style" w:hAnsi="Bookman Old Style"/>
          <w:color w:val="000000" w:themeColor="text1"/>
          <w:lang w:val="es-CO"/>
        </w:rPr>
        <w:t xml:space="preserve">subastas conducirá </w:t>
      </w:r>
      <w:r w:rsidRPr="0013707D">
        <w:rPr>
          <w:rFonts w:ascii="Bookman Old Style" w:hAnsi="Bookman Old Style" w:cs="Arial"/>
          <w:color w:val="000000" w:themeColor="text1"/>
          <w:lang w:val="es-CO"/>
        </w:rPr>
        <w:t>a optimizar el uso del gas natural a precios eficientes.</w:t>
      </w:r>
    </w:p>
    <w:p w14:paraId="386CBEE5"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3EE43321" w14:textId="77777777" w:rsidR="0006302B" w:rsidRPr="0013707D" w:rsidRDefault="0006302B" w:rsidP="00A4790E">
      <w:pPr>
        <w:numPr>
          <w:ilvl w:val="0"/>
          <w:numId w:val="75"/>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Publicidad: se garantizará a través de los mecanismos dispuestos en la presente Resolución.</w:t>
      </w:r>
    </w:p>
    <w:p w14:paraId="538A4DF5"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7BDD8917" w14:textId="77777777" w:rsidR="0006302B" w:rsidRPr="0013707D" w:rsidRDefault="0006302B" w:rsidP="00A4790E">
      <w:pPr>
        <w:numPr>
          <w:ilvl w:val="0"/>
          <w:numId w:val="75"/>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Neutralidad: el diseño de las </w:t>
      </w:r>
      <w:r w:rsidRPr="0013707D">
        <w:rPr>
          <w:rFonts w:ascii="Bookman Old Style" w:hAnsi="Bookman Old Style"/>
          <w:color w:val="000000" w:themeColor="text1"/>
          <w:lang w:val="es-CO"/>
        </w:rPr>
        <w:t xml:space="preserve">subastas </w:t>
      </w:r>
      <w:r w:rsidRPr="0013707D">
        <w:rPr>
          <w:rFonts w:ascii="Bookman Old Style" w:hAnsi="Bookman Old Style" w:cs="Arial"/>
          <w:color w:val="000000" w:themeColor="text1"/>
          <w:lang w:val="es-CO"/>
        </w:rPr>
        <w:t xml:space="preserve">y el reglamento de las mismas no permitirán, inducirán o adoptarán prácticas de discriminación indebida en contra de alguno de los </w:t>
      </w:r>
      <w:r>
        <w:rPr>
          <w:rFonts w:ascii="Bookman Old Style" w:hAnsi="Bookman Old Style" w:cs="Arial"/>
          <w:color w:val="000000" w:themeColor="text1"/>
          <w:lang w:val="es-CO"/>
        </w:rPr>
        <w:t>P</w:t>
      </w:r>
      <w:r w:rsidRPr="0013707D">
        <w:rPr>
          <w:rFonts w:ascii="Bookman Old Style" w:hAnsi="Bookman Old Style" w:cs="Arial"/>
          <w:color w:val="000000" w:themeColor="text1"/>
          <w:lang w:val="es-CO"/>
        </w:rPr>
        <w:t>articipantes.</w:t>
      </w:r>
    </w:p>
    <w:p w14:paraId="7CE1366E"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66F21C8F" w14:textId="77777777" w:rsidR="0006302B" w:rsidRPr="0013707D" w:rsidRDefault="0006302B" w:rsidP="00A4790E">
      <w:pPr>
        <w:numPr>
          <w:ilvl w:val="0"/>
          <w:numId w:val="75"/>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Simplicidad y transparencia: los mecanismos de las </w:t>
      </w:r>
      <w:r w:rsidRPr="0013707D">
        <w:rPr>
          <w:rFonts w:ascii="Bookman Old Style" w:hAnsi="Bookman Old Style"/>
          <w:color w:val="000000" w:themeColor="text1"/>
          <w:lang w:val="es-CO"/>
        </w:rPr>
        <w:t xml:space="preserve">subastas </w:t>
      </w:r>
      <w:r w:rsidRPr="0013707D">
        <w:rPr>
          <w:rFonts w:ascii="Bookman Old Style" w:hAnsi="Bookman Old Style" w:cs="Arial"/>
          <w:color w:val="000000" w:themeColor="text1"/>
          <w:lang w:val="es-CO"/>
        </w:rPr>
        <w:t>serán claros, explícitos y constarán por escrito, de tal forma que puedan ser comprendidos sin duda ni ambigüedad.</w:t>
      </w:r>
    </w:p>
    <w:p w14:paraId="713E8ADD"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0762363A" w14:textId="77777777" w:rsidR="0006302B" w:rsidRPr="007D7881" w:rsidRDefault="0006302B" w:rsidP="00A4790E">
      <w:pPr>
        <w:numPr>
          <w:ilvl w:val="0"/>
          <w:numId w:val="75"/>
        </w:numPr>
        <w:autoSpaceDE w:val="0"/>
        <w:autoSpaceDN w:val="0"/>
        <w:adjustRightInd w:val="0"/>
        <w:ind w:left="1134" w:hanging="567"/>
        <w:jc w:val="both"/>
        <w:rPr>
          <w:rFonts w:ascii="Bookman Old Style" w:hAnsi="Bookman Old Style" w:cs="Arial"/>
          <w:color w:val="000000" w:themeColor="text1"/>
          <w:highlight w:val="lightGray"/>
          <w:lang w:val="es-CO"/>
        </w:rPr>
      </w:pPr>
      <w:r w:rsidRPr="0013707D">
        <w:rPr>
          <w:rFonts w:ascii="Bookman Old Style" w:hAnsi="Bookman Old Style" w:cs="Arial"/>
          <w:color w:val="000000" w:themeColor="text1"/>
          <w:lang w:val="es-CO"/>
        </w:rPr>
        <w:t>Objetividad: los criterios de adjudicación serán claros e imparciales.</w:t>
      </w:r>
    </w:p>
    <w:p w14:paraId="5DC6FEF3" w14:textId="77777777" w:rsidR="0006302B" w:rsidRPr="0013707D" w:rsidRDefault="0006302B" w:rsidP="0006302B">
      <w:pPr>
        <w:ind w:left="0"/>
        <w:jc w:val="both"/>
        <w:rPr>
          <w:rFonts w:ascii="Bookman Old Style" w:hAnsi="Bookman Old Style"/>
          <w:bCs/>
          <w:color w:val="000000" w:themeColor="text1"/>
          <w:sz w:val="36"/>
          <w:lang w:val="es-CO" w:eastAsia="x-none"/>
        </w:rPr>
      </w:pPr>
    </w:p>
    <w:p w14:paraId="362F8CBD" w14:textId="77777777" w:rsidR="0006302B" w:rsidRPr="0013707D" w:rsidRDefault="0006302B" w:rsidP="00A4790E">
      <w:pPr>
        <w:numPr>
          <w:ilvl w:val="0"/>
          <w:numId w:val="74"/>
        </w:numPr>
        <w:ind w:left="567" w:hanging="567"/>
        <w:jc w:val="both"/>
        <w:rPr>
          <w:rFonts w:ascii="Bookman Old Style" w:hAnsi="Bookman Old Style"/>
          <w:b/>
          <w:bCs/>
          <w:color w:val="000000" w:themeColor="text1"/>
          <w:lang w:val="es-CO" w:eastAsia="x-none"/>
        </w:rPr>
      </w:pPr>
      <w:r w:rsidRPr="0013707D">
        <w:rPr>
          <w:rFonts w:ascii="Bookman Old Style" w:hAnsi="Bookman Old Style"/>
          <w:b/>
          <w:bCs/>
          <w:color w:val="000000" w:themeColor="text1"/>
          <w:lang w:val="es-CO" w:eastAsia="x-none"/>
        </w:rPr>
        <w:t xml:space="preserve">Organización de las </w:t>
      </w:r>
      <w:r w:rsidRPr="0013707D">
        <w:rPr>
          <w:rFonts w:ascii="Bookman Old Style" w:hAnsi="Bookman Old Style"/>
          <w:b/>
          <w:color w:val="000000" w:themeColor="text1"/>
          <w:lang w:val="es-CO"/>
        </w:rPr>
        <w:t>subastas</w:t>
      </w:r>
    </w:p>
    <w:p w14:paraId="59370E0B" w14:textId="77777777" w:rsidR="0006302B" w:rsidRPr="0013707D" w:rsidRDefault="0006302B" w:rsidP="0006302B">
      <w:pPr>
        <w:pStyle w:val="Prrafodelista"/>
        <w:keepNext/>
        <w:ind w:left="360"/>
        <w:rPr>
          <w:rFonts w:ascii="Bookman Old Style" w:hAnsi="Bookman Old Style"/>
          <w:color w:val="000000" w:themeColor="text1"/>
          <w:sz w:val="24"/>
          <w:szCs w:val="24"/>
        </w:rPr>
      </w:pPr>
    </w:p>
    <w:p w14:paraId="30229E9A" w14:textId="77777777" w:rsidR="0006302B" w:rsidRPr="0013707D" w:rsidRDefault="0006302B" w:rsidP="00A4790E">
      <w:pPr>
        <w:pStyle w:val="Prrafodelista"/>
        <w:numPr>
          <w:ilvl w:val="1"/>
          <w:numId w:val="76"/>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Responsabilidades y deberes del administrador de las subastas</w:t>
      </w:r>
    </w:p>
    <w:p w14:paraId="3B2B5549" w14:textId="77777777" w:rsidR="0006302B" w:rsidRPr="0013707D" w:rsidRDefault="0006302B" w:rsidP="0006302B">
      <w:pPr>
        <w:ind w:left="0"/>
        <w:rPr>
          <w:rFonts w:ascii="Bookman Old Style" w:hAnsi="Bookman Old Style"/>
          <w:color w:val="000000" w:themeColor="text1"/>
          <w:lang w:val="es-CO"/>
        </w:rPr>
      </w:pPr>
    </w:p>
    <w:p w14:paraId="0873951C"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Establecer, operar y mantener el sistema de subastas, el cual deberá estar disponible a más tardar diez (10) días calendario antes de la fecha programada para la realización de las primeras subastas.</w:t>
      </w:r>
    </w:p>
    <w:p w14:paraId="552C0081"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41C2A96"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Realizar a más tardar cinco (5) días calendario antes de la fecha programada para la realización de la subasta, a través de una empresa especializada, una auditoría operativa y de sistemas para verificar el adecuado funcionamiento del sistema de subastas y certificar su correcta operación frente a las especificaciones técnicas, operativas y de seguridad, respecto del programa y de los equipos. Igualmente, deberá remitir el certificado de dicha auditoría al auditor de la subasta antes de la realización de las primeras subastas.</w:t>
      </w:r>
    </w:p>
    <w:p w14:paraId="179A682E"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99B5C38"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Elaborar los reglamentos que considere necesarios para llevar a cabo las actividades encomendadas, los cuales deberán ser puestos a consideración de la CREG para su concepto de no objeción a más tardar cuarenta (40) días calendario antes de la fecha programada para la realización de las primeras subastas. En especial deberá establecer la estructura computacional y de comunicaciones requerida para el acceso al sistema de subastas, así como los canales formales para la comunicación con el administrador y con el subastador.</w:t>
      </w:r>
    </w:p>
    <w:p w14:paraId="782D89F6"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612965C"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La CREG dará su concepto de no objeción de tal manera que veinte (20) días calendario antes de la realización de las primeras subastas sean públicos los reglamentos. A partir de la realización de las primeras subastas la CREG dará su concepto de no objeción cuando haya modificaciones en los reglamentos, para lo cual el administrador de las subastas deberá poner a consideración de la CREG las modificaciones del caso.</w:t>
      </w:r>
    </w:p>
    <w:p w14:paraId="121F01CB"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A948F54" w14:textId="27C30AC3"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Ofrecer e impartir la capacitación y asistencia necesaria en el manejo y operación del sistema de subastas a los vendedores y compradores a los que se hace </w:t>
      </w:r>
      <w:r w:rsidRPr="002A3125">
        <w:rPr>
          <w:rFonts w:ascii="Bookman Old Style" w:hAnsi="Bookman Old Style" w:cs="Arial"/>
          <w:color w:val="000000" w:themeColor="text1"/>
          <w:lang w:val="es-CO"/>
        </w:rPr>
        <w:t>referencia en el</w:t>
      </w:r>
      <w:r w:rsidR="009F5560">
        <w:rPr>
          <w:rFonts w:ascii="Bookman Old Style" w:hAnsi="Bookman Old Style" w:cs="Arial"/>
          <w:color w:val="000000" w:themeColor="text1"/>
          <w:lang w:val="es-CO"/>
        </w:rPr>
        <w:t xml:space="preserve"> artículo 29 y en el artículo 30</w:t>
      </w:r>
      <w:r w:rsidR="00116901" w:rsidRPr="002A3125">
        <w:rPr>
          <w:rFonts w:ascii="Bookman Old Style" w:hAnsi="Bookman Old Style" w:cs="Arial"/>
          <w:color w:val="000000" w:themeColor="text1"/>
          <w:lang w:val="es-CO"/>
        </w:rPr>
        <w:t xml:space="preserve"> </w:t>
      </w:r>
      <w:r w:rsidRPr="002A3125">
        <w:rPr>
          <w:rFonts w:ascii="Bookman Old Style" w:hAnsi="Bookman Old Style" w:cs="Arial"/>
          <w:color w:val="000000" w:themeColor="text1"/>
          <w:lang w:val="es-CO"/>
        </w:rPr>
        <w:t>de esta Resolución, con una frecuencia anual. En caso de que alguno de los vendedores y compradores a los que se hace referencia en el</w:t>
      </w:r>
      <w:r w:rsidR="009F5560">
        <w:rPr>
          <w:rFonts w:ascii="Bookman Old Style" w:hAnsi="Bookman Old Style" w:cs="Arial"/>
          <w:color w:val="000000" w:themeColor="text1"/>
          <w:lang w:val="es-CO"/>
        </w:rPr>
        <w:t xml:space="preserve"> artículo 29 y en el artículo 30</w:t>
      </w:r>
      <w:r w:rsidR="00116901" w:rsidRPr="002A3125">
        <w:rPr>
          <w:rFonts w:ascii="Bookman Old Style" w:hAnsi="Bookman Old Style" w:cs="Arial"/>
          <w:b/>
          <w:lang w:val="es-CO"/>
        </w:rPr>
        <w:t xml:space="preserve"> </w:t>
      </w:r>
      <w:r w:rsidRPr="002A3125">
        <w:rPr>
          <w:rFonts w:ascii="Bookman Old Style" w:hAnsi="Bookman Old Style" w:cs="Arial"/>
          <w:color w:val="000000" w:themeColor="text1"/>
          <w:lang w:val="es-CO"/>
        </w:rPr>
        <w:t>de esta Resolución requiera capacitación adicional, el administrador</w:t>
      </w:r>
      <w:r w:rsidRPr="0013707D">
        <w:rPr>
          <w:rFonts w:ascii="Bookman Old Style" w:hAnsi="Bookman Old Style" w:cs="Arial"/>
          <w:color w:val="000000" w:themeColor="text1"/>
          <w:lang w:val="es-CO"/>
        </w:rPr>
        <w:t xml:space="preserve"> de las subastas podrá impartírsela, caso en el cual podrá cobrar la cifra que las partes acuerden.</w:t>
      </w:r>
    </w:p>
    <w:p w14:paraId="404B6767"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27CAA4C0"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Contratar al auditor de las subastas, proceso que debe estar finalizado por lo menos veinte (20) días calendario antes de la fecha programada para la realización de las mismas.</w:t>
      </w:r>
    </w:p>
    <w:p w14:paraId="241F146C"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575F2F53"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Si el administrador de las subastas no desempeña el papel de subastador, deberá contratarlo, proceso que deberá estar finalizado por lo menos veinte (20) días calendario antes de la realización de las mismas.</w:t>
      </w:r>
    </w:p>
    <w:p w14:paraId="79A776EA"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2889E133"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Emitir los certificados en los que se informe a los vendedores y a los compradores los resultados de las subastas en las que participaron.</w:t>
      </w:r>
    </w:p>
    <w:p w14:paraId="4C913479" w14:textId="77777777" w:rsidR="0006302B" w:rsidRPr="0013707D" w:rsidRDefault="0006302B" w:rsidP="0006302B">
      <w:pPr>
        <w:pStyle w:val="Prrafodelista"/>
        <w:rPr>
          <w:rFonts w:ascii="Bookman Old Style" w:hAnsi="Bookman Old Style" w:cs="Arial"/>
          <w:color w:val="000000" w:themeColor="text1"/>
          <w:sz w:val="24"/>
          <w:szCs w:val="24"/>
        </w:rPr>
      </w:pPr>
    </w:p>
    <w:p w14:paraId="7996E2B7" w14:textId="77777777" w:rsidR="0006302B" w:rsidRPr="0013707D" w:rsidRDefault="0006302B" w:rsidP="00A4790E">
      <w:pPr>
        <w:numPr>
          <w:ilvl w:val="0"/>
          <w:numId w:val="7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Conservar registros históricos, en medios electrónicos, de la totalidad de operaciones realizadas en desarrollo de las subastas, de conformidad con las disposiciones legales vigentes en materia de conservación de documentos.</w:t>
      </w:r>
    </w:p>
    <w:p w14:paraId="2C8481BD" w14:textId="77777777" w:rsidR="0006302B" w:rsidRPr="0013707D" w:rsidRDefault="0006302B" w:rsidP="0006302B">
      <w:pPr>
        <w:pStyle w:val="Prrafodelista"/>
        <w:ind w:left="0"/>
        <w:jc w:val="both"/>
        <w:rPr>
          <w:rFonts w:ascii="Bookman Old Style" w:hAnsi="Bookman Old Style"/>
          <w:b/>
          <w:color w:val="000000" w:themeColor="text1"/>
          <w:sz w:val="24"/>
          <w:szCs w:val="24"/>
        </w:rPr>
      </w:pPr>
    </w:p>
    <w:p w14:paraId="727201DB" w14:textId="64302DED" w:rsidR="0006302B" w:rsidRPr="0013707D" w:rsidRDefault="0006302B" w:rsidP="0006302B">
      <w:pPr>
        <w:pStyle w:val="Prrafodelista"/>
        <w:ind w:left="0"/>
        <w:jc w:val="both"/>
        <w:rPr>
          <w:rFonts w:ascii="Bookman Old Style" w:hAnsi="Bookman Old Style"/>
          <w:b/>
          <w:color w:val="000000" w:themeColor="text1"/>
          <w:sz w:val="24"/>
          <w:szCs w:val="24"/>
        </w:rPr>
      </w:pPr>
      <w:r w:rsidRPr="00252C86">
        <w:rPr>
          <w:rFonts w:ascii="Bookman Old Style" w:hAnsi="Bookman Old Style"/>
          <w:color w:val="000000" w:themeColor="text1"/>
          <w:sz w:val="24"/>
          <w:szCs w:val="24"/>
        </w:rPr>
        <w:t xml:space="preserve">En desarrollo del servicio al que se hace referencia en el </w:t>
      </w:r>
      <w:r w:rsidRPr="00D66B65">
        <w:rPr>
          <w:rFonts w:ascii="Bookman Old Style" w:hAnsi="Bookman Old Style"/>
          <w:color w:val="000000" w:themeColor="text1"/>
          <w:sz w:val="24"/>
          <w:szCs w:val="24"/>
        </w:rPr>
        <w:t>numeral 4 del</w:t>
      </w:r>
      <w:r w:rsidR="009F5560">
        <w:rPr>
          <w:rFonts w:ascii="Bookman Old Style" w:hAnsi="Bookman Old Style"/>
          <w:color w:val="000000" w:themeColor="text1"/>
          <w:sz w:val="24"/>
          <w:szCs w:val="24"/>
        </w:rPr>
        <w:t xml:space="preserve"> artículo 5</w:t>
      </w:r>
      <w:r w:rsidRPr="00D66B65">
        <w:rPr>
          <w:rFonts w:ascii="Bookman Old Style" w:hAnsi="Bookman Old Style"/>
          <w:color w:val="000000" w:themeColor="text1"/>
          <w:sz w:val="24"/>
          <w:szCs w:val="24"/>
        </w:rPr>
        <w:t xml:space="preserve"> de esta Resolución</w:t>
      </w:r>
      <w:r w:rsidRPr="00574007">
        <w:rPr>
          <w:rFonts w:ascii="Bookman Old Style" w:hAnsi="Bookman Old Style"/>
          <w:color w:val="000000" w:themeColor="text1"/>
          <w:sz w:val="24"/>
          <w:szCs w:val="24"/>
        </w:rPr>
        <w:t xml:space="preserve">, el </w:t>
      </w:r>
      <w:r w:rsidR="002D6E4C" w:rsidRPr="00956510">
        <w:rPr>
          <w:rFonts w:ascii="Bookman Old Style" w:hAnsi="Bookman Old Style"/>
          <w:sz w:val="24"/>
          <w:szCs w:val="24"/>
          <w:u w:color="FF0000"/>
        </w:rPr>
        <w:t>Gesto</w:t>
      </w:r>
      <w:r w:rsidR="002D6E4C" w:rsidRPr="00E53E99">
        <w:rPr>
          <w:rFonts w:ascii="Bookman Old Style" w:hAnsi="Bookman Old Style"/>
          <w:sz w:val="24"/>
          <w:szCs w:val="24"/>
          <w:u w:color="FF0000"/>
        </w:rPr>
        <w:t>r</w:t>
      </w:r>
      <w:r w:rsidR="002D6E4C" w:rsidRPr="00956510" w:rsidDel="00E53E99">
        <w:rPr>
          <w:color w:val="FF0000"/>
          <w:sz w:val="28"/>
          <w:u w:color="FF0000"/>
        </w:rPr>
        <w:t xml:space="preserve"> </w:t>
      </w:r>
      <w:r w:rsidRPr="00574007">
        <w:rPr>
          <w:rFonts w:ascii="Bookman Old Style" w:hAnsi="Bookman Old Style"/>
          <w:color w:val="000000" w:themeColor="text1"/>
          <w:sz w:val="24"/>
          <w:szCs w:val="24"/>
        </w:rPr>
        <w:t>del mercado será el administrador de las subastas.</w:t>
      </w:r>
    </w:p>
    <w:p w14:paraId="1ABE125E" w14:textId="77777777" w:rsidR="0006302B" w:rsidRPr="0013707D" w:rsidRDefault="0006302B" w:rsidP="0006302B">
      <w:pPr>
        <w:pStyle w:val="Prrafodelista"/>
        <w:ind w:left="0"/>
        <w:jc w:val="both"/>
        <w:rPr>
          <w:rFonts w:ascii="Bookman Old Style" w:hAnsi="Bookman Old Style"/>
          <w:b/>
          <w:color w:val="000000" w:themeColor="text1"/>
          <w:sz w:val="24"/>
          <w:szCs w:val="24"/>
        </w:rPr>
      </w:pPr>
    </w:p>
    <w:p w14:paraId="08D35188" w14:textId="77777777" w:rsidR="0006302B" w:rsidRPr="0013707D" w:rsidRDefault="0006302B" w:rsidP="00A4790E">
      <w:pPr>
        <w:pStyle w:val="Prrafodelista"/>
        <w:numPr>
          <w:ilvl w:val="1"/>
          <w:numId w:val="76"/>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Responsabilidades y deberes del auditor de las subastas</w:t>
      </w:r>
    </w:p>
    <w:p w14:paraId="2DEB766B"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3D2AC090"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Verificar la correcta aplicación de la regulación prevista para las </w:t>
      </w:r>
      <w:r w:rsidRPr="0013707D">
        <w:rPr>
          <w:rFonts w:ascii="Bookman Old Style" w:hAnsi="Bookman Old Style"/>
          <w:color w:val="000000" w:themeColor="text1"/>
          <w:lang w:val="es-CO"/>
        </w:rPr>
        <w:t>subastas</w:t>
      </w:r>
      <w:r w:rsidRPr="0013707D">
        <w:rPr>
          <w:rFonts w:ascii="Bookman Old Style" w:hAnsi="Bookman Old Style" w:cs="Arial"/>
          <w:color w:val="000000" w:themeColor="text1"/>
          <w:lang w:val="es-CO"/>
        </w:rPr>
        <w:t>.</w:t>
      </w:r>
    </w:p>
    <w:p w14:paraId="2C2A180D"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65E965FD"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Verificar que las comunicaciones con el administrador de las subastas y el subastador se realicen única y exclusivamente mediante los canales formales de comunicación establecidos por el administrador de las subastas.</w:t>
      </w:r>
    </w:p>
    <w:p w14:paraId="45FA8EC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38432E8C"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Verificar que durante las </w:t>
      </w:r>
      <w:r w:rsidRPr="0013707D">
        <w:rPr>
          <w:rFonts w:ascii="Bookman Old Style" w:hAnsi="Bookman Old Style"/>
          <w:color w:val="000000" w:themeColor="text1"/>
          <w:lang w:val="es-CO"/>
        </w:rPr>
        <w:t xml:space="preserve">subastas </w:t>
      </w:r>
      <w:r w:rsidRPr="0013707D">
        <w:rPr>
          <w:rFonts w:ascii="Bookman Old Style" w:hAnsi="Bookman Old Style" w:cs="Arial"/>
          <w:color w:val="000000" w:themeColor="text1"/>
          <w:lang w:val="es-CO"/>
        </w:rPr>
        <w:t>se sigan expresamente los pasos y reglas establecidos en este Anexo.</w:t>
      </w:r>
    </w:p>
    <w:p w14:paraId="045D7FB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1F839B7"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Informar al administrador de las subastas las situaciones en las que considere que el mismo administrador o el subastador no están dando cumplimiento a las disposiciones contenidas en la regulación vigente, para que el administrador de las subastas tome los correctivos del caso de manera inmediata.</w:t>
      </w:r>
    </w:p>
    <w:p w14:paraId="7ACACC7C"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5113BB4A"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Informar a los órganos responsables de la inspección, vigilancia y control las situaciones en las que considere que i) los declarantes de información sobre suministro de gas natural; ii) los vendedores de gas natural; o iii) los compradores de gas no están dando cumplimiento a las disposiciones contenidas en la regulación.</w:t>
      </w:r>
    </w:p>
    <w:p w14:paraId="7D04E4AA"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3FC54558" w14:textId="77777777" w:rsidR="0006302B" w:rsidRPr="0013707D" w:rsidRDefault="0006302B" w:rsidP="00A4790E">
      <w:pPr>
        <w:numPr>
          <w:ilvl w:val="0"/>
          <w:numId w:val="7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Auditar, de manera aleatoria, una muestra significativa de las </w:t>
      </w:r>
      <w:r w:rsidRPr="0013707D">
        <w:rPr>
          <w:rFonts w:ascii="Bookman Old Style" w:hAnsi="Bookman Old Style"/>
          <w:color w:val="000000" w:themeColor="text1"/>
          <w:lang w:val="es-CO"/>
        </w:rPr>
        <w:t xml:space="preserve">subastas realizadas en cada </w:t>
      </w:r>
      <w:r w:rsidRPr="0013707D">
        <w:rPr>
          <w:rFonts w:ascii="Bookman Old Style" w:hAnsi="Bookman Old Style" w:cs="Arial"/>
          <w:color w:val="000000" w:themeColor="text1"/>
          <w:lang w:val="es-CO"/>
        </w:rPr>
        <w:t>año y remitir a la CREG, dentro de los cinco (5) días siguientes a la finalización de cada bimestre, un informe en el cual se establezca, sin ambigüedades, si el administrador de las subastas dio cumplimiento o no a la regulación aplicable a las subastas.</w:t>
      </w:r>
    </w:p>
    <w:p w14:paraId="0E0216EA" w14:textId="77777777" w:rsidR="0006302B" w:rsidRPr="0013707D" w:rsidRDefault="0006302B" w:rsidP="0006302B">
      <w:pPr>
        <w:pStyle w:val="Prrafodelista"/>
        <w:ind w:left="0"/>
        <w:jc w:val="both"/>
        <w:rPr>
          <w:rFonts w:ascii="Bookman Old Style" w:hAnsi="Bookman Old Style"/>
          <w:b/>
          <w:color w:val="000000" w:themeColor="text1"/>
          <w:sz w:val="24"/>
          <w:szCs w:val="24"/>
        </w:rPr>
      </w:pPr>
    </w:p>
    <w:p w14:paraId="0135CF9A" w14:textId="77777777" w:rsidR="0006302B" w:rsidRPr="0013707D" w:rsidRDefault="0006302B" w:rsidP="00A4790E">
      <w:pPr>
        <w:pStyle w:val="Prrafodelista"/>
        <w:keepNext/>
        <w:numPr>
          <w:ilvl w:val="1"/>
          <w:numId w:val="76"/>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Responsabilidades y deberes del subastador</w:t>
      </w:r>
    </w:p>
    <w:p w14:paraId="0869EA17" w14:textId="77777777" w:rsidR="0006302B" w:rsidRPr="0013707D" w:rsidRDefault="0006302B" w:rsidP="0006302B">
      <w:pPr>
        <w:keepNext/>
        <w:autoSpaceDE w:val="0"/>
        <w:autoSpaceDN w:val="0"/>
        <w:adjustRightInd w:val="0"/>
        <w:ind w:left="1134"/>
        <w:jc w:val="both"/>
        <w:rPr>
          <w:rFonts w:ascii="Bookman Old Style" w:hAnsi="Bookman Old Style" w:cs="Arial"/>
          <w:color w:val="000000" w:themeColor="text1"/>
          <w:lang w:val="es-CO"/>
        </w:rPr>
      </w:pPr>
    </w:p>
    <w:p w14:paraId="62462F19" w14:textId="77777777" w:rsidR="0006302B" w:rsidRPr="0013707D" w:rsidRDefault="0006302B" w:rsidP="00A4790E">
      <w:pPr>
        <w:numPr>
          <w:ilvl w:val="0"/>
          <w:numId w:val="79"/>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Recibir las declaraciones de los declarantes de información sobre suministro de gas natural según las condiciones que se establecen en este Anexo.</w:t>
      </w:r>
    </w:p>
    <w:p w14:paraId="3989C702"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75A46FB0" w14:textId="77777777" w:rsidR="0006302B" w:rsidRPr="0013707D" w:rsidRDefault="0006302B" w:rsidP="00A4790E">
      <w:pPr>
        <w:numPr>
          <w:ilvl w:val="0"/>
          <w:numId w:val="79"/>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Recibir las declaraciones de precios de reserva por parte de los vendedores de gas natural según las condiciones que se establecen en este Anexo.</w:t>
      </w:r>
    </w:p>
    <w:p w14:paraId="405DBC95" w14:textId="77777777" w:rsidR="0006302B" w:rsidRPr="0013707D"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67186D87" w14:textId="77777777" w:rsidR="0006302B" w:rsidRPr="0013707D" w:rsidRDefault="0006302B" w:rsidP="00A4790E">
      <w:pPr>
        <w:numPr>
          <w:ilvl w:val="0"/>
          <w:numId w:val="79"/>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Recibir las declaraciones de cantidades y precios por parte de los compradores de gas natural</w:t>
      </w:r>
      <w:r w:rsidRPr="0013707D">
        <w:rPr>
          <w:rFonts w:ascii="Bookman Old Style" w:hAnsi="Bookman Old Style" w:cs="Arial"/>
          <w:b/>
          <w:color w:val="000000" w:themeColor="text1"/>
          <w:lang w:val="es-CO"/>
        </w:rPr>
        <w:t xml:space="preserve"> </w:t>
      </w:r>
      <w:r w:rsidRPr="0013707D">
        <w:rPr>
          <w:rFonts w:ascii="Bookman Old Style" w:hAnsi="Bookman Old Style" w:cs="Arial"/>
          <w:color w:val="000000" w:themeColor="text1"/>
          <w:lang w:val="es-CO"/>
        </w:rPr>
        <w:t>según las condiciones que se establecen en este Anexo.</w:t>
      </w:r>
    </w:p>
    <w:p w14:paraId="2F2EC63C" w14:textId="77777777" w:rsidR="0006302B" w:rsidRPr="0013707D" w:rsidRDefault="0006302B" w:rsidP="0006302B">
      <w:pPr>
        <w:autoSpaceDE w:val="0"/>
        <w:autoSpaceDN w:val="0"/>
        <w:adjustRightInd w:val="0"/>
        <w:ind w:left="1134" w:hanging="567"/>
        <w:jc w:val="both"/>
        <w:rPr>
          <w:rFonts w:ascii="Bookman Old Style" w:hAnsi="Bookman Old Style" w:cs="Arial"/>
          <w:color w:val="000000" w:themeColor="text1"/>
          <w:lang w:val="es-CO"/>
        </w:rPr>
      </w:pPr>
    </w:p>
    <w:p w14:paraId="3077BEBE" w14:textId="77777777" w:rsidR="0006302B" w:rsidRPr="00604153" w:rsidRDefault="0006302B" w:rsidP="00A4790E">
      <w:pPr>
        <w:numPr>
          <w:ilvl w:val="0"/>
          <w:numId w:val="79"/>
        </w:numPr>
        <w:autoSpaceDE w:val="0"/>
        <w:autoSpaceDN w:val="0"/>
        <w:adjustRightInd w:val="0"/>
        <w:ind w:left="1134" w:hanging="567"/>
        <w:jc w:val="both"/>
        <w:rPr>
          <w:rFonts w:ascii="Bookman Old Style" w:hAnsi="Bookman Old Style" w:cs="Arial"/>
          <w:lang w:val="es-CO"/>
        </w:rPr>
      </w:pPr>
      <w:r w:rsidRPr="0013707D">
        <w:rPr>
          <w:rFonts w:ascii="Bookman Old Style" w:hAnsi="Bookman Old Style" w:cs="Arial"/>
          <w:color w:val="000000" w:themeColor="text1"/>
          <w:lang w:val="es-CO"/>
        </w:rPr>
        <w:t xml:space="preserve">Elaborar la curva de demanda agregada con base en las cantidades y precios </w:t>
      </w:r>
      <w:r w:rsidRPr="00604153">
        <w:rPr>
          <w:rFonts w:ascii="Bookman Old Style" w:hAnsi="Bookman Old Style" w:cs="Arial"/>
          <w:lang w:val="es-CO"/>
        </w:rPr>
        <w:t>declarados por los compradores de gas, según lo establecido en el literal a) del numeral 5.7 de este Anexo.</w:t>
      </w:r>
    </w:p>
    <w:p w14:paraId="7CDD5BC8" w14:textId="77777777" w:rsidR="0006302B" w:rsidRPr="00604153" w:rsidRDefault="0006302B" w:rsidP="0006302B">
      <w:pPr>
        <w:autoSpaceDE w:val="0"/>
        <w:autoSpaceDN w:val="0"/>
        <w:adjustRightInd w:val="0"/>
        <w:ind w:left="1134" w:hanging="567"/>
        <w:jc w:val="both"/>
        <w:rPr>
          <w:rFonts w:ascii="Bookman Old Style" w:hAnsi="Bookman Old Style" w:cs="Arial"/>
          <w:lang w:val="es-CO"/>
        </w:rPr>
      </w:pPr>
    </w:p>
    <w:p w14:paraId="531702EA" w14:textId="77777777" w:rsidR="0006302B" w:rsidRPr="0013707D" w:rsidRDefault="0006302B" w:rsidP="00A4790E">
      <w:pPr>
        <w:numPr>
          <w:ilvl w:val="0"/>
          <w:numId w:val="79"/>
        </w:numPr>
        <w:autoSpaceDE w:val="0"/>
        <w:autoSpaceDN w:val="0"/>
        <w:adjustRightInd w:val="0"/>
        <w:ind w:left="1134" w:hanging="567"/>
        <w:jc w:val="both"/>
        <w:rPr>
          <w:rFonts w:ascii="Bookman Old Style" w:hAnsi="Bookman Old Style" w:cs="Arial"/>
          <w:color w:val="000000" w:themeColor="text1"/>
          <w:lang w:val="es-CO"/>
        </w:rPr>
      </w:pPr>
      <w:r w:rsidRPr="00604153">
        <w:rPr>
          <w:rFonts w:ascii="Bookman Old Style" w:hAnsi="Bookman Old Style" w:cs="Arial"/>
          <w:lang w:val="es-CO"/>
        </w:rPr>
        <w:t xml:space="preserve">Elaborar la curva de oferta agregada con base en i) la información de cantidades declaradas por los declarantes de información sobre suministro; y ii) la información de precios de reserva declarados por los vendedores de gas natural según lo establecido en el literal b) del numeral 5.7 de este </w:t>
      </w:r>
      <w:r w:rsidRPr="0013707D">
        <w:rPr>
          <w:rFonts w:ascii="Bookman Old Style" w:hAnsi="Bookman Old Style" w:cs="Arial"/>
          <w:color w:val="000000" w:themeColor="text1"/>
          <w:lang w:val="es-CO"/>
        </w:rPr>
        <w:t>Anexo.</w:t>
      </w:r>
    </w:p>
    <w:p w14:paraId="34D79D35" w14:textId="77777777" w:rsidR="0006302B" w:rsidRPr="0013707D" w:rsidRDefault="0006302B" w:rsidP="0006302B">
      <w:pPr>
        <w:pStyle w:val="Prrafodelista"/>
        <w:ind w:left="1134" w:hanging="567"/>
        <w:rPr>
          <w:rFonts w:ascii="Bookman Old Style" w:hAnsi="Bookman Old Style" w:cs="Arial"/>
          <w:color w:val="000000" w:themeColor="text1"/>
          <w:sz w:val="24"/>
          <w:szCs w:val="24"/>
        </w:rPr>
      </w:pPr>
    </w:p>
    <w:p w14:paraId="4EB6B7B2" w14:textId="77777777" w:rsidR="0006302B" w:rsidRPr="0013707D" w:rsidRDefault="0006302B" w:rsidP="00A4790E">
      <w:pPr>
        <w:numPr>
          <w:ilvl w:val="0"/>
          <w:numId w:val="79"/>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Obtener los precios de adjudicación del gas natural a través de la superposición de las curvas de oferta y de demanda agregadas.</w:t>
      </w:r>
    </w:p>
    <w:p w14:paraId="52B1FF67" w14:textId="77777777" w:rsidR="0006302B" w:rsidRPr="0013707D" w:rsidRDefault="0006302B" w:rsidP="0006302B">
      <w:pPr>
        <w:ind w:left="0"/>
        <w:jc w:val="both"/>
        <w:rPr>
          <w:rFonts w:ascii="Bookman Old Style" w:hAnsi="Bookman Old Style"/>
          <w:color w:val="000000" w:themeColor="text1"/>
          <w:lang w:val="es-CO"/>
        </w:rPr>
      </w:pPr>
    </w:p>
    <w:p w14:paraId="11A00729" w14:textId="77777777" w:rsidR="0006302B" w:rsidRPr="0013707D" w:rsidRDefault="0006302B" w:rsidP="00A4790E">
      <w:pPr>
        <w:pStyle w:val="Prrafodelista"/>
        <w:numPr>
          <w:ilvl w:val="1"/>
          <w:numId w:val="76"/>
        </w:numPr>
        <w:ind w:left="567" w:hanging="567"/>
        <w:jc w:val="both"/>
        <w:rPr>
          <w:rFonts w:ascii="Bookman Old Style" w:hAnsi="Bookman Old Style"/>
          <w:color w:val="000000" w:themeColor="text1"/>
          <w:sz w:val="24"/>
          <w:szCs w:val="24"/>
        </w:rPr>
      </w:pPr>
      <w:r w:rsidRPr="0013707D">
        <w:rPr>
          <w:rFonts w:ascii="Bookman Old Style" w:hAnsi="Bookman Old Style"/>
          <w:color w:val="000000" w:themeColor="text1"/>
          <w:sz w:val="24"/>
          <w:szCs w:val="24"/>
        </w:rPr>
        <w:t>Obligaciones de los declarantes, los vendedores y los compradores en relación con el uso del sistema de subastas</w:t>
      </w:r>
    </w:p>
    <w:p w14:paraId="433F6338" w14:textId="77777777" w:rsidR="0006302B" w:rsidRPr="0013707D" w:rsidRDefault="0006302B" w:rsidP="0006302B">
      <w:pPr>
        <w:rPr>
          <w:rFonts w:ascii="Bookman Old Style" w:hAnsi="Bookman Old Style"/>
          <w:lang w:val="es-CO"/>
        </w:rPr>
      </w:pPr>
    </w:p>
    <w:p w14:paraId="71CE4571" w14:textId="77777777" w:rsidR="0006302B" w:rsidRPr="0013707D" w:rsidRDefault="0006302B" w:rsidP="00A4790E">
      <w:pPr>
        <w:numPr>
          <w:ilvl w:val="0"/>
          <w:numId w:val="8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lastRenderedPageBreak/>
        <w:t>Tener a su disposición la estructura operativa y el equipo computacional y de comunicaciones apropiado, de acuerdo con las especificaciones operativas y técnicas establecidas por el administrador de las subastas.</w:t>
      </w:r>
    </w:p>
    <w:p w14:paraId="114AE1AF"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0C0C421" w14:textId="77777777" w:rsidR="0006302B" w:rsidRPr="0013707D" w:rsidRDefault="0006302B" w:rsidP="00A4790E">
      <w:pPr>
        <w:numPr>
          <w:ilvl w:val="0"/>
          <w:numId w:val="8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Utilizar y operar el sistema de subastas única y exclusivamente a través del personal debidamente capacitado para el efecto.</w:t>
      </w:r>
    </w:p>
    <w:p w14:paraId="7E30D963"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33109C09" w14:textId="77777777" w:rsidR="0006302B" w:rsidRPr="0013707D" w:rsidRDefault="0006302B" w:rsidP="00A4790E">
      <w:pPr>
        <w:numPr>
          <w:ilvl w:val="0"/>
          <w:numId w:val="8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Abstenerse de realizar actos contrarios a la libre competencia, actos contrarios a la legislación o a la regulación vigente y actos que afecten la transparencia del proceso o la adecuada formación de precios.</w:t>
      </w:r>
    </w:p>
    <w:p w14:paraId="1F3EC808"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sz w:val="28"/>
          <w:lang w:val="es-CO"/>
        </w:rPr>
      </w:pPr>
    </w:p>
    <w:p w14:paraId="468CAEAD" w14:textId="77777777" w:rsidR="0006302B" w:rsidRPr="0013707D" w:rsidRDefault="0006302B" w:rsidP="00A4790E">
      <w:pPr>
        <w:numPr>
          <w:ilvl w:val="0"/>
          <w:numId w:val="80"/>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Informar de manera inmediata al administrador de las subastas cualquier error o falla del sistema de subastas.</w:t>
      </w:r>
    </w:p>
    <w:p w14:paraId="1E15FF89" w14:textId="77777777" w:rsidR="0006302B" w:rsidRPr="0013707D" w:rsidRDefault="0006302B" w:rsidP="0006302B">
      <w:pPr>
        <w:ind w:left="0"/>
        <w:rPr>
          <w:rFonts w:ascii="Bookman Old Style" w:hAnsi="Bookman Old Style"/>
          <w:color w:val="000000" w:themeColor="text1"/>
          <w:sz w:val="28"/>
          <w:lang w:val="es-CO"/>
        </w:rPr>
      </w:pPr>
    </w:p>
    <w:p w14:paraId="4CF8F8B2" w14:textId="77777777" w:rsidR="0006302B" w:rsidRPr="0013707D" w:rsidRDefault="0006302B" w:rsidP="00A4790E">
      <w:pPr>
        <w:pStyle w:val="Prrafodelista"/>
        <w:keepNext/>
        <w:numPr>
          <w:ilvl w:val="1"/>
          <w:numId w:val="76"/>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Sistema de subastas</w:t>
      </w:r>
    </w:p>
    <w:p w14:paraId="06699AE9" w14:textId="77777777" w:rsidR="0006302B" w:rsidRPr="0013707D" w:rsidRDefault="0006302B" w:rsidP="0006302B">
      <w:pPr>
        <w:keepNext/>
        <w:ind w:left="0"/>
        <w:rPr>
          <w:rFonts w:ascii="Bookman Old Style" w:hAnsi="Bookman Old Style"/>
          <w:color w:val="000000" w:themeColor="text1"/>
          <w:lang w:val="es-CO"/>
        </w:rPr>
      </w:pPr>
    </w:p>
    <w:p w14:paraId="1C6892BF" w14:textId="77777777"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La plataforma tecnológica deberá cumplir con los siguientes requisitos mínimos</w:t>
      </w:r>
    </w:p>
    <w:p w14:paraId="72D26268" w14:textId="77777777" w:rsidR="0006302B" w:rsidRPr="0013707D" w:rsidRDefault="0006302B" w:rsidP="0006302B">
      <w:pPr>
        <w:ind w:left="147"/>
        <w:rPr>
          <w:rFonts w:ascii="Bookman Old Style" w:hAnsi="Bookman Old Style" w:cs="Arial"/>
          <w:color w:val="000000" w:themeColor="text1"/>
          <w:lang w:val="es-CO"/>
        </w:rPr>
      </w:pPr>
    </w:p>
    <w:p w14:paraId="0C161264"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Estar basada en protocolos de Internet.</w:t>
      </w:r>
    </w:p>
    <w:p w14:paraId="45CC3B4D"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70BE2EC"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Permitir el acceso a cada uno de los declarantes, de los vendedores y de los compradores desde el sitio en el territorio nacional donde estos dispongan de la infraestructura de computación y comunicaciones.</w:t>
      </w:r>
    </w:p>
    <w:p w14:paraId="2E0D4B6E"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4F1390AE"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Mantener las bases de datos y servidores del sistema de subastas en el sitio que para tal fin establezca el administrador de la subasta.</w:t>
      </w:r>
    </w:p>
    <w:p w14:paraId="3CA23542" w14:textId="77777777" w:rsidR="0006302B" w:rsidRPr="0013707D" w:rsidRDefault="0006302B" w:rsidP="0006302B">
      <w:pPr>
        <w:pStyle w:val="Prrafodelista"/>
        <w:rPr>
          <w:rFonts w:ascii="Bookman Old Style" w:hAnsi="Bookman Old Style" w:cs="Arial"/>
          <w:color w:val="000000" w:themeColor="text1"/>
          <w:sz w:val="24"/>
          <w:szCs w:val="24"/>
        </w:rPr>
      </w:pPr>
    </w:p>
    <w:p w14:paraId="35E1FAD8"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Garantizar la autenticación de los usuarios que acceden al sistema.</w:t>
      </w:r>
    </w:p>
    <w:p w14:paraId="39611074"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5BC0FFC4"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Cumplir las exigencias establecidas en la legislación que rige en materia de comercio electrónico.</w:t>
      </w:r>
    </w:p>
    <w:p w14:paraId="1620E2F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6AED7C6"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Tener un sistema que permita el manejo de información confidencial o sujeta a reserva legal.</w:t>
      </w:r>
    </w:p>
    <w:p w14:paraId="7C987E73"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137F279"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Incluir sistemas de respaldo que garanticen la operación continua durante el proceso de </w:t>
      </w:r>
      <w:r w:rsidRPr="0013707D">
        <w:rPr>
          <w:rFonts w:ascii="Bookman Old Style" w:hAnsi="Bookman Old Style"/>
          <w:color w:val="000000" w:themeColor="text1"/>
          <w:lang w:val="es-CO"/>
        </w:rPr>
        <w:t>subastas</w:t>
      </w:r>
      <w:r w:rsidRPr="0013707D">
        <w:rPr>
          <w:rFonts w:ascii="Bookman Old Style" w:hAnsi="Bookman Old Style" w:cs="Arial"/>
          <w:color w:val="000000" w:themeColor="text1"/>
          <w:lang w:val="es-CO"/>
        </w:rPr>
        <w:t>.</w:t>
      </w:r>
    </w:p>
    <w:p w14:paraId="5A5DC6A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5A99CA95" w14:textId="77777777" w:rsidR="0006302B" w:rsidRPr="0013707D"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Estar dotado de un registro de todos los procesos realizados en él, incluyendo el registro de ingreso de cada uno de los usuarios. </w:t>
      </w:r>
    </w:p>
    <w:p w14:paraId="58FD8EFE"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2639073" w14:textId="77777777" w:rsidR="0006302B" w:rsidRPr="007D7881" w:rsidRDefault="0006302B" w:rsidP="00A4790E">
      <w:pPr>
        <w:numPr>
          <w:ilvl w:val="0"/>
          <w:numId w:val="81"/>
        </w:numPr>
        <w:autoSpaceDE w:val="0"/>
        <w:autoSpaceDN w:val="0"/>
        <w:adjustRightInd w:val="0"/>
        <w:ind w:left="1134" w:hanging="567"/>
        <w:jc w:val="both"/>
        <w:rPr>
          <w:rFonts w:ascii="Bookman Old Style" w:hAnsi="Bookman Old Style" w:cs="Arial"/>
          <w:color w:val="000000" w:themeColor="text1"/>
          <w:highlight w:val="lightGray"/>
          <w:lang w:val="es-CO"/>
        </w:rPr>
      </w:pPr>
      <w:r w:rsidRPr="0013707D">
        <w:rPr>
          <w:rFonts w:ascii="Bookman Old Style" w:hAnsi="Bookman Old Style" w:cs="Arial"/>
          <w:color w:val="000000" w:themeColor="text1"/>
          <w:lang w:val="es-CO"/>
        </w:rPr>
        <w:t xml:space="preserve">Contar con los sistemas de respaldo que el administrador de las subastas considere necesarios para el correcto funcionamiento del sistema. El administrador de las subastas no será responsable por la suspensión o interrupción de los servicios, ni por las deficiencias mecánicas, electrónicas o de </w:t>
      </w:r>
      <w:r w:rsidRPr="0013707D">
        <w:rPr>
          <w:rFonts w:ascii="Bookman Old Style" w:hAnsi="Bookman Old Style" w:cs="Arial"/>
          <w:i/>
          <w:color w:val="000000" w:themeColor="text1"/>
          <w:lang w:val="es-CO"/>
        </w:rPr>
        <w:t>software</w:t>
      </w:r>
      <w:r w:rsidRPr="0013707D">
        <w:rPr>
          <w:rFonts w:ascii="Bookman Old Style" w:hAnsi="Bookman Old Style" w:cs="Arial"/>
          <w:color w:val="000000" w:themeColor="text1"/>
          <w:lang w:val="es-CO"/>
        </w:rPr>
        <w:t xml:space="preserve"> que se observen en la prestación del servicio derivadas de las limitaciones tecnológicas propias del sistema computacional, ni por cualquier otro hecho que escape al control del administrador, como caso fortuito o fuerza mayor.</w:t>
      </w:r>
    </w:p>
    <w:p w14:paraId="10A94E04" w14:textId="77777777" w:rsidR="0006302B" w:rsidRPr="0013707D" w:rsidRDefault="0006302B" w:rsidP="0006302B">
      <w:pPr>
        <w:ind w:left="0"/>
        <w:rPr>
          <w:rFonts w:ascii="Bookman Old Style" w:hAnsi="Bookman Old Style"/>
          <w:color w:val="000000" w:themeColor="text1"/>
          <w:lang w:val="es-CO"/>
        </w:rPr>
      </w:pPr>
    </w:p>
    <w:p w14:paraId="4A22B8CF" w14:textId="77777777" w:rsidR="0006302B" w:rsidRPr="0013707D" w:rsidRDefault="0006302B" w:rsidP="00A4790E">
      <w:pPr>
        <w:pStyle w:val="Prrafodelista"/>
        <w:numPr>
          <w:ilvl w:val="1"/>
          <w:numId w:val="76"/>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lastRenderedPageBreak/>
        <w:t>Mecanismos de contingencia</w:t>
      </w:r>
    </w:p>
    <w:p w14:paraId="3118B05F" w14:textId="77777777" w:rsidR="0006302B" w:rsidRPr="0013707D" w:rsidRDefault="0006302B" w:rsidP="0006302B">
      <w:pPr>
        <w:ind w:left="0"/>
        <w:rPr>
          <w:rFonts w:ascii="Bookman Old Style" w:hAnsi="Bookman Old Style"/>
          <w:color w:val="000000" w:themeColor="text1"/>
          <w:lang w:val="es-CO"/>
        </w:rPr>
      </w:pPr>
    </w:p>
    <w:p w14:paraId="1B32F7D1" w14:textId="77777777" w:rsidR="0006302B" w:rsidRPr="0013707D" w:rsidRDefault="0006302B" w:rsidP="0006302B">
      <w:pPr>
        <w:ind w:left="0"/>
        <w:jc w:val="both"/>
        <w:rPr>
          <w:rFonts w:ascii="Bookman Old Style" w:hAnsi="Bookman Old Style"/>
          <w:color w:val="000000" w:themeColor="text1"/>
          <w:lang w:val="es-CO"/>
        </w:rPr>
      </w:pPr>
      <w:r w:rsidRPr="0013707D">
        <w:rPr>
          <w:rFonts w:ascii="Bookman Old Style" w:hAnsi="Bookman Old Style"/>
          <w:color w:val="000000" w:themeColor="text1"/>
          <w:lang w:val="es-CO"/>
        </w:rPr>
        <w:t>Cuando el sistema de subastas se suspenda por las causas señaladas a continuación, se procederá como se establece para cada una de ellas:</w:t>
      </w:r>
    </w:p>
    <w:p w14:paraId="0D59D576" w14:textId="77777777" w:rsidR="0006302B" w:rsidRPr="0013707D" w:rsidRDefault="0006302B" w:rsidP="0006302B">
      <w:pPr>
        <w:ind w:left="0"/>
        <w:jc w:val="both"/>
        <w:rPr>
          <w:rFonts w:ascii="Bookman Old Style" w:hAnsi="Bookman Old Style"/>
          <w:color w:val="000000" w:themeColor="text1"/>
          <w:lang w:val="es-CO"/>
        </w:rPr>
      </w:pPr>
    </w:p>
    <w:p w14:paraId="4A5EBCC0" w14:textId="77777777" w:rsidR="0006302B" w:rsidRPr="0013707D" w:rsidRDefault="0006302B" w:rsidP="00A4790E">
      <w:pPr>
        <w:numPr>
          <w:ilvl w:val="0"/>
          <w:numId w:val="82"/>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Suspensión por fallas técnicas durante el día en que se realicen las </w:t>
      </w:r>
      <w:r w:rsidRPr="0013707D">
        <w:rPr>
          <w:rFonts w:ascii="Bookman Old Style" w:hAnsi="Bookman Old Style"/>
          <w:color w:val="000000" w:themeColor="text1"/>
          <w:lang w:val="es-CO"/>
        </w:rPr>
        <w:t>subastas</w:t>
      </w:r>
      <w:r w:rsidRPr="0013707D">
        <w:rPr>
          <w:rFonts w:ascii="Bookman Old Style" w:hAnsi="Bookman Old Style" w:cs="Arial"/>
          <w:color w:val="000000" w:themeColor="text1"/>
          <w:lang w:val="es-CO"/>
        </w:rPr>
        <w:t>.</w:t>
      </w:r>
    </w:p>
    <w:p w14:paraId="2F7BE406" w14:textId="77777777" w:rsidR="0006302B" w:rsidRPr="0013707D" w:rsidRDefault="0006302B" w:rsidP="0006302B">
      <w:pPr>
        <w:ind w:left="1134"/>
        <w:jc w:val="both"/>
        <w:rPr>
          <w:rFonts w:ascii="Bookman Old Style" w:hAnsi="Bookman Old Style"/>
          <w:color w:val="000000" w:themeColor="text1"/>
          <w:lang w:val="es-CO"/>
        </w:rPr>
      </w:pPr>
    </w:p>
    <w:p w14:paraId="3EE77E97" w14:textId="77777777" w:rsidR="0006302B" w:rsidRPr="0013707D" w:rsidRDefault="0006302B" w:rsidP="0006302B">
      <w:pPr>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El administrador de las subastas deberá informar a los compradores y a los vendedores los mecanismos necesarios para hacer las asignaciones en los tiempos que se establecen en este Anexo.</w:t>
      </w:r>
    </w:p>
    <w:p w14:paraId="51F03A7A" w14:textId="77777777" w:rsidR="0006302B" w:rsidRPr="0013707D" w:rsidRDefault="0006302B" w:rsidP="0006302B">
      <w:pPr>
        <w:ind w:left="1134"/>
        <w:jc w:val="both"/>
        <w:rPr>
          <w:rFonts w:ascii="Bookman Old Style" w:hAnsi="Bookman Old Style"/>
          <w:color w:val="000000" w:themeColor="text1"/>
          <w:lang w:val="es-CO"/>
        </w:rPr>
      </w:pPr>
    </w:p>
    <w:p w14:paraId="08002913" w14:textId="77777777" w:rsidR="0006302B" w:rsidRPr="0013707D" w:rsidRDefault="0006302B" w:rsidP="00A4790E">
      <w:pPr>
        <w:numPr>
          <w:ilvl w:val="0"/>
          <w:numId w:val="82"/>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Suspensión parcial de la operación del sistema de subastas.</w:t>
      </w:r>
    </w:p>
    <w:p w14:paraId="09346DB6" w14:textId="77777777" w:rsidR="0006302B" w:rsidRPr="0013707D" w:rsidRDefault="0006302B" w:rsidP="0006302B">
      <w:pPr>
        <w:ind w:left="1134"/>
        <w:jc w:val="both"/>
        <w:rPr>
          <w:rFonts w:ascii="Bookman Old Style" w:hAnsi="Bookman Old Style"/>
          <w:color w:val="000000" w:themeColor="text1"/>
          <w:lang w:val="es-CO"/>
        </w:rPr>
      </w:pPr>
    </w:p>
    <w:p w14:paraId="3B618E3F" w14:textId="77777777" w:rsidR="0006302B" w:rsidRPr="0013707D" w:rsidRDefault="0006302B" w:rsidP="0006302B">
      <w:pPr>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Se entenderá como suspensión parcial de la operación del sistema de subastas la falla asociada a las estaciones de trabajo de cualquiera de los declarantes, de los vendedores y de los compradores o de sus sistemas de comunicación.</w:t>
      </w:r>
    </w:p>
    <w:p w14:paraId="289AEA65" w14:textId="77777777" w:rsidR="0006302B" w:rsidRPr="0013707D" w:rsidRDefault="0006302B" w:rsidP="0006302B">
      <w:pPr>
        <w:ind w:left="1134"/>
        <w:jc w:val="both"/>
        <w:rPr>
          <w:rFonts w:ascii="Bookman Old Style" w:hAnsi="Bookman Old Style"/>
          <w:color w:val="000000" w:themeColor="text1"/>
          <w:lang w:val="es-CO"/>
        </w:rPr>
      </w:pPr>
    </w:p>
    <w:p w14:paraId="5A1EE08F" w14:textId="77777777" w:rsidR="0006302B" w:rsidRPr="0013707D" w:rsidRDefault="0006302B" w:rsidP="0006302B">
      <w:pPr>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Cuando se presente la suspensión parcial de la operación del sistema de subastas, los declarantes, los vendedores y los compradores cuyas estaciones de trabajo o sistema de comunicación fallaron deberán remitir, de acuerdo con la vía alterna establecida por el administrador de las subastas, las declaraciones de cantidades no nominadas, precios de reserva y solicitudes de compra, cumpliendo con la reglamentación vigente. Dichas declaraciones serán ingresadas al sistema de subastas conforme a los procedimientos establecidos por el administrador de las subastas.</w:t>
      </w:r>
    </w:p>
    <w:p w14:paraId="6D99ACCE" w14:textId="77777777" w:rsidR="0006302B" w:rsidRPr="0013707D" w:rsidRDefault="0006302B" w:rsidP="0006302B">
      <w:pPr>
        <w:ind w:left="0"/>
        <w:jc w:val="both"/>
        <w:rPr>
          <w:rFonts w:ascii="Bookman Old Style" w:hAnsi="Bookman Old Style"/>
          <w:bCs/>
          <w:color w:val="000000" w:themeColor="text1"/>
          <w:lang w:val="es-CO" w:eastAsia="x-none"/>
        </w:rPr>
      </w:pPr>
    </w:p>
    <w:p w14:paraId="3B875964"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cs="Arial"/>
          <w:color w:val="000000" w:themeColor="text1"/>
          <w:lang w:val="es-CO"/>
        </w:rPr>
        <w:t>El administrador de las subastas deberá informar estos mecanismos de contingencia a más tardar veinte (20) días calendario antes de la realización de las primeras subastas, o a más tardar veinte (20) días calendario antes de la realización de las subastas siguientes a una modificación de dichos mecanismos.</w:t>
      </w:r>
    </w:p>
    <w:p w14:paraId="527D2339" w14:textId="77777777" w:rsidR="0006302B" w:rsidRPr="0013707D" w:rsidRDefault="0006302B" w:rsidP="0006302B">
      <w:pPr>
        <w:ind w:left="0"/>
        <w:jc w:val="both"/>
        <w:rPr>
          <w:rFonts w:ascii="Bookman Old Style" w:hAnsi="Bookman Old Style"/>
          <w:bCs/>
          <w:color w:val="000000" w:themeColor="text1"/>
          <w:lang w:val="es-CO" w:eastAsia="x-none"/>
        </w:rPr>
      </w:pPr>
    </w:p>
    <w:p w14:paraId="25BD3001" w14:textId="77777777" w:rsidR="0006302B" w:rsidRPr="0013707D" w:rsidRDefault="0006302B" w:rsidP="00A4790E">
      <w:pPr>
        <w:numPr>
          <w:ilvl w:val="0"/>
          <w:numId w:val="74"/>
        </w:numPr>
        <w:ind w:left="567" w:hanging="567"/>
        <w:jc w:val="both"/>
        <w:rPr>
          <w:rFonts w:ascii="Bookman Old Style" w:hAnsi="Bookman Old Style"/>
          <w:b/>
          <w:bCs/>
          <w:color w:val="000000" w:themeColor="text1"/>
          <w:lang w:val="es-CO" w:eastAsia="x-none"/>
        </w:rPr>
      </w:pPr>
      <w:bookmarkStart w:id="146" w:name="_Ref328730427"/>
      <w:bookmarkStart w:id="147" w:name="_Ref336932202"/>
      <w:r w:rsidRPr="0013707D">
        <w:rPr>
          <w:rFonts w:ascii="Bookman Old Style" w:hAnsi="Bookman Old Style"/>
          <w:b/>
          <w:bCs/>
          <w:color w:val="000000" w:themeColor="text1"/>
          <w:lang w:val="es-CO" w:eastAsia="x-none"/>
        </w:rPr>
        <w:t>Procedimiento de las subasta</w:t>
      </w:r>
      <w:bookmarkEnd w:id="146"/>
      <w:r w:rsidRPr="0013707D">
        <w:rPr>
          <w:rFonts w:ascii="Bookman Old Style" w:hAnsi="Bookman Old Style"/>
          <w:b/>
          <w:bCs/>
          <w:color w:val="000000" w:themeColor="text1"/>
          <w:lang w:val="es-CO" w:eastAsia="x-none"/>
        </w:rPr>
        <w:t>s de gas natural</w:t>
      </w:r>
      <w:bookmarkEnd w:id="147"/>
    </w:p>
    <w:p w14:paraId="65E75839" w14:textId="77777777" w:rsidR="0006302B" w:rsidRPr="0013707D" w:rsidRDefault="0006302B" w:rsidP="0006302B">
      <w:pPr>
        <w:ind w:left="0"/>
        <w:jc w:val="both"/>
        <w:rPr>
          <w:rFonts w:ascii="Bookman Old Style" w:hAnsi="Bookman Old Style"/>
          <w:bCs/>
          <w:color w:val="000000" w:themeColor="text1"/>
          <w:lang w:val="es-CO" w:eastAsia="x-none"/>
        </w:rPr>
      </w:pPr>
    </w:p>
    <w:p w14:paraId="773075F2" w14:textId="77777777" w:rsidR="0006302B" w:rsidRPr="0013707D" w:rsidRDefault="0006302B" w:rsidP="00A4790E">
      <w:pPr>
        <w:pStyle w:val="Prrafodelista"/>
        <w:numPr>
          <w:ilvl w:val="1"/>
          <w:numId w:val="83"/>
        </w:numPr>
        <w:rPr>
          <w:rFonts w:ascii="Bookman Old Style" w:hAnsi="Bookman Old Style"/>
          <w:color w:val="000000" w:themeColor="text1"/>
          <w:sz w:val="24"/>
          <w:szCs w:val="24"/>
        </w:rPr>
      </w:pPr>
      <w:r w:rsidRPr="0013707D">
        <w:rPr>
          <w:rFonts w:ascii="Bookman Old Style" w:hAnsi="Bookman Old Style"/>
          <w:color w:val="000000" w:themeColor="text1"/>
          <w:sz w:val="24"/>
          <w:szCs w:val="24"/>
        </w:rPr>
        <w:t>Tipo de subasta</w:t>
      </w:r>
    </w:p>
    <w:p w14:paraId="1929ACB1" w14:textId="77777777" w:rsidR="0006302B" w:rsidRPr="0013707D" w:rsidRDefault="0006302B" w:rsidP="0006302B">
      <w:pPr>
        <w:ind w:left="0"/>
        <w:rPr>
          <w:rFonts w:ascii="Bookman Old Style" w:hAnsi="Bookman Old Style"/>
          <w:color w:val="000000" w:themeColor="text1"/>
          <w:lang w:val="es-CO"/>
        </w:rPr>
      </w:pPr>
    </w:p>
    <w:p w14:paraId="6ED2CBCE" w14:textId="77777777" w:rsidR="0006302B" w:rsidRPr="0013707D" w:rsidRDefault="0006302B" w:rsidP="0006302B">
      <w:pPr>
        <w:ind w:left="0"/>
        <w:rPr>
          <w:rFonts w:ascii="Bookman Old Style" w:hAnsi="Bookman Old Style"/>
          <w:color w:val="000000" w:themeColor="text1"/>
          <w:lang w:val="es-CO"/>
        </w:rPr>
      </w:pPr>
      <w:r w:rsidRPr="0013707D">
        <w:rPr>
          <w:rFonts w:ascii="Bookman Old Style" w:hAnsi="Bookman Old Style"/>
          <w:color w:val="000000" w:themeColor="text1"/>
          <w:lang w:val="es-CO"/>
        </w:rPr>
        <w:t>Subasta de sobre cerrado.</w:t>
      </w:r>
    </w:p>
    <w:p w14:paraId="27E17EF2" w14:textId="77777777" w:rsidR="0006302B" w:rsidRPr="0013707D" w:rsidRDefault="0006302B" w:rsidP="0006302B">
      <w:pPr>
        <w:ind w:left="0"/>
        <w:rPr>
          <w:rFonts w:ascii="Bookman Old Style" w:hAnsi="Bookman Old Style"/>
          <w:color w:val="000000" w:themeColor="text1"/>
          <w:lang w:val="es-CO"/>
        </w:rPr>
      </w:pPr>
    </w:p>
    <w:p w14:paraId="10CFCCFA" w14:textId="77777777" w:rsidR="0006302B" w:rsidRPr="0013707D" w:rsidRDefault="0006302B" w:rsidP="00A4790E">
      <w:pPr>
        <w:pStyle w:val="Prrafodelista"/>
        <w:numPr>
          <w:ilvl w:val="1"/>
          <w:numId w:val="83"/>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Producto</w:t>
      </w:r>
      <w:r>
        <w:rPr>
          <w:rFonts w:ascii="Bookman Old Style" w:hAnsi="Bookman Old Style"/>
          <w:color w:val="000000" w:themeColor="text1"/>
          <w:sz w:val="24"/>
          <w:szCs w:val="24"/>
        </w:rPr>
        <w:t xml:space="preserve"> </w:t>
      </w:r>
    </w:p>
    <w:p w14:paraId="0EF75C1A" w14:textId="77777777" w:rsidR="0006302B" w:rsidRPr="0013707D" w:rsidRDefault="0006302B" w:rsidP="0006302B">
      <w:pPr>
        <w:ind w:left="0"/>
        <w:rPr>
          <w:rFonts w:ascii="Bookman Old Style" w:hAnsi="Bookman Old Style"/>
          <w:color w:val="000000" w:themeColor="text1"/>
          <w:lang w:val="es-CO"/>
        </w:rPr>
      </w:pPr>
    </w:p>
    <w:p w14:paraId="42951DA6"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t xml:space="preserve">Energía disponible,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E</m:t>
            </m:r>
          </m:e>
          <m:sub>
            <m:r>
              <m:rPr>
                <m:sty m:val="bi"/>
              </m:rPr>
              <w:rPr>
                <w:rFonts w:ascii="Cambria Math" w:hAnsi="Cambria Math"/>
                <w:color w:val="000000" w:themeColor="text1"/>
                <w:lang w:val="es-CO"/>
              </w:rPr>
              <m:t>e</m:t>
            </m:r>
          </m:sub>
        </m:sSub>
      </m:oMath>
      <w:r w:rsidRPr="0013707D">
        <w:rPr>
          <w:rFonts w:ascii="Bookman Old Style" w:hAnsi="Bookman Old Style"/>
          <w:b w:val="0"/>
          <w:color w:val="000000" w:themeColor="text1"/>
          <w:lang w:val="es-CO"/>
        </w:rPr>
        <w:t>, que se negociará mediante cada una de las subastas y que tendrá los siguientes atributos:</w:t>
      </w:r>
    </w:p>
    <w:p w14:paraId="6D9F38BA" w14:textId="77777777" w:rsidR="0006302B" w:rsidRPr="0013707D" w:rsidRDefault="0006302B" w:rsidP="0006302B">
      <w:pPr>
        <w:pStyle w:val="Textoindependiente"/>
        <w:ind w:left="0"/>
        <w:jc w:val="left"/>
        <w:rPr>
          <w:rFonts w:ascii="Bookman Old Style" w:hAnsi="Bookman Old Style"/>
          <w:b w:val="0"/>
          <w:color w:val="000000" w:themeColor="text1"/>
          <w:lang w:val="es-CO"/>
        </w:rPr>
      </w:pPr>
    </w:p>
    <w:p w14:paraId="10502618" w14:textId="77777777" w:rsidR="0006302B" w:rsidRPr="0013707D" w:rsidRDefault="0006302B" w:rsidP="00A4790E">
      <w:pPr>
        <w:numPr>
          <w:ilvl w:val="0"/>
          <w:numId w:val="4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Modalidad contractual: contrato firme.</w:t>
      </w:r>
    </w:p>
    <w:p w14:paraId="6DD21732" w14:textId="77777777" w:rsidR="0006302B" w:rsidRPr="0013707D" w:rsidRDefault="0006302B" w:rsidP="0006302B">
      <w:pPr>
        <w:pStyle w:val="Prrafodelista"/>
        <w:rPr>
          <w:rFonts w:ascii="Bookman Old Style" w:hAnsi="Bookman Old Style" w:cs="Arial"/>
          <w:color w:val="000000" w:themeColor="text1"/>
          <w:sz w:val="24"/>
          <w:szCs w:val="24"/>
        </w:rPr>
      </w:pPr>
    </w:p>
    <w:p w14:paraId="2FD0C703" w14:textId="511783CE" w:rsidR="0006302B" w:rsidRPr="0013707D" w:rsidRDefault="0006302B" w:rsidP="00A4790E">
      <w:pPr>
        <w:numPr>
          <w:ilvl w:val="0"/>
          <w:numId w:val="48"/>
        </w:numPr>
        <w:autoSpaceDE w:val="0"/>
        <w:autoSpaceDN w:val="0"/>
        <w:adjustRightInd w:val="0"/>
        <w:ind w:left="1134" w:hanging="567"/>
        <w:jc w:val="both"/>
        <w:rPr>
          <w:rFonts w:ascii="Bookman Old Style" w:hAnsi="Bookman Old Style" w:cs="Arial"/>
          <w:color w:val="000000" w:themeColor="text1"/>
          <w:lang w:val="es-CO"/>
        </w:rPr>
      </w:pPr>
      <m:oMath>
        <m:r>
          <w:rPr>
            <w:rFonts w:ascii="Cambria Math" w:hAnsi="Cambria Math" w:cs="Arial"/>
            <w:color w:val="000000" w:themeColor="text1"/>
            <w:lang w:val="es-CO"/>
          </w:rPr>
          <m:t>e</m:t>
        </m:r>
      </m:oMath>
      <w:r w:rsidRPr="0013707D">
        <w:rPr>
          <w:rFonts w:ascii="Bookman Old Style" w:hAnsi="Bookman Old Style" w:cs="Arial"/>
          <w:color w:val="000000" w:themeColor="text1"/>
          <w:lang w:val="es-CO"/>
        </w:rPr>
        <w:t>: se deberá especificar el punto en el que se entregará el gas natural. Deberá ser un campo, punto de entrada al SNT o punto del SNT que corresponda al sitio de inicio o terminación de alguno de los tramos de gasoductos definidos para efectos tarifarios.</w:t>
      </w:r>
    </w:p>
    <w:p w14:paraId="776F7CA7"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0B0E0636" w14:textId="77777777" w:rsidR="0006302B" w:rsidRPr="0013707D" w:rsidRDefault="0006302B" w:rsidP="00A4790E">
      <w:pPr>
        <w:numPr>
          <w:ilvl w:val="0"/>
          <w:numId w:val="48"/>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Duración: un (1) día.</w:t>
      </w:r>
    </w:p>
    <w:p w14:paraId="3410FCB1" w14:textId="77777777" w:rsidR="0006302B" w:rsidRPr="0013707D" w:rsidRDefault="0006302B" w:rsidP="0006302B">
      <w:pPr>
        <w:ind w:left="0"/>
        <w:rPr>
          <w:rFonts w:ascii="Bookman Old Style" w:hAnsi="Bookman Old Style" w:cs="Arial"/>
          <w:color w:val="000000" w:themeColor="text1"/>
          <w:lang w:val="es-CO"/>
        </w:rPr>
      </w:pPr>
    </w:p>
    <w:p w14:paraId="0ABAD930" w14:textId="77777777" w:rsidR="0006302B" w:rsidRPr="0013707D" w:rsidRDefault="0006302B" w:rsidP="00A4790E">
      <w:pPr>
        <w:pStyle w:val="Prrafodelista"/>
        <w:keepNext/>
        <w:numPr>
          <w:ilvl w:val="1"/>
          <w:numId w:val="83"/>
        </w:numPr>
        <w:ind w:left="567" w:hanging="567"/>
        <w:rPr>
          <w:rFonts w:ascii="Bookman Old Style" w:hAnsi="Bookman Old Style"/>
          <w:color w:val="000000" w:themeColor="text1"/>
          <w:sz w:val="24"/>
          <w:szCs w:val="24"/>
        </w:rPr>
      </w:pPr>
      <w:r w:rsidRPr="0013707D">
        <w:rPr>
          <w:rFonts w:ascii="Bookman Old Style" w:hAnsi="Bookman Old Style"/>
          <w:color w:val="000000" w:themeColor="text1"/>
          <w:sz w:val="24"/>
          <w:szCs w:val="24"/>
        </w:rPr>
        <w:t>Tamaño del producto</w:t>
      </w:r>
    </w:p>
    <w:p w14:paraId="3D2AB378" w14:textId="77777777" w:rsidR="0006302B" w:rsidRPr="0013707D" w:rsidRDefault="0006302B" w:rsidP="0006302B">
      <w:pPr>
        <w:keepNext/>
        <w:ind w:left="0"/>
        <w:rPr>
          <w:rFonts w:ascii="Bookman Old Style" w:hAnsi="Bookman Old Style"/>
          <w:color w:val="000000" w:themeColor="text1"/>
          <w:lang w:val="es-CO"/>
        </w:rPr>
      </w:pPr>
    </w:p>
    <w:p w14:paraId="2A33E2CE" w14:textId="77777777" w:rsidR="0006302B" w:rsidRPr="0013707D" w:rsidRDefault="0006302B" w:rsidP="0006302B">
      <w:pPr>
        <w:ind w:left="0"/>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La cantidad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13707D">
        <w:rPr>
          <w:rFonts w:ascii="Bookman Old Style" w:hAnsi="Bookman Old Style" w:cs="Arial"/>
          <w:color w:val="000000" w:themeColor="text1"/>
          <w:lang w:val="es-CO"/>
        </w:rPr>
        <w:t xml:space="preserve"> que se ofrece en las subastas y la requerida por cada comprador corresponderá a un múltiplo entero de un (1) MBTUD.</w:t>
      </w:r>
    </w:p>
    <w:p w14:paraId="2390B501" w14:textId="77777777" w:rsidR="0006302B" w:rsidRPr="0013707D" w:rsidRDefault="0006302B" w:rsidP="0006302B">
      <w:pPr>
        <w:ind w:left="0"/>
        <w:rPr>
          <w:rFonts w:ascii="Bookman Old Style" w:hAnsi="Bookman Old Style"/>
          <w:color w:val="000000" w:themeColor="text1"/>
          <w:lang w:val="es-CO"/>
        </w:rPr>
      </w:pPr>
    </w:p>
    <w:p w14:paraId="017CBBBD" w14:textId="77777777" w:rsidR="0006302B" w:rsidRPr="0013707D" w:rsidRDefault="0006302B" w:rsidP="00A4790E">
      <w:pPr>
        <w:pStyle w:val="Prrafodelista"/>
        <w:keepNext/>
        <w:numPr>
          <w:ilvl w:val="1"/>
          <w:numId w:val="83"/>
        </w:numPr>
        <w:ind w:left="567" w:hanging="567"/>
        <w:rPr>
          <w:rFonts w:ascii="Bookman Old Style" w:hAnsi="Bookman Old Style"/>
          <w:color w:val="000000" w:themeColor="text1"/>
          <w:sz w:val="24"/>
          <w:szCs w:val="24"/>
        </w:rPr>
      </w:pPr>
      <w:bookmarkStart w:id="148" w:name="_Ref336940374"/>
      <w:bookmarkStart w:id="149" w:name="_Ref359830889"/>
      <w:r w:rsidRPr="0013707D">
        <w:rPr>
          <w:rFonts w:ascii="Bookman Old Style" w:hAnsi="Bookman Old Style"/>
          <w:color w:val="000000" w:themeColor="text1"/>
          <w:sz w:val="24"/>
          <w:szCs w:val="24"/>
        </w:rPr>
        <w:t>Cantidad disponible</w:t>
      </w:r>
      <w:bookmarkEnd w:id="148"/>
      <w:r w:rsidRPr="0013707D">
        <w:rPr>
          <w:rFonts w:ascii="Bookman Old Style" w:hAnsi="Bookman Old Style"/>
          <w:color w:val="000000" w:themeColor="text1"/>
          <w:sz w:val="24"/>
          <w:szCs w:val="24"/>
        </w:rPr>
        <w:t xml:space="preserve"> y precios de reserva</w:t>
      </w:r>
      <w:bookmarkEnd w:id="149"/>
    </w:p>
    <w:p w14:paraId="293AE301" w14:textId="77777777" w:rsidR="0006302B" w:rsidRPr="0013707D" w:rsidRDefault="0006302B" w:rsidP="0006302B">
      <w:pPr>
        <w:keepNext/>
        <w:ind w:left="0"/>
        <w:rPr>
          <w:rFonts w:ascii="Bookman Old Style" w:hAnsi="Bookman Old Style"/>
          <w:color w:val="000000" w:themeColor="text1"/>
          <w:lang w:val="es-CO"/>
        </w:rPr>
      </w:pPr>
    </w:p>
    <w:p w14:paraId="532370AF" w14:textId="77777777" w:rsidR="0006302B" w:rsidRPr="0013707D" w:rsidRDefault="0006302B" w:rsidP="0006302B">
      <w:pPr>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A más tardar a las 15:55 horas del Día D-1 los declarantes de información sobre suministro de gas natural le declararán al administrador de las subastas </w:t>
      </w:r>
      <w:r w:rsidRPr="0013707D">
        <w:rPr>
          <w:rFonts w:ascii="Bookman Old Style" w:hAnsi="Bookman Old Style" w:cs="Arial"/>
          <w:color w:val="000000" w:themeColor="text1"/>
          <w:lang w:val="es-CO"/>
        </w:rPr>
        <w:t>la información señalada en la Tabla 1.</w:t>
      </w:r>
    </w:p>
    <w:p w14:paraId="11A6CE52"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4745C866" w14:textId="38ED6831" w:rsidR="0006302B" w:rsidRPr="0013707D" w:rsidRDefault="0006302B" w:rsidP="0006302B">
      <w:pPr>
        <w:pStyle w:val="Descripcin"/>
        <w:keepNext/>
        <w:spacing w:after="0"/>
        <w:rPr>
          <w:rFonts w:ascii="Bookman Old Style" w:hAnsi="Bookman Old Style"/>
          <w:color w:val="000000" w:themeColor="text1"/>
          <w:lang w:val="es-CO"/>
        </w:rPr>
      </w:pPr>
      <w:bookmarkStart w:id="150" w:name="_Ref361733635"/>
      <w:bookmarkStart w:id="151" w:name="_Ref337832370"/>
      <w:bookmarkStart w:id="152" w:name="_Ref337832365"/>
      <w:r w:rsidRPr="0013707D">
        <w:rPr>
          <w:rFonts w:ascii="Bookman Old Style" w:hAnsi="Bookman Old Style"/>
          <w:b/>
          <w:color w:val="000000" w:themeColor="text1"/>
          <w:sz w:val="24"/>
          <w:szCs w:val="24"/>
          <w:lang w:val="es-CO"/>
        </w:rPr>
        <w:t xml:space="preserve">Tabla </w:t>
      </w:r>
      <w:r w:rsidRPr="0013707D">
        <w:rPr>
          <w:rFonts w:ascii="Bookman Old Style" w:hAnsi="Bookman Old Style"/>
          <w:b/>
          <w:i/>
          <w:color w:val="000000" w:themeColor="text1"/>
          <w:sz w:val="24"/>
          <w:szCs w:val="24"/>
          <w:lang w:val="es-CO"/>
        </w:rPr>
        <w:fldChar w:fldCharType="begin"/>
      </w:r>
      <w:r w:rsidRPr="0013707D">
        <w:rPr>
          <w:rFonts w:ascii="Bookman Old Style" w:hAnsi="Bookman Old Style"/>
          <w:b/>
          <w:color w:val="000000" w:themeColor="text1"/>
          <w:sz w:val="24"/>
          <w:szCs w:val="24"/>
          <w:lang w:val="es-CO"/>
        </w:rPr>
        <w:instrText xml:space="preserve"> SEQ Tabla \* ARABIC \r1 </w:instrText>
      </w:r>
      <w:r w:rsidRPr="0013707D">
        <w:rPr>
          <w:rFonts w:ascii="Bookman Old Style" w:hAnsi="Bookman Old Style"/>
          <w:b/>
          <w:i/>
          <w:color w:val="000000" w:themeColor="text1"/>
          <w:sz w:val="24"/>
          <w:szCs w:val="24"/>
          <w:lang w:val="es-CO"/>
        </w:rPr>
        <w:fldChar w:fldCharType="separate"/>
      </w:r>
      <w:r w:rsidR="00636B6A">
        <w:rPr>
          <w:rFonts w:ascii="Bookman Old Style" w:hAnsi="Bookman Old Style"/>
          <w:b/>
          <w:noProof/>
          <w:color w:val="000000" w:themeColor="text1"/>
          <w:sz w:val="24"/>
          <w:szCs w:val="24"/>
          <w:lang w:val="es-CO"/>
        </w:rPr>
        <w:t>1</w:t>
      </w:r>
      <w:r w:rsidRPr="0013707D">
        <w:rPr>
          <w:rFonts w:ascii="Bookman Old Style" w:hAnsi="Bookman Old Style"/>
          <w:b/>
          <w:i/>
          <w:color w:val="000000" w:themeColor="text1"/>
          <w:sz w:val="24"/>
          <w:szCs w:val="24"/>
          <w:lang w:val="es-CO"/>
        </w:rPr>
        <w:fldChar w:fldCharType="end"/>
      </w:r>
      <w:bookmarkEnd w:id="150"/>
      <w:bookmarkEnd w:id="151"/>
      <w:r w:rsidRPr="0013707D">
        <w:rPr>
          <w:rFonts w:ascii="Bookman Old Style" w:hAnsi="Bookman Old Style"/>
          <w:b/>
          <w:color w:val="000000" w:themeColor="text1"/>
          <w:sz w:val="24"/>
          <w:szCs w:val="24"/>
          <w:lang w:val="es-CO"/>
        </w:rPr>
        <w:t>. Declaración de cantidades no nominadas</w:t>
      </w:r>
      <w:bookmarkEnd w:id="152"/>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376"/>
        <w:gridCol w:w="2377"/>
        <w:gridCol w:w="2377"/>
      </w:tblGrid>
      <w:tr w:rsidR="0006302B" w:rsidRPr="0013707D" w14:paraId="11BC28B6" w14:textId="77777777" w:rsidTr="00341DAD">
        <w:tc>
          <w:tcPr>
            <w:tcW w:w="2376" w:type="dxa"/>
            <w:vAlign w:val="center"/>
          </w:tcPr>
          <w:p w14:paraId="5B25DC20" w14:textId="453BB844" w:rsidR="0006302B" w:rsidRPr="0013707D" w:rsidRDefault="00920585" w:rsidP="00920585">
            <w:pPr>
              <w:ind w:left="0"/>
              <w:jc w:val="center"/>
              <w:rPr>
                <w:rFonts w:ascii="Bookman Old Style" w:hAnsi="Bookman Old Style" w:cs="Arial"/>
                <w:b/>
                <w:bCs/>
                <w:color w:val="000000" w:themeColor="text1"/>
                <w:lang w:val="es-CO" w:eastAsia="x-none"/>
              </w:rPr>
            </w:pPr>
            <w:r>
              <w:rPr>
                <w:rFonts w:ascii="Bookman Old Style" w:hAnsi="Bookman Old Style" w:cs="Arial"/>
                <w:b/>
                <w:bCs/>
                <w:color w:val="000000" w:themeColor="text1"/>
                <w:lang w:val="es-CO" w:eastAsia="x-none"/>
              </w:rPr>
              <w:t>Punto de entrega</w:t>
            </w:r>
          </w:p>
        </w:tc>
        <w:tc>
          <w:tcPr>
            <w:tcW w:w="2377" w:type="dxa"/>
            <w:vAlign w:val="center"/>
          </w:tcPr>
          <w:p w14:paraId="567AA71E" w14:textId="77777777" w:rsidR="0006302B" w:rsidRPr="0013707D" w:rsidRDefault="0006302B" w:rsidP="00341DAD">
            <w:pPr>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Titular</w:t>
            </w:r>
          </w:p>
        </w:tc>
        <w:tc>
          <w:tcPr>
            <w:tcW w:w="2377" w:type="dxa"/>
            <w:vAlign w:val="center"/>
          </w:tcPr>
          <w:p w14:paraId="3A6A0E87" w14:textId="77777777" w:rsidR="0006302B" w:rsidRPr="0013707D" w:rsidRDefault="0006302B" w:rsidP="00341DAD">
            <w:pPr>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Cantidad no nominada</w:t>
            </w:r>
          </w:p>
        </w:tc>
      </w:tr>
      <w:tr w:rsidR="0006302B" w:rsidRPr="0013707D" w14:paraId="0D3BD982" w14:textId="77777777" w:rsidTr="00341DAD">
        <w:tc>
          <w:tcPr>
            <w:tcW w:w="2376" w:type="dxa"/>
            <w:vAlign w:val="center"/>
          </w:tcPr>
          <w:p w14:paraId="7A729585" w14:textId="77777777" w:rsidR="0006302B" w:rsidRPr="0013707D" w:rsidRDefault="0006302B" w:rsidP="00341DAD">
            <w:pPr>
              <w:pStyle w:val="Textoindependiente"/>
              <w:ind w:left="0"/>
              <w:rPr>
                <w:rFonts w:ascii="Bookman Old Style" w:hAnsi="Bookman Old Style"/>
                <w:b w:val="0"/>
                <w:color w:val="000000" w:themeColor="text1"/>
                <w:lang w:val="es-CO"/>
              </w:rPr>
            </w:pPr>
            <m:oMathPara>
              <m:oMath>
                <m:r>
                  <m:rPr>
                    <m:sty m:val="bi"/>
                  </m:rPr>
                  <w:rPr>
                    <w:rFonts w:ascii="Cambria Math" w:hAnsi="Cambria Math"/>
                    <w:color w:val="000000" w:themeColor="text1"/>
                    <w:lang w:val="es-CO"/>
                  </w:rPr>
                  <m:t>e</m:t>
                </m:r>
              </m:oMath>
            </m:oMathPara>
          </w:p>
        </w:tc>
        <w:tc>
          <w:tcPr>
            <w:tcW w:w="2377" w:type="dxa"/>
            <w:vAlign w:val="center"/>
          </w:tcPr>
          <w:p w14:paraId="18DF137E" w14:textId="77777777" w:rsidR="0006302B" w:rsidRPr="0013707D" w:rsidRDefault="0006302B" w:rsidP="00341DAD">
            <w:pPr>
              <w:ind w:left="0"/>
              <w:jc w:val="center"/>
              <w:rPr>
                <w:rFonts w:ascii="Bookman Old Style" w:hAnsi="Bookman Old Style"/>
                <w:bCs/>
                <w:color w:val="000000" w:themeColor="text1"/>
                <w:lang w:val="es-CO" w:eastAsia="x-none"/>
              </w:rPr>
            </w:pPr>
            <m:oMathPara>
              <m:oMath>
                <m:r>
                  <w:rPr>
                    <w:rFonts w:ascii="Cambria Math" w:hAnsi="Cambria Math" w:cs="Arial"/>
                    <w:color w:val="000000" w:themeColor="text1"/>
                    <w:lang w:val="es-CO"/>
                  </w:rPr>
                  <m:t>s</m:t>
                </m:r>
              </m:oMath>
            </m:oMathPara>
          </w:p>
        </w:tc>
        <w:tc>
          <w:tcPr>
            <w:tcW w:w="2377" w:type="dxa"/>
            <w:vAlign w:val="center"/>
          </w:tcPr>
          <w:p w14:paraId="40FB8C22" w14:textId="77777777" w:rsidR="0006302B" w:rsidRPr="0013707D" w:rsidRDefault="00FB7B28" w:rsidP="00341DAD">
            <w:pPr>
              <w:ind w:left="0"/>
              <w:jc w:val="center"/>
              <w:rPr>
                <w:rFonts w:ascii="Bookman Old Style" w:hAnsi="Bookman Old Style" w:cs="Arial"/>
                <w:color w:val="000000" w:themeColor="text1"/>
                <w:lang w:val="es-CO"/>
              </w:rPr>
            </w:pPr>
            <m:oMathPara>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m:oMathPara>
          </w:p>
        </w:tc>
      </w:tr>
    </w:tbl>
    <w:p w14:paraId="4C140BF2"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381B13D6" w14:textId="77777777" w:rsidR="0006302B" w:rsidRPr="0013707D" w:rsidRDefault="0006302B" w:rsidP="0006302B">
      <w:pPr>
        <w:rPr>
          <w:rFonts w:ascii="Bookman Old Style" w:hAnsi="Bookman Old Style"/>
          <w:lang w:val="es-CO"/>
        </w:rPr>
      </w:pPr>
    </w:p>
    <w:p w14:paraId="01D4D92E" w14:textId="77777777" w:rsidR="0006302B" w:rsidRPr="0013707D" w:rsidRDefault="0006302B" w:rsidP="0006302B">
      <w:pPr>
        <w:rPr>
          <w:rFonts w:ascii="Bookman Old Style" w:hAnsi="Bookman Old Style"/>
          <w:lang w:val="es-CO"/>
        </w:rPr>
      </w:pPr>
    </w:p>
    <w:p w14:paraId="5D9C646B" w14:textId="77777777" w:rsidR="0006302B" w:rsidRPr="0013707D" w:rsidRDefault="0006302B" w:rsidP="0006302B">
      <w:pPr>
        <w:rPr>
          <w:rFonts w:ascii="Bookman Old Style" w:hAnsi="Bookman Old Style"/>
          <w:lang w:val="es-CO"/>
        </w:rPr>
      </w:pPr>
    </w:p>
    <w:p w14:paraId="53C54B3E" w14:textId="77777777" w:rsidR="0006302B" w:rsidRPr="0013707D" w:rsidRDefault="0006302B" w:rsidP="0006302B">
      <w:pPr>
        <w:ind w:left="0"/>
        <w:rPr>
          <w:rFonts w:ascii="Bookman Old Style" w:hAnsi="Bookman Old Style"/>
          <w:lang w:val="es-CO"/>
        </w:rPr>
      </w:pPr>
      <w:r w:rsidRPr="0013707D">
        <w:rPr>
          <w:rFonts w:ascii="Bookman Old Style" w:hAnsi="Bookman Old Style"/>
          <w:lang w:val="es-CO"/>
        </w:rPr>
        <w:t>Donde:</w:t>
      </w:r>
    </w:p>
    <w:p w14:paraId="52E4695B" w14:textId="77777777" w:rsidR="0006302B" w:rsidRPr="0013707D" w:rsidRDefault="0006302B" w:rsidP="0006302B">
      <w:pPr>
        <w:jc w:val="both"/>
        <w:rPr>
          <w:rFonts w:ascii="Bookman Old Style" w:hAnsi="Bookman Old Style"/>
          <w:lang w:val="es-CO"/>
        </w:rPr>
      </w:pPr>
    </w:p>
    <w:p w14:paraId="1FAAAE1D" w14:textId="77777777" w:rsidR="0006302B" w:rsidRPr="0013707D" w:rsidRDefault="0006302B" w:rsidP="0006302B">
      <w:pPr>
        <w:ind w:left="1134" w:hanging="1134"/>
        <w:jc w:val="both"/>
        <w:rPr>
          <w:rFonts w:ascii="Bookman Old Style" w:hAnsi="Bookman Old Style"/>
          <w:i/>
          <w:lang w:val="es-CO"/>
        </w:rPr>
      </w:pPr>
      <m:oMath>
        <m:r>
          <w:rPr>
            <w:rFonts w:ascii="Cambria Math" w:hAnsi="Cambria Math"/>
            <w:lang w:val="es-CO"/>
          </w:rPr>
          <m:t>s</m:t>
        </m:r>
      </m:oMath>
      <w:r w:rsidRPr="0013707D">
        <w:rPr>
          <w:rFonts w:ascii="Bookman Old Style" w:hAnsi="Bookman Old Style"/>
          <w:lang w:val="es-CO"/>
        </w:rPr>
        <w:t>:</w:t>
      </w:r>
      <w:r w:rsidRPr="0013707D">
        <w:rPr>
          <w:rFonts w:ascii="Bookman Old Style" w:hAnsi="Bookman Old Style"/>
          <w:lang w:val="es-CO"/>
        </w:rPr>
        <w:tab/>
        <w:t xml:space="preserve">Titular de los derechos de suministro del gas no nominado para entrega en </w:t>
      </w:r>
      <m:oMath>
        <m:r>
          <w:rPr>
            <w:rFonts w:ascii="Cambria Math" w:hAnsi="Cambria Math"/>
            <w:lang w:val="es-CO"/>
          </w:rPr>
          <m:t>e</m:t>
        </m:r>
      </m:oMath>
      <w:r w:rsidRPr="0013707D">
        <w:rPr>
          <w:rFonts w:ascii="Bookman Old Style" w:hAnsi="Bookman Old Style"/>
          <w:lang w:val="es-CO"/>
        </w:rPr>
        <w:t xml:space="preserve">. Puede ser un generador térmico titular de derechos de suministro de gas. El titular </w:t>
      </w:r>
      <m:oMath>
        <m:r>
          <w:rPr>
            <w:rFonts w:ascii="Cambria Math" w:hAnsi="Cambria Math"/>
            <w:lang w:val="es-CO"/>
          </w:rPr>
          <m:t>s</m:t>
        </m:r>
      </m:oMath>
      <w:r w:rsidRPr="0013707D">
        <w:rPr>
          <w:rFonts w:ascii="Bookman Old Style" w:hAnsi="Bookman Old Style"/>
          <w:lang w:val="es-CO"/>
        </w:rPr>
        <w:t xml:space="preserve"> actuará como un vendedor durante el desarrollo del procedimiento establecido en los numerales 5.7 y 5.8 de este Anexo.</w:t>
      </w:r>
    </w:p>
    <w:p w14:paraId="71E65125" w14:textId="77777777" w:rsidR="0006302B" w:rsidRPr="0013707D" w:rsidRDefault="0006302B" w:rsidP="0006302B">
      <w:pPr>
        <w:rPr>
          <w:rFonts w:ascii="Bookman Old Style" w:hAnsi="Bookman Old Style"/>
          <w:lang w:val="es-CO"/>
        </w:rPr>
      </w:pPr>
    </w:p>
    <w:p w14:paraId="2BC3E4A4" w14:textId="77777777" w:rsidR="0006302B" w:rsidRPr="0013707D" w:rsidRDefault="00FB7B28" w:rsidP="0006302B">
      <w:pPr>
        <w:ind w:left="1134" w:hanging="1134"/>
        <w:jc w:val="both"/>
        <w:rPr>
          <w:rFonts w:ascii="Bookman Old Style" w:hAnsi="Bookman Old Style" w:cs="Arial"/>
          <w:color w:val="000000" w:themeColor="text1"/>
          <w:lang w:val="es-CO"/>
        </w:rPr>
      </w:pP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no nominada para el siguiente día de gas con entrega en </w:t>
      </w:r>
      <m:oMath>
        <m:r>
          <w:rPr>
            <w:rFonts w:ascii="Cambria Math" w:hAnsi="Cambria Math" w:cs="Arial"/>
            <w:color w:val="000000" w:themeColor="text1"/>
            <w:lang w:val="es-CO"/>
          </w:rPr>
          <m:t>e</m:t>
        </m:r>
      </m:oMath>
      <w:r w:rsidR="0006302B" w:rsidRPr="0013707D">
        <w:rPr>
          <w:rFonts w:ascii="Bookman Old Style" w:hAnsi="Bookman Old Style" w:cs="Arial"/>
          <w:color w:val="000000" w:themeColor="text1"/>
          <w:lang w:val="es-CO"/>
        </w:rPr>
        <w:t xml:space="preserve"> y cuyo titular es </w:t>
      </w:r>
      <m:oMath>
        <m:r>
          <w:rPr>
            <w:rFonts w:ascii="Cambria Math" w:hAnsi="Cambria Math" w:cs="Arial"/>
            <w:color w:val="000000" w:themeColor="text1"/>
            <w:lang w:val="es-CO"/>
          </w:rPr>
          <m:t>s</m:t>
        </m:r>
      </m:oMath>
      <w:r w:rsidR="0006302B" w:rsidRPr="0013707D">
        <w:rPr>
          <w:rFonts w:ascii="Bookman Old Style" w:hAnsi="Bookman Old Style" w:cs="Arial"/>
          <w:i/>
          <w:color w:val="000000" w:themeColor="text1"/>
          <w:lang w:val="es-CO"/>
        </w:rPr>
        <w:t>.</w:t>
      </w:r>
      <w:r w:rsidR="0006302B" w:rsidRPr="0013707D">
        <w:rPr>
          <w:rFonts w:ascii="Bookman Old Style" w:hAnsi="Bookman Old Style" w:cs="Arial"/>
          <w:color w:val="000000" w:themeColor="text1"/>
          <w:lang w:val="es-CO"/>
        </w:rPr>
        <w:t xml:space="preserve"> En el caso de un generador térmico </w:t>
      </w:r>
      <m:oMath>
        <m:r>
          <w:rPr>
            <w:rFonts w:ascii="Cambria Math" w:hAnsi="Cambria Math" w:cs="Arial"/>
            <w:color w:val="000000" w:themeColor="text1"/>
            <w:lang w:val="es-CO"/>
          </w:rPr>
          <m:t>t</m:t>
        </m:r>
      </m:oMath>
      <w:r w:rsidR="0006302B" w:rsidRPr="0013707D">
        <w:rPr>
          <w:rFonts w:ascii="Bookman Old Style" w:hAnsi="Bookman Old Style" w:cs="Arial"/>
          <w:color w:val="000000" w:themeColor="text1"/>
          <w:lang w:val="es-CO"/>
        </w:rPr>
        <w:t xml:space="preserve"> esta variable corresponderá a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e,t</m:t>
                </m:r>
              </m:sub>
            </m:sSub>
          </m:sub>
        </m:sSub>
      </m:oMath>
      <w:r w:rsidR="0006302B" w:rsidRPr="0013707D">
        <w:rPr>
          <w:rFonts w:ascii="Bookman Old Style" w:hAnsi="Bookman Old Style" w:cs="Arial"/>
          <w:color w:val="000000" w:themeColor="text1"/>
          <w:lang w:val="es-CO"/>
        </w:rPr>
        <w:t>. Este valor se expresará en MBTUD.</w:t>
      </w:r>
    </w:p>
    <w:p w14:paraId="15272625" w14:textId="77777777" w:rsidR="0006302B" w:rsidRPr="0013707D" w:rsidRDefault="0006302B" w:rsidP="0006302B">
      <w:pPr>
        <w:ind w:left="0"/>
        <w:jc w:val="both"/>
        <w:rPr>
          <w:rFonts w:ascii="Bookman Old Style" w:hAnsi="Bookman Old Style"/>
          <w:color w:val="000000" w:themeColor="text1"/>
          <w:lang w:val="es-CO"/>
        </w:rPr>
      </w:pPr>
    </w:p>
    <w:p w14:paraId="19EF269F" w14:textId="35F81A16" w:rsidR="0006302B" w:rsidRPr="00AB43AB" w:rsidRDefault="0006302B" w:rsidP="0006302B">
      <w:pPr>
        <w:pStyle w:val="ARTICULOS"/>
        <w:numPr>
          <w:ilvl w:val="0"/>
          <w:numId w:val="0"/>
        </w:numPr>
        <w:rPr>
          <w:color w:val="000000" w:themeColor="text1"/>
          <w:lang w:val="es-CO"/>
        </w:rPr>
      </w:pPr>
      <w:r w:rsidRPr="0013707D">
        <w:rPr>
          <w:color w:val="000000" w:themeColor="text1"/>
          <w:lang w:val="es-CO"/>
        </w:rPr>
        <w:t xml:space="preserve">En esta </w:t>
      </w:r>
      <w:r w:rsidRPr="00AB43AB">
        <w:rPr>
          <w:color w:val="000000" w:themeColor="text1"/>
          <w:lang w:val="es-CO"/>
        </w:rPr>
        <w:t>declaración no se deberán incluir las cantidades no nominadas como consecuencia de uno de los eventos de fuerza mayor, caso fortuito o causa extraña o de uno de los eventos eximentes de responsabilidad a los que se hace referencia en el</w:t>
      </w:r>
      <w:r w:rsidR="009F5560">
        <w:rPr>
          <w:color w:val="000000" w:themeColor="text1"/>
          <w:lang w:val="es-CO"/>
        </w:rPr>
        <w:t xml:space="preserve"> artículo 10 y en el artículo 11</w:t>
      </w:r>
      <w:r w:rsidRPr="00AB43AB">
        <w:rPr>
          <w:color w:val="000000" w:themeColor="text1"/>
          <w:lang w:val="es-CO"/>
        </w:rPr>
        <w:t xml:space="preserve"> de esta Resolución.</w:t>
      </w:r>
    </w:p>
    <w:p w14:paraId="06A958B0" w14:textId="77777777" w:rsidR="0006302B" w:rsidRPr="00AB43AB" w:rsidRDefault="0006302B" w:rsidP="0006302B">
      <w:pPr>
        <w:ind w:left="0"/>
        <w:jc w:val="both"/>
        <w:rPr>
          <w:rFonts w:ascii="Bookman Old Style" w:hAnsi="Bookman Old Style"/>
          <w:color w:val="000000" w:themeColor="text1"/>
          <w:lang w:val="es-CO"/>
        </w:rPr>
      </w:pPr>
    </w:p>
    <w:p w14:paraId="29BC10E2" w14:textId="0A0D961D" w:rsidR="0006302B" w:rsidRPr="0013707D" w:rsidRDefault="0006302B" w:rsidP="0006302B">
      <w:pPr>
        <w:ind w:left="0"/>
        <w:jc w:val="both"/>
        <w:rPr>
          <w:rFonts w:ascii="Bookman Old Style" w:hAnsi="Bookman Old Style"/>
          <w:color w:val="000000" w:themeColor="text1"/>
          <w:lang w:val="es-CO"/>
        </w:rPr>
      </w:pPr>
      <w:r w:rsidRPr="00AB43AB">
        <w:rPr>
          <w:rFonts w:ascii="Bookman Old Style" w:hAnsi="Bookman Old Style"/>
          <w:color w:val="000000" w:themeColor="text1"/>
          <w:lang w:val="es-CO"/>
        </w:rPr>
        <w:t>A más tardar</w:t>
      </w:r>
      <w:r w:rsidRPr="0013707D">
        <w:rPr>
          <w:rFonts w:ascii="Bookman Old Style" w:hAnsi="Bookman Old Style"/>
          <w:color w:val="000000" w:themeColor="text1"/>
          <w:lang w:val="es-CO"/>
        </w:rPr>
        <w:t xml:space="preserve"> a las 16:00 horas del Día D-1 los vendedores de gas natural le declararán al administrador de las subastas la información señalada en la </w:t>
      </w:r>
      <w:r w:rsidRPr="0013707D">
        <w:rPr>
          <w:rFonts w:ascii="Bookman Old Style" w:hAnsi="Bookman Old Style"/>
          <w:color w:val="000000" w:themeColor="text1"/>
          <w:lang w:val="es-CO"/>
        </w:rPr>
        <w:fldChar w:fldCharType="begin"/>
      </w:r>
      <w:r w:rsidRPr="0013707D">
        <w:rPr>
          <w:rFonts w:ascii="Bookman Old Style" w:hAnsi="Bookman Old Style"/>
          <w:color w:val="000000" w:themeColor="text1"/>
          <w:lang w:val="es-CO"/>
        </w:rPr>
        <w:instrText xml:space="preserve"> REF _Ref361818970 \h  \* MERGEFORMAT </w:instrText>
      </w:r>
      <w:r w:rsidRPr="0013707D">
        <w:rPr>
          <w:rFonts w:ascii="Bookman Old Style" w:hAnsi="Bookman Old Style"/>
          <w:color w:val="000000" w:themeColor="text1"/>
          <w:lang w:val="es-CO"/>
        </w:rPr>
      </w:r>
      <w:r w:rsidRPr="0013707D">
        <w:rPr>
          <w:rFonts w:ascii="Bookman Old Style" w:hAnsi="Bookman Old Style"/>
          <w:color w:val="000000" w:themeColor="text1"/>
          <w:lang w:val="es-CO"/>
        </w:rPr>
        <w:fldChar w:fldCharType="separate"/>
      </w:r>
      <w:r w:rsidR="00636B6A" w:rsidRPr="00996A90">
        <w:rPr>
          <w:rFonts w:ascii="Bookman Old Style" w:hAnsi="Bookman Old Style"/>
          <w:color w:val="000000" w:themeColor="text1"/>
          <w:lang w:val="es-CO"/>
        </w:rPr>
        <w:t>Tabla 2</w:t>
      </w:r>
      <w:r w:rsidRPr="0013707D">
        <w:rPr>
          <w:rFonts w:ascii="Bookman Old Style" w:hAnsi="Bookman Old Style"/>
          <w:color w:val="000000" w:themeColor="text1"/>
          <w:lang w:val="es-CO"/>
        </w:rPr>
        <w:fldChar w:fldCharType="end"/>
      </w:r>
      <w:r w:rsidRPr="0013707D">
        <w:rPr>
          <w:rFonts w:ascii="Bookman Old Style" w:hAnsi="Bookman Old Style"/>
          <w:color w:val="000000" w:themeColor="text1"/>
          <w:lang w:val="es-CO"/>
        </w:rPr>
        <w:t>.</w:t>
      </w:r>
    </w:p>
    <w:p w14:paraId="2EE089BD" w14:textId="77777777" w:rsidR="0006302B" w:rsidRPr="0013707D" w:rsidRDefault="0006302B" w:rsidP="0006302B">
      <w:pPr>
        <w:ind w:left="0"/>
        <w:jc w:val="both"/>
        <w:rPr>
          <w:rFonts w:ascii="Bookman Old Style" w:hAnsi="Bookman Old Style"/>
          <w:color w:val="000000" w:themeColor="text1"/>
          <w:lang w:val="es-CO"/>
        </w:rPr>
      </w:pPr>
    </w:p>
    <w:p w14:paraId="7710F71E" w14:textId="2F098975" w:rsidR="0006302B" w:rsidRPr="0013707D" w:rsidRDefault="0006302B" w:rsidP="0006302B">
      <w:pPr>
        <w:pStyle w:val="Descripcin"/>
        <w:keepNext/>
        <w:spacing w:after="0"/>
        <w:rPr>
          <w:rFonts w:ascii="Bookman Old Style" w:hAnsi="Bookman Old Style"/>
          <w:color w:val="000000" w:themeColor="text1"/>
          <w:lang w:val="es-CO"/>
        </w:rPr>
      </w:pPr>
      <w:bookmarkStart w:id="153" w:name="_Ref361818970"/>
      <w:r w:rsidRPr="0013707D">
        <w:rPr>
          <w:rFonts w:ascii="Bookman Old Style" w:hAnsi="Bookman Old Style"/>
          <w:b/>
          <w:color w:val="000000" w:themeColor="text1"/>
          <w:sz w:val="24"/>
          <w:szCs w:val="24"/>
          <w:lang w:val="es-CO"/>
        </w:rPr>
        <w:t xml:space="preserve">Tabla </w:t>
      </w:r>
      <w:r w:rsidRPr="0013707D">
        <w:rPr>
          <w:rFonts w:ascii="Bookman Old Style" w:hAnsi="Bookman Old Style"/>
          <w:b/>
          <w:i/>
          <w:color w:val="000000" w:themeColor="text1"/>
          <w:sz w:val="24"/>
          <w:szCs w:val="24"/>
          <w:lang w:val="es-CO"/>
        </w:rPr>
        <w:fldChar w:fldCharType="begin"/>
      </w:r>
      <w:r w:rsidRPr="0013707D">
        <w:rPr>
          <w:rFonts w:ascii="Bookman Old Style" w:hAnsi="Bookman Old Style"/>
          <w:b/>
          <w:color w:val="000000" w:themeColor="text1"/>
          <w:sz w:val="24"/>
          <w:szCs w:val="24"/>
          <w:lang w:val="es-CO"/>
        </w:rPr>
        <w:instrText xml:space="preserve"> SEQ Tabla \* ARABIC </w:instrText>
      </w:r>
      <w:r w:rsidRPr="0013707D">
        <w:rPr>
          <w:rFonts w:ascii="Bookman Old Style" w:hAnsi="Bookman Old Style"/>
          <w:b/>
          <w:i/>
          <w:color w:val="000000" w:themeColor="text1"/>
          <w:sz w:val="24"/>
          <w:szCs w:val="24"/>
          <w:lang w:val="es-CO"/>
        </w:rPr>
        <w:fldChar w:fldCharType="separate"/>
      </w:r>
      <w:r w:rsidR="00636B6A">
        <w:rPr>
          <w:rFonts w:ascii="Bookman Old Style" w:hAnsi="Bookman Old Style"/>
          <w:b/>
          <w:noProof/>
          <w:color w:val="000000" w:themeColor="text1"/>
          <w:sz w:val="24"/>
          <w:szCs w:val="24"/>
          <w:lang w:val="es-CO"/>
        </w:rPr>
        <w:t>2</w:t>
      </w:r>
      <w:r w:rsidRPr="0013707D">
        <w:rPr>
          <w:rFonts w:ascii="Bookman Old Style" w:hAnsi="Bookman Old Style"/>
          <w:b/>
          <w:i/>
          <w:color w:val="000000" w:themeColor="text1"/>
          <w:sz w:val="24"/>
          <w:szCs w:val="24"/>
          <w:lang w:val="es-CO"/>
        </w:rPr>
        <w:fldChar w:fldCharType="end"/>
      </w:r>
      <w:bookmarkEnd w:id="153"/>
      <w:r w:rsidRPr="0013707D">
        <w:rPr>
          <w:rFonts w:ascii="Bookman Old Style" w:hAnsi="Bookman Old Style"/>
          <w:b/>
          <w:color w:val="000000" w:themeColor="text1"/>
          <w:sz w:val="24"/>
          <w:szCs w:val="24"/>
          <w:lang w:val="es-CO"/>
        </w:rPr>
        <w:t>. Declaración de precios de reserva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376"/>
        <w:gridCol w:w="2377"/>
        <w:gridCol w:w="2377"/>
      </w:tblGrid>
      <w:tr w:rsidR="0006302B" w:rsidRPr="0013707D" w14:paraId="75B97AC3" w14:textId="77777777" w:rsidTr="00341DAD">
        <w:tc>
          <w:tcPr>
            <w:tcW w:w="2376" w:type="dxa"/>
            <w:vAlign w:val="center"/>
          </w:tcPr>
          <w:p w14:paraId="60E52379" w14:textId="283D84DA" w:rsidR="0006302B" w:rsidRPr="0013707D" w:rsidRDefault="00920585" w:rsidP="00341DAD">
            <w:pPr>
              <w:ind w:left="0"/>
              <w:rPr>
                <w:rFonts w:ascii="Bookman Old Style" w:hAnsi="Bookman Old Style" w:cs="Arial"/>
                <w:b/>
                <w:bCs/>
                <w:color w:val="000000" w:themeColor="text1"/>
                <w:lang w:val="es-CO" w:eastAsia="x-none"/>
              </w:rPr>
            </w:pPr>
            <w:r>
              <w:rPr>
                <w:rFonts w:ascii="Bookman Old Style" w:hAnsi="Bookman Old Style" w:cs="Arial"/>
                <w:b/>
                <w:bCs/>
                <w:color w:val="000000" w:themeColor="text1"/>
                <w:lang w:val="es-CO" w:eastAsia="x-none"/>
              </w:rPr>
              <w:t>Punto de entrega</w:t>
            </w:r>
          </w:p>
        </w:tc>
        <w:tc>
          <w:tcPr>
            <w:tcW w:w="2377" w:type="dxa"/>
            <w:vAlign w:val="center"/>
          </w:tcPr>
          <w:p w14:paraId="518EB03F" w14:textId="77777777" w:rsidR="0006302B" w:rsidRPr="0013707D" w:rsidRDefault="0006302B" w:rsidP="00341DAD">
            <w:pPr>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Titular</w:t>
            </w:r>
          </w:p>
        </w:tc>
        <w:tc>
          <w:tcPr>
            <w:tcW w:w="2377" w:type="dxa"/>
            <w:vAlign w:val="center"/>
          </w:tcPr>
          <w:p w14:paraId="6A0C522D" w14:textId="77777777" w:rsidR="0006302B" w:rsidRPr="0013707D" w:rsidRDefault="0006302B" w:rsidP="00341DAD">
            <w:pPr>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Precio de reserva</w:t>
            </w:r>
          </w:p>
        </w:tc>
      </w:tr>
      <w:tr w:rsidR="0006302B" w:rsidRPr="0013707D" w14:paraId="0BCF8CB3" w14:textId="77777777" w:rsidTr="00341DAD">
        <w:tc>
          <w:tcPr>
            <w:tcW w:w="2376" w:type="dxa"/>
            <w:vAlign w:val="center"/>
          </w:tcPr>
          <w:p w14:paraId="67A772B0" w14:textId="77777777" w:rsidR="0006302B" w:rsidRPr="0013707D" w:rsidRDefault="0006302B" w:rsidP="00341DAD">
            <w:pPr>
              <w:pStyle w:val="Textoindependiente"/>
              <w:ind w:left="0"/>
              <w:rPr>
                <w:rFonts w:ascii="Bookman Old Style" w:hAnsi="Bookman Old Style"/>
                <w:b w:val="0"/>
                <w:color w:val="000000" w:themeColor="text1"/>
                <w:lang w:val="es-CO"/>
              </w:rPr>
            </w:pPr>
            <m:oMathPara>
              <m:oMath>
                <m:r>
                  <m:rPr>
                    <m:sty m:val="bi"/>
                  </m:rPr>
                  <w:rPr>
                    <w:rFonts w:ascii="Cambria Math" w:hAnsi="Cambria Math"/>
                    <w:color w:val="000000" w:themeColor="text1"/>
                    <w:lang w:val="es-CO"/>
                  </w:rPr>
                  <m:t>e</m:t>
                </m:r>
              </m:oMath>
            </m:oMathPara>
          </w:p>
        </w:tc>
        <w:tc>
          <w:tcPr>
            <w:tcW w:w="2377" w:type="dxa"/>
            <w:vAlign w:val="center"/>
          </w:tcPr>
          <w:p w14:paraId="1DE7C0DA" w14:textId="77777777" w:rsidR="0006302B" w:rsidRPr="0013707D" w:rsidRDefault="0006302B" w:rsidP="00341DAD">
            <w:pPr>
              <w:ind w:left="0"/>
              <w:jc w:val="center"/>
              <w:rPr>
                <w:rFonts w:ascii="Bookman Old Style" w:hAnsi="Bookman Old Style"/>
                <w:bCs/>
                <w:color w:val="000000" w:themeColor="text1"/>
                <w:lang w:val="es-CO" w:eastAsia="x-none"/>
              </w:rPr>
            </w:pPr>
            <m:oMathPara>
              <m:oMath>
                <m:r>
                  <w:rPr>
                    <w:rFonts w:ascii="Cambria Math" w:hAnsi="Cambria Math" w:cs="Arial"/>
                    <w:color w:val="000000" w:themeColor="text1"/>
                    <w:lang w:val="es-CO"/>
                  </w:rPr>
                  <m:t>s</m:t>
                </m:r>
              </m:oMath>
            </m:oMathPara>
          </w:p>
        </w:tc>
        <w:tc>
          <w:tcPr>
            <w:tcW w:w="2377" w:type="dxa"/>
            <w:vAlign w:val="center"/>
          </w:tcPr>
          <w:p w14:paraId="5EDE28C9" w14:textId="77777777" w:rsidR="0006302B" w:rsidRPr="0013707D" w:rsidRDefault="00FB7B28" w:rsidP="00341DAD">
            <w:pPr>
              <w:ind w:left="0"/>
              <w:jc w:val="center"/>
              <w:rPr>
                <w:rFonts w:ascii="Bookman Old Style" w:hAnsi="Bookman Old Style" w:cs="Arial"/>
                <w:color w:val="000000" w:themeColor="text1"/>
                <w:lang w:val="es-CO"/>
              </w:rPr>
            </w:pPr>
            <m:oMathPara>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m:oMathPara>
          </w:p>
        </w:tc>
      </w:tr>
    </w:tbl>
    <w:p w14:paraId="34557529"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br w:type="textWrapping" w:clear="all"/>
      </w:r>
    </w:p>
    <w:p w14:paraId="4D7C8055" w14:textId="77777777" w:rsidR="0006302B" w:rsidRPr="0013707D" w:rsidRDefault="0006302B" w:rsidP="0006302B">
      <w:pPr>
        <w:ind w:left="0"/>
        <w:rPr>
          <w:rFonts w:ascii="Bookman Old Style" w:hAnsi="Bookman Old Style"/>
          <w:lang w:val="es-CO"/>
        </w:rPr>
      </w:pPr>
      <w:r w:rsidRPr="0013707D">
        <w:rPr>
          <w:rFonts w:ascii="Bookman Old Style" w:hAnsi="Bookman Old Style"/>
          <w:lang w:val="es-CO"/>
        </w:rPr>
        <w:t>Donde:</w:t>
      </w:r>
    </w:p>
    <w:p w14:paraId="3C541FEF" w14:textId="77777777" w:rsidR="0006302B" w:rsidRPr="0013707D" w:rsidRDefault="0006302B" w:rsidP="0006302B">
      <w:pPr>
        <w:rPr>
          <w:rFonts w:ascii="Bookman Old Style" w:hAnsi="Bookman Old Style"/>
          <w:lang w:val="es-CO"/>
        </w:rPr>
      </w:pPr>
    </w:p>
    <w:p w14:paraId="0259F29D" w14:textId="77777777" w:rsidR="0006302B" w:rsidRPr="0013707D" w:rsidRDefault="0006302B" w:rsidP="0006302B">
      <w:pPr>
        <w:ind w:left="1134" w:hanging="1134"/>
        <w:jc w:val="both"/>
        <w:rPr>
          <w:rFonts w:ascii="Bookman Old Style" w:hAnsi="Bookman Old Style"/>
          <w:lang w:val="es-CO"/>
        </w:rPr>
      </w:pPr>
      <m:oMath>
        <m:r>
          <w:rPr>
            <w:rFonts w:ascii="Cambria Math" w:hAnsi="Cambria Math"/>
            <w:lang w:val="es-CO"/>
          </w:rPr>
          <m:t>s</m:t>
        </m:r>
      </m:oMath>
      <w:r w:rsidRPr="0013707D">
        <w:rPr>
          <w:rFonts w:ascii="Bookman Old Style" w:hAnsi="Bookman Old Style"/>
          <w:lang w:val="es-CO"/>
        </w:rPr>
        <w:t>:</w:t>
      </w:r>
      <w:r w:rsidRPr="0013707D">
        <w:rPr>
          <w:rFonts w:ascii="Bookman Old Style" w:hAnsi="Bookman Old Style"/>
          <w:lang w:val="es-CO"/>
        </w:rPr>
        <w:tab/>
        <w:t xml:space="preserve">Titular de los derechos de suministro del gas no nominado con entrega en </w:t>
      </w:r>
      <m:oMath>
        <m:r>
          <w:rPr>
            <w:rFonts w:ascii="Cambria Math" w:hAnsi="Cambria Math"/>
            <w:lang w:val="es-CO"/>
          </w:rPr>
          <m:t>e</m:t>
        </m:r>
      </m:oMath>
      <w:r w:rsidRPr="0013707D">
        <w:rPr>
          <w:rFonts w:ascii="Bookman Old Style" w:hAnsi="Bookman Old Style"/>
          <w:lang w:val="es-CO"/>
        </w:rPr>
        <w:t xml:space="preserve">. Puede ser un generador térmico titular de derechos de suministro </w:t>
      </w:r>
      <w:r w:rsidRPr="0013707D">
        <w:rPr>
          <w:rFonts w:ascii="Bookman Old Style" w:hAnsi="Bookman Old Style"/>
          <w:lang w:val="es-CO"/>
        </w:rPr>
        <w:lastRenderedPageBreak/>
        <w:t xml:space="preserve">de gas. El titular </w:t>
      </w:r>
      <m:oMath>
        <m:r>
          <w:rPr>
            <w:rFonts w:ascii="Cambria Math" w:hAnsi="Cambria Math"/>
            <w:lang w:val="es-CO"/>
          </w:rPr>
          <m:t>s</m:t>
        </m:r>
      </m:oMath>
      <w:r w:rsidRPr="0013707D">
        <w:rPr>
          <w:rFonts w:ascii="Bookman Old Style" w:hAnsi="Bookman Old Style"/>
          <w:lang w:val="es-CO"/>
        </w:rPr>
        <w:t xml:space="preserve"> actuará como un vendedor durante el desarrollo del procedimiento establecido en los numerales 5.7 y 5.8 de este Anexo.</w:t>
      </w:r>
    </w:p>
    <w:p w14:paraId="4FBD1BE5" w14:textId="77777777" w:rsidR="0006302B" w:rsidRPr="0013707D" w:rsidRDefault="0006302B" w:rsidP="0006302B">
      <w:pPr>
        <w:rPr>
          <w:rFonts w:ascii="Bookman Old Style" w:hAnsi="Bookman Old Style"/>
          <w:lang w:val="es-CO"/>
        </w:rPr>
      </w:pPr>
    </w:p>
    <w:p w14:paraId="24E3F623" w14:textId="77777777" w:rsidR="0006302B" w:rsidRPr="0013707D" w:rsidRDefault="00FB7B28" w:rsidP="0006302B">
      <w:pPr>
        <w:ind w:left="1134" w:hanging="1134"/>
        <w:jc w:val="both"/>
        <w:rPr>
          <w:rFonts w:ascii="Bookman Old Style" w:hAnsi="Bookman Old Style" w:cs="Arial"/>
          <w:i/>
          <w:color w:val="000000" w:themeColor="text1"/>
          <w:lang w:val="es-CO"/>
        </w:rPr>
      </w:pP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Precio de reserva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declarado por el titular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Este valor se expresará en dólares de los Estados Unidos de América por MBTU.</w:t>
      </w:r>
    </w:p>
    <w:p w14:paraId="5866744E"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6D88BB23" w14:textId="77777777" w:rsidR="0006302B" w:rsidRPr="0013707D" w:rsidRDefault="0006302B" w:rsidP="0006302B">
      <w:pPr>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El precio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Pr="0013707D">
        <w:rPr>
          <w:rFonts w:ascii="Bookman Old Style" w:hAnsi="Bookman Old Style"/>
          <w:bCs/>
          <w:color w:val="000000" w:themeColor="text1"/>
          <w:lang w:val="es-CO" w:eastAsia="x-none"/>
        </w:rPr>
        <w:t xml:space="preserve"> deberá ser superior o igual a cero (0) y no podrá tener más de dos (2) cifras decimales.</w:t>
      </w:r>
    </w:p>
    <w:p w14:paraId="31800FA6" w14:textId="77777777" w:rsidR="0006302B" w:rsidRPr="0013707D" w:rsidRDefault="0006302B" w:rsidP="0006302B">
      <w:pPr>
        <w:ind w:left="0"/>
        <w:jc w:val="both"/>
        <w:rPr>
          <w:rFonts w:ascii="Bookman Old Style" w:hAnsi="Bookman Old Style"/>
          <w:color w:val="000000" w:themeColor="text1"/>
          <w:lang w:val="es-CO"/>
        </w:rPr>
      </w:pPr>
    </w:p>
    <w:p w14:paraId="18E5165E" w14:textId="77777777" w:rsidR="0006302B" w:rsidRPr="0013707D" w:rsidRDefault="0006302B" w:rsidP="0006302B">
      <w:pPr>
        <w:ind w:left="0"/>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A más tardar a las 16:00 horas del Día D-1 los generadores térmicos que no hayan nominado la totalidad de la energía contratada, para el siguiente día de gas, le deberán informar al </w:t>
      </w:r>
      <w:r w:rsidRPr="0013707D">
        <w:rPr>
          <w:rFonts w:ascii="Bookman Old Style" w:hAnsi="Bookman Old Style" w:cs="Arial"/>
          <w:color w:val="000000" w:themeColor="text1"/>
          <w:lang w:val="es-CO"/>
        </w:rPr>
        <w:t xml:space="preserve">administrador de las subastas qué </w:t>
      </w:r>
      <w:r w:rsidRPr="0013707D">
        <w:rPr>
          <w:rFonts w:ascii="Bookman Old Style" w:hAnsi="Bookman Old Style"/>
          <w:color w:val="000000" w:themeColor="text1"/>
          <w:lang w:val="es-CO"/>
        </w:rPr>
        <w:t>cantidad de energía no está disponible para las subastas. La cantidad informada por los generadores no será considerada parte de la energía disponible.</w:t>
      </w:r>
    </w:p>
    <w:p w14:paraId="2797DD6E"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0816912B"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t xml:space="preserve">Si antes de las 16:00 horas el administrador de las subastas no recibe esta información del generador térmico </w:t>
      </w:r>
      <m:oMath>
        <m:r>
          <m:rPr>
            <m:sty m:val="bi"/>
          </m:rPr>
          <w:rPr>
            <w:rFonts w:ascii="Cambria Math" w:hAnsi="Cambria Math"/>
            <w:color w:val="000000" w:themeColor="text1"/>
            <w:lang w:val="es-CO"/>
          </w:rPr>
          <m:t>t</m:t>
        </m:r>
      </m:oMath>
      <w:r w:rsidRPr="0013707D">
        <w:rPr>
          <w:rFonts w:ascii="Bookman Old Style" w:hAnsi="Bookman Old Style"/>
          <w:b w:val="0"/>
          <w:color w:val="000000" w:themeColor="text1"/>
          <w:lang w:val="es-CO"/>
        </w:rPr>
        <w:t xml:space="preserve">, el administrador de las subastas entenderá que la cantidad de energía no disponible, </w:t>
      </w:r>
      <m:oMath>
        <m:sSub>
          <m:sSubPr>
            <m:ctrlPr>
              <w:rPr>
                <w:rFonts w:ascii="Cambria Math" w:hAnsi="Cambria Math"/>
                <w:b w:val="0"/>
                <w:i/>
                <w:color w:val="000000" w:themeColor="text1"/>
                <w:lang w:val="es-CO"/>
              </w:rPr>
            </m:ctrlPr>
          </m:sSubPr>
          <m:e>
            <m:acc>
              <m:accPr>
                <m:ctrlPr>
                  <w:rPr>
                    <w:rFonts w:ascii="Cambria Math" w:hAnsi="Cambria Math"/>
                    <w:b w:val="0"/>
                    <w:bCs w:val="0"/>
                    <w:i/>
                    <w:color w:val="000000" w:themeColor="text1"/>
                    <w:lang w:val="es-CO"/>
                  </w:rPr>
                </m:ctrlPr>
              </m:accPr>
              <m:e>
                <m:r>
                  <m:rPr>
                    <m:sty m:val="bi"/>
                  </m:rPr>
                  <w:rPr>
                    <w:rFonts w:ascii="Cambria Math" w:hAnsi="Cambria Math"/>
                    <w:color w:val="000000" w:themeColor="text1"/>
                    <w:lang w:val="es-CO"/>
                  </w:rPr>
                  <m:t>Q</m:t>
                </m:r>
              </m:e>
            </m:acc>
          </m:e>
          <m:sub>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E</m:t>
                </m:r>
              </m:e>
              <m:sub>
                <m:r>
                  <m:rPr>
                    <m:sty m:val="bi"/>
                  </m:rPr>
                  <w:rPr>
                    <w:rFonts w:ascii="Cambria Math" w:hAnsi="Cambria Math"/>
                    <w:color w:val="000000" w:themeColor="text1"/>
                    <w:lang w:val="es-CO"/>
                  </w:rPr>
                  <m:t>e,t</m:t>
                </m:r>
              </m:sub>
            </m:sSub>
          </m:sub>
        </m:sSub>
      </m:oMath>
      <w:r w:rsidRPr="0013707D">
        <w:rPr>
          <w:rFonts w:ascii="Bookman Old Style" w:hAnsi="Bookman Old Style"/>
          <w:b w:val="0"/>
          <w:color w:val="000000" w:themeColor="text1"/>
          <w:lang w:val="es-CO"/>
        </w:rPr>
        <w:t xml:space="preserve">, es cero (0). Por consiguiente entenderá que la totalidad de la energía no nominada por el generador térmico </w:t>
      </w:r>
      <m:oMath>
        <m:r>
          <m:rPr>
            <m:sty m:val="bi"/>
          </m:rPr>
          <w:rPr>
            <w:rFonts w:ascii="Cambria Math" w:hAnsi="Cambria Math"/>
            <w:color w:val="000000" w:themeColor="text1"/>
            <w:lang w:val="es-CO"/>
          </w:rPr>
          <m:t>t</m:t>
        </m:r>
      </m:oMath>
      <w:r w:rsidRPr="0013707D">
        <w:rPr>
          <w:rFonts w:ascii="Bookman Old Style" w:hAnsi="Bookman Old Style"/>
          <w:b w:val="0"/>
          <w:color w:val="000000" w:themeColor="text1"/>
          <w:lang w:val="es-CO"/>
        </w:rPr>
        <w:t xml:space="preserve"> está disponible para la subasta.</w:t>
      </w:r>
    </w:p>
    <w:p w14:paraId="64CBC7AE"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78B84CBA"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t xml:space="preserve">Si antes de las 16:00 horas el administrador de las subastas no recibe la declaración del precio de reserva,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PR</m:t>
            </m:r>
          </m:e>
          <m:sub>
            <m:sSub>
              <m:sSubPr>
                <m:ctrlPr>
                  <w:rPr>
                    <w:rFonts w:ascii="Cambria Math" w:hAnsi="Cambria Math"/>
                    <w:b w:val="0"/>
                    <w:bCs w:val="0"/>
                    <w:i/>
                    <w:color w:val="000000" w:themeColor="text1"/>
                    <w:lang w:val="es-CO"/>
                  </w:rPr>
                </m:ctrlPr>
              </m:sSubPr>
              <m:e>
                <m:r>
                  <m:rPr>
                    <m:sty m:val="bi"/>
                  </m:rPr>
                  <w:rPr>
                    <w:rFonts w:ascii="Cambria Math" w:hAnsi="Cambria Math"/>
                    <w:color w:val="000000" w:themeColor="text1"/>
                    <w:lang w:val="es-CO"/>
                  </w:rPr>
                  <m:t>E</m:t>
                </m:r>
              </m:e>
              <m:sub>
                <m:r>
                  <m:rPr>
                    <m:sty m:val="bi"/>
                  </m:rPr>
                  <w:rPr>
                    <w:rFonts w:ascii="Cambria Math" w:hAnsi="Cambria Math"/>
                    <w:color w:val="000000" w:themeColor="text1"/>
                    <w:lang w:val="es-CO"/>
                  </w:rPr>
                  <m:t>e,s</m:t>
                </m:r>
              </m:sub>
            </m:sSub>
          </m:sub>
        </m:sSub>
      </m:oMath>
      <w:r w:rsidRPr="0013707D">
        <w:rPr>
          <w:rFonts w:ascii="Bookman Old Style" w:hAnsi="Bookman Old Style"/>
          <w:b w:val="0"/>
          <w:color w:val="000000" w:themeColor="text1"/>
          <w:lang w:val="es-CO"/>
        </w:rPr>
        <w:t xml:space="preserve"> del titular </w:t>
      </w:r>
      <m:oMath>
        <m:r>
          <m:rPr>
            <m:sty m:val="bi"/>
          </m:rPr>
          <w:rPr>
            <w:rFonts w:ascii="Cambria Math" w:hAnsi="Cambria Math"/>
            <w:color w:val="000000" w:themeColor="text1"/>
            <w:lang w:val="es-CO"/>
          </w:rPr>
          <m:t>s</m:t>
        </m:r>
      </m:oMath>
      <w:r w:rsidRPr="0013707D">
        <w:rPr>
          <w:rFonts w:ascii="Bookman Old Style" w:hAnsi="Bookman Old Style"/>
          <w:b w:val="0"/>
          <w:color w:val="000000" w:themeColor="text1"/>
          <w:lang w:val="es-CO"/>
        </w:rPr>
        <w:t xml:space="preserve">, el administrador de las subastas entenderá que el titular </w:t>
      </w:r>
      <m:oMath>
        <m:r>
          <m:rPr>
            <m:sty m:val="bi"/>
          </m:rPr>
          <w:rPr>
            <w:rFonts w:ascii="Cambria Math" w:hAnsi="Cambria Math"/>
            <w:color w:val="000000" w:themeColor="text1"/>
            <w:lang w:val="es-CO"/>
          </w:rPr>
          <m:t>s</m:t>
        </m:r>
      </m:oMath>
      <w:r w:rsidRPr="0013707D">
        <w:rPr>
          <w:rFonts w:ascii="Bookman Old Style" w:hAnsi="Bookman Old Style"/>
          <w:b w:val="0"/>
          <w:color w:val="000000" w:themeColor="text1"/>
          <w:lang w:val="es-CO"/>
        </w:rPr>
        <w:t xml:space="preserve"> hizo su oferta al precio de reserva </w:t>
      </w:r>
      <m:oMath>
        <m:sSub>
          <m:sSubPr>
            <m:ctrlPr>
              <w:rPr>
                <w:rFonts w:ascii="Cambria Math" w:hAnsi="Cambria Math"/>
                <w:b w:val="0"/>
                <w:i/>
                <w:color w:val="000000" w:themeColor="text1"/>
                <w:lang w:val="es-CO"/>
              </w:rPr>
            </m:ctrlPr>
          </m:sSubPr>
          <m:e>
            <m:r>
              <m:rPr>
                <m:sty m:val="bi"/>
              </m:rPr>
              <w:rPr>
                <w:rFonts w:ascii="Cambria Math" w:hAnsi="Cambria Math"/>
                <w:color w:val="000000" w:themeColor="text1"/>
                <w:lang w:val="es-CO"/>
              </w:rPr>
              <m:t>PR</m:t>
            </m:r>
          </m:e>
          <m:sub>
            <m:sSub>
              <m:sSubPr>
                <m:ctrlPr>
                  <w:rPr>
                    <w:rFonts w:ascii="Cambria Math" w:hAnsi="Cambria Math"/>
                    <w:b w:val="0"/>
                    <w:bCs w:val="0"/>
                    <w:i/>
                    <w:color w:val="000000" w:themeColor="text1"/>
                    <w:lang w:val="es-CO"/>
                  </w:rPr>
                </m:ctrlPr>
              </m:sSubPr>
              <m:e>
                <m:r>
                  <m:rPr>
                    <m:sty m:val="bi"/>
                  </m:rPr>
                  <w:rPr>
                    <w:rFonts w:ascii="Cambria Math" w:hAnsi="Cambria Math"/>
                    <w:color w:val="000000" w:themeColor="text1"/>
                    <w:lang w:val="es-CO"/>
                  </w:rPr>
                  <m:t>E</m:t>
                </m:r>
              </m:e>
              <m:sub>
                <m:r>
                  <m:rPr>
                    <m:sty m:val="bi"/>
                  </m:rPr>
                  <w:rPr>
                    <w:rFonts w:ascii="Cambria Math" w:hAnsi="Cambria Math"/>
                    <w:color w:val="000000" w:themeColor="text1"/>
                    <w:lang w:val="es-CO"/>
                  </w:rPr>
                  <m:t>e,s</m:t>
                </m:r>
              </m:sub>
            </m:sSub>
          </m:sub>
        </m:sSub>
      </m:oMath>
      <w:r w:rsidRPr="0013707D">
        <w:rPr>
          <w:rFonts w:ascii="Bookman Old Style" w:hAnsi="Bookman Old Style"/>
          <w:b w:val="0"/>
          <w:color w:val="000000" w:themeColor="text1"/>
          <w:lang w:val="es-CO"/>
        </w:rPr>
        <w:t xml:space="preserve"> igual a cero (0).</w:t>
      </w:r>
    </w:p>
    <w:p w14:paraId="516478B3"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1677520E" w14:textId="77777777" w:rsidR="0006302B" w:rsidRPr="0013707D" w:rsidRDefault="0006302B" w:rsidP="00A4790E">
      <w:pPr>
        <w:pStyle w:val="Prrafodelista"/>
        <w:numPr>
          <w:ilvl w:val="1"/>
          <w:numId w:val="83"/>
        </w:numPr>
        <w:ind w:left="567" w:hanging="567"/>
        <w:rPr>
          <w:rFonts w:ascii="Bookman Old Style" w:hAnsi="Bookman Old Style"/>
          <w:color w:val="000000" w:themeColor="text1"/>
          <w:sz w:val="24"/>
          <w:szCs w:val="24"/>
        </w:rPr>
      </w:pPr>
      <w:bookmarkStart w:id="154" w:name="_Ref336940860"/>
      <w:r w:rsidRPr="0013707D">
        <w:rPr>
          <w:rFonts w:ascii="Bookman Old Style" w:hAnsi="Bookman Old Style"/>
          <w:color w:val="000000" w:themeColor="text1"/>
          <w:sz w:val="24"/>
          <w:szCs w:val="24"/>
        </w:rPr>
        <w:t>Publicación de la cantidad disponible</w:t>
      </w:r>
      <w:bookmarkEnd w:id="154"/>
    </w:p>
    <w:p w14:paraId="7A93B38E" w14:textId="77777777" w:rsidR="0006302B" w:rsidRPr="0013707D" w:rsidRDefault="0006302B" w:rsidP="0006302B">
      <w:pPr>
        <w:ind w:left="0"/>
        <w:jc w:val="both"/>
        <w:rPr>
          <w:rFonts w:ascii="Bookman Old Style" w:hAnsi="Bookman Old Style"/>
          <w:bCs/>
          <w:color w:val="000000" w:themeColor="text1"/>
          <w:lang w:val="es-CO" w:eastAsia="x-none"/>
        </w:rPr>
      </w:pPr>
    </w:p>
    <w:p w14:paraId="0F5C51F0" w14:textId="46447B06" w:rsidR="0006302B" w:rsidRDefault="0006302B" w:rsidP="0006302B">
      <w:pPr>
        <w:autoSpaceDE w:val="0"/>
        <w:autoSpaceDN w:val="0"/>
        <w:adjustRightInd w:val="0"/>
        <w:ind w:left="0"/>
        <w:jc w:val="both"/>
        <w:rPr>
          <w:rFonts w:ascii="Bookman Old Style" w:hAnsi="Bookman Old Style" w:cs="Arial"/>
          <w:color w:val="000000" w:themeColor="text1"/>
          <w:lang w:val="es-CO"/>
        </w:rPr>
      </w:pPr>
      <w:r w:rsidRPr="0013707D">
        <w:rPr>
          <w:rFonts w:ascii="Bookman Old Style" w:hAnsi="Bookman Old Style"/>
          <w:bCs/>
          <w:color w:val="000000" w:themeColor="text1"/>
          <w:lang w:val="es-CO" w:eastAsia="x-none"/>
        </w:rPr>
        <w:t xml:space="preserve">A más tardar a las 16:10 horas del Día D-1 el administrador de las subastas </w:t>
      </w:r>
      <w:r w:rsidRPr="0013707D">
        <w:rPr>
          <w:rFonts w:ascii="Bookman Old Style" w:hAnsi="Bookman Old Style" w:cs="Arial"/>
          <w:color w:val="000000" w:themeColor="text1"/>
          <w:lang w:val="es-CO"/>
        </w:rPr>
        <w:t xml:space="preserve">publicará la cantidad total de energía disponible en </w:t>
      </w:r>
      <w:proofErr w:type="gramStart"/>
      <w:r w:rsidRPr="0013707D">
        <w:rPr>
          <w:rFonts w:ascii="Bookman Old Style" w:hAnsi="Bookman Old Style" w:cs="Arial"/>
          <w:color w:val="000000" w:themeColor="text1"/>
          <w:lang w:val="es-CO"/>
        </w:rPr>
        <w:t>cada ,</w:t>
      </w:r>
      <w:proofErr w:type="gramEnd"/>
      <w:r w:rsidRPr="0013707D">
        <w:rPr>
          <w:rFonts w:ascii="Bookman Old Style" w:hAnsi="Bookman Old Style" w:cs="Arial"/>
          <w:color w:val="000000" w:themeColor="text1"/>
          <w:lang w:val="es-CO"/>
        </w:rPr>
        <w:t xml:space="preserve">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sub>
        </m:sSub>
      </m:oMath>
      <w:r w:rsidRPr="0013707D">
        <w:rPr>
          <w:rFonts w:ascii="Bookman Old Style" w:hAnsi="Bookman Old Style" w:cs="Arial"/>
          <w:color w:val="000000" w:themeColor="text1"/>
          <w:lang w:val="es-CO"/>
        </w:rPr>
        <w:t xml:space="preserve">, como se señala en la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_Ref361818991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3</w:t>
      </w:r>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w:t>
      </w:r>
    </w:p>
    <w:p w14:paraId="3C2E1B37" w14:textId="7B3660F2" w:rsidR="001874D8" w:rsidRDefault="001874D8" w:rsidP="0006302B">
      <w:pPr>
        <w:autoSpaceDE w:val="0"/>
        <w:autoSpaceDN w:val="0"/>
        <w:adjustRightInd w:val="0"/>
        <w:ind w:left="0"/>
        <w:jc w:val="both"/>
        <w:rPr>
          <w:rFonts w:ascii="Bookman Old Style" w:hAnsi="Bookman Old Style" w:cs="Arial"/>
          <w:color w:val="000000" w:themeColor="text1"/>
          <w:lang w:val="es-CO"/>
        </w:rPr>
      </w:pPr>
    </w:p>
    <w:p w14:paraId="703227B6" w14:textId="6CB1B3AE" w:rsidR="001874D8" w:rsidRDefault="001874D8" w:rsidP="0006302B">
      <w:pPr>
        <w:autoSpaceDE w:val="0"/>
        <w:autoSpaceDN w:val="0"/>
        <w:adjustRightInd w:val="0"/>
        <w:ind w:left="0"/>
        <w:jc w:val="both"/>
        <w:rPr>
          <w:rFonts w:ascii="Bookman Old Style" w:hAnsi="Bookman Old Style" w:cs="Arial"/>
          <w:color w:val="000000" w:themeColor="text1"/>
          <w:lang w:val="es-CO"/>
        </w:rPr>
      </w:pPr>
    </w:p>
    <w:p w14:paraId="7846F8FE" w14:textId="77777777" w:rsidR="001874D8" w:rsidRPr="0013707D" w:rsidRDefault="001874D8" w:rsidP="0006302B">
      <w:pPr>
        <w:autoSpaceDE w:val="0"/>
        <w:autoSpaceDN w:val="0"/>
        <w:adjustRightInd w:val="0"/>
        <w:ind w:left="0"/>
        <w:jc w:val="both"/>
        <w:rPr>
          <w:rFonts w:ascii="Bookman Old Style" w:hAnsi="Bookman Old Style" w:cs="Arial"/>
          <w:color w:val="000000" w:themeColor="text1"/>
          <w:lang w:val="es-CO"/>
        </w:rPr>
      </w:pPr>
    </w:p>
    <w:p w14:paraId="5DBFCAC1" w14:textId="795C9706" w:rsidR="0006302B" w:rsidRPr="0013707D" w:rsidRDefault="0006302B" w:rsidP="0006302B">
      <w:pPr>
        <w:pStyle w:val="Descripcin"/>
        <w:keepNext/>
        <w:spacing w:after="0"/>
        <w:rPr>
          <w:rFonts w:ascii="Bookman Old Style" w:hAnsi="Bookman Old Style"/>
          <w:color w:val="000000" w:themeColor="text1"/>
          <w:lang w:val="es-CO"/>
        </w:rPr>
      </w:pPr>
      <w:bookmarkStart w:id="155" w:name="_Ref361818991"/>
      <w:r w:rsidRPr="0013707D">
        <w:rPr>
          <w:rFonts w:ascii="Bookman Old Style" w:hAnsi="Bookman Old Style"/>
          <w:b/>
          <w:color w:val="000000" w:themeColor="text1"/>
          <w:sz w:val="24"/>
          <w:szCs w:val="24"/>
          <w:lang w:val="es-CO"/>
        </w:rPr>
        <w:t xml:space="preserve">Tabla </w:t>
      </w:r>
      <w:r w:rsidRPr="0013707D">
        <w:rPr>
          <w:rFonts w:ascii="Bookman Old Style" w:hAnsi="Bookman Old Style"/>
          <w:b/>
          <w:i/>
          <w:color w:val="000000" w:themeColor="text1"/>
          <w:sz w:val="24"/>
          <w:szCs w:val="24"/>
          <w:lang w:val="es-CO"/>
        </w:rPr>
        <w:fldChar w:fldCharType="begin"/>
      </w:r>
      <w:r w:rsidRPr="0013707D">
        <w:rPr>
          <w:rFonts w:ascii="Bookman Old Style" w:hAnsi="Bookman Old Style"/>
          <w:b/>
          <w:color w:val="000000" w:themeColor="text1"/>
          <w:sz w:val="24"/>
          <w:szCs w:val="24"/>
          <w:lang w:val="es-CO"/>
        </w:rPr>
        <w:instrText xml:space="preserve"> SEQ Tabla \* ARABIC </w:instrText>
      </w:r>
      <w:r w:rsidRPr="0013707D">
        <w:rPr>
          <w:rFonts w:ascii="Bookman Old Style" w:hAnsi="Bookman Old Style"/>
          <w:b/>
          <w:i/>
          <w:color w:val="000000" w:themeColor="text1"/>
          <w:sz w:val="24"/>
          <w:szCs w:val="24"/>
          <w:lang w:val="es-CO"/>
        </w:rPr>
        <w:fldChar w:fldCharType="separate"/>
      </w:r>
      <w:r w:rsidR="00636B6A">
        <w:rPr>
          <w:rFonts w:ascii="Bookman Old Style" w:hAnsi="Bookman Old Style"/>
          <w:b/>
          <w:noProof/>
          <w:color w:val="000000" w:themeColor="text1"/>
          <w:sz w:val="24"/>
          <w:szCs w:val="24"/>
          <w:lang w:val="es-CO"/>
        </w:rPr>
        <w:t>3</w:t>
      </w:r>
      <w:r w:rsidRPr="0013707D">
        <w:rPr>
          <w:rFonts w:ascii="Bookman Old Style" w:hAnsi="Bookman Old Style"/>
          <w:b/>
          <w:i/>
          <w:color w:val="000000" w:themeColor="text1"/>
          <w:sz w:val="24"/>
          <w:szCs w:val="24"/>
          <w:lang w:val="es-CO"/>
        </w:rPr>
        <w:fldChar w:fldCharType="end"/>
      </w:r>
      <w:bookmarkEnd w:id="155"/>
      <w:r w:rsidRPr="0013707D">
        <w:rPr>
          <w:rFonts w:ascii="Bookman Old Style" w:hAnsi="Bookman Old Style"/>
          <w:b/>
          <w:color w:val="000000" w:themeColor="text1"/>
          <w:sz w:val="24"/>
          <w:szCs w:val="24"/>
          <w:lang w:val="es-CO"/>
        </w:rPr>
        <w:t>. Cantidad total de energía disponible</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518"/>
        <w:gridCol w:w="4394"/>
      </w:tblGrid>
      <w:tr w:rsidR="0006302B" w:rsidRPr="0013707D" w14:paraId="1E610F74" w14:textId="77777777" w:rsidTr="00341DAD">
        <w:tc>
          <w:tcPr>
            <w:tcW w:w="2518" w:type="dxa"/>
            <w:vAlign w:val="center"/>
          </w:tcPr>
          <w:p w14:paraId="21D227F4" w14:textId="3FA88393" w:rsidR="0006302B" w:rsidRPr="0013707D" w:rsidRDefault="00920585" w:rsidP="00341DAD">
            <w:pPr>
              <w:ind w:left="0"/>
              <w:jc w:val="center"/>
              <w:rPr>
                <w:rFonts w:ascii="Bookman Old Style" w:hAnsi="Bookman Old Style" w:cs="Arial"/>
                <w:b/>
                <w:bCs/>
                <w:color w:val="000000" w:themeColor="text1"/>
                <w:lang w:val="es-CO" w:eastAsia="x-none"/>
              </w:rPr>
            </w:pPr>
            <w:r>
              <w:rPr>
                <w:rFonts w:ascii="Bookman Old Style" w:hAnsi="Bookman Old Style" w:cs="Arial"/>
                <w:b/>
                <w:bCs/>
                <w:color w:val="000000" w:themeColor="text1"/>
                <w:lang w:val="es-CO" w:eastAsia="x-none"/>
              </w:rPr>
              <w:t>Punto de entrega</w:t>
            </w:r>
          </w:p>
        </w:tc>
        <w:tc>
          <w:tcPr>
            <w:tcW w:w="4394" w:type="dxa"/>
            <w:vAlign w:val="center"/>
          </w:tcPr>
          <w:p w14:paraId="16538D51" w14:textId="77777777" w:rsidR="0006302B" w:rsidRPr="0013707D" w:rsidRDefault="0006302B" w:rsidP="00341DAD">
            <w:pPr>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Cantidad total, </w:t>
            </w:r>
            <m:oMath>
              <m:sSub>
                <m:sSubPr>
                  <m:ctrlPr>
                    <w:rPr>
                      <w:rFonts w:ascii="Cambria Math" w:hAnsi="Cambria Math" w:cs="Arial"/>
                      <w:b/>
                      <w:bCs/>
                      <w:i/>
                      <w:color w:val="000000" w:themeColor="text1"/>
                      <w:lang w:val="es-CO" w:eastAsia="x-none"/>
                    </w:rPr>
                  </m:ctrlPr>
                </m:sSubPr>
                <m:e>
                  <m:r>
                    <m:rPr>
                      <m:sty m:val="bi"/>
                    </m:rPr>
                    <w:rPr>
                      <w:rFonts w:ascii="Cambria Math" w:hAnsi="Cambria Math" w:cs="Arial"/>
                      <w:color w:val="000000" w:themeColor="text1"/>
                      <w:lang w:val="es-CO" w:eastAsia="x-none"/>
                    </w:rPr>
                    <m:t>Q</m:t>
                  </m:r>
                </m:e>
                <m:sub>
                  <m:sSub>
                    <m:sSubPr>
                      <m:ctrlPr>
                        <w:rPr>
                          <w:rFonts w:ascii="Cambria Math" w:hAnsi="Cambria Math" w:cs="Arial"/>
                          <w:b/>
                          <w:bCs/>
                          <w:i/>
                          <w:color w:val="000000" w:themeColor="text1"/>
                          <w:lang w:val="es-CO" w:eastAsia="x-none"/>
                        </w:rPr>
                      </m:ctrlPr>
                    </m:sSubPr>
                    <m:e>
                      <m:r>
                        <m:rPr>
                          <m:sty m:val="bi"/>
                        </m:rPr>
                        <w:rPr>
                          <w:rFonts w:ascii="Cambria Math" w:hAnsi="Cambria Math" w:cs="Arial"/>
                          <w:color w:val="000000" w:themeColor="text1"/>
                          <w:lang w:val="es-CO" w:eastAsia="x-none"/>
                        </w:rPr>
                        <m:t>E</m:t>
                      </m:r>
                    </m:e>
                    <m:sub>
                      <m:r>
                        <m:rPr>
                          <m:sty m:val="bi"/>
                        </m:rPr>
                        <w:rPr>
                          <w:rFonts w:ascii="Cambria Math" w:hAnsi="Cambria Math" w:cs="Arial"/>
                          <w:color w:val="000000" w:themeColor="text1"/>
                          <w:lang w:val="es-CO" w:eastAsia="x-none"/>
                        </w:rPr>
                        <m:t>e</m:t>
                      </m:r>
                    </m:sub>
                  </m:sSub>
                </m:sub>
              </m:sSub>
            </m:oMath>
          </w:p>
        </w:tc>
      </w:tr>
      <w:tr w:rsidR="0006302B" w:rsidRPr="0013707D" w14:paraId="1E1A21E6" w14:textId="77777777" w:rsidTr="00341DAD">
        <w:trPr>
          <w:trHeight w:val="837"/>
        </w:trPr>
        <w:tc>
          <w:tcPr>
            <w:tcW w:w="2518" w:type="dxa"/>
            <w:vAlign w:val="center"/>
          </w:tcPr>
          <w:p w14:paraId="0C9AA35F" w14:textId="77777777" w:rsidR="0006302B" w:rsidRPr="0013707D" w:rsidRDefault="0006302B" w:rsidP="00341DAD">
            <w:pPr>
              <w:pStyle w:val="Textoindependiente"/>
              <w:ind w:left="0"/>
              <w:jc w:val="left"/>
              <w:rPr>
                <w:rFonts w:ascii="Bookman Old Style" w:hAnsi="Bookman Old Style"/>
                <w:b w:val="0"/>
                <w:color w:val="000000" w:themeColor="text1"/>
                <w:lang w:val="es-CO"/>
              </w:rPr>
            </w:pPr>
            <m:oMathPara>
              <m:oMath>
                <m:r>
                  <m:rPr>
                    <m:sty m:val="bi"/>
                  </m:rPr>
                  <w:rPr>
                    <w:rFonts w:ascii="Cambria Math" w:hAnsi="Cambria Math"/>
                    <w:color w:val="000000" w:themeColor="text1"/>
                    <w:lang w:val="es-CO"/>
                  </w:rPr>
                  <m:t>e</m:t>
                </m:r>
              </m:oMath>
            </m:oMathPara>
          </w:p>
        </w:tc>
        <w:tc>
          <w:tcPr>
            <w:tcW w:w="4394" w:type="dxa"/>
            <w:vAlign w:val="center"/>
          </w:tcPr>
          <w:p w14:paraId="237A18E7" w14:textId="77777777" w:rsidR="0006302B" w:rsidRPr="0013707D" w:rsidRDefault="00FB7B28" w:rsidP="00341DAD">
            <w:pPr>
              <w:ind w:left="0"/>
              <w:rPr>
                <w:rFonts w:ascii="Bookman Old Style" w:hAnsi="Bookman Old Style" w:cs="Arial"/>
                <w:i/>
                <w:color w:val="000000" w:themeColor="text1"/>
                <w:lang w:val="es-CO"/>
              </w:rPr>
            </w:pPr>
            <m:oMathPara>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sub>
                </m:sSub>
                <m:r>
                  <w:rPr>
                    <w:rFonts w:ascii="Cambria Math" w:hAnsi="Cambria Math" w:cs="Arial"/>
                    <w:color w:val="000000" w:themeColor="text1"/>
                    <w:lang w:val="es-CO"/>
                  </w:rPr>
                  <m:t>=</m:t>
                </m:r>
                <m:nary>
                  <m:naryPr>
                    <m:chr m:val="∑"/>
                    <m:limLoc m:val="undOvr"/>
                    <m:supHide m:val="1"/>
                    <m:ctrlPr>
                      <w:rPr>
                        <w:rFonts w:ascii="Cambria Math" w:hAnsi="Cambria Math" w:cs="Arial"/>
                        <w:i/>
                        <w:color w:val="000000" w:themeColor="text1"/>
                        <w:lang w:val="es-CO"/>
                      </w:rPr>
                    </m:ctrlPr>
                  </m:naryPr>
                  <m:sub>
                    <m:r>
                      <w:rPr>
                        <w:rFonts w:ascii="Cambria Math" w:hAnsi="Cambria Math" w:cs="Arial"/>
                        <w:color w:val="000000" w:themeColor="text1"/>
                        <w:lang w:val="es-CO"/>
                      </w:rPr>
                      <m:t>s</m:t>
                    </m:r>
                  </m:sub>
                  <m:sup/>
                  <m:e>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e>
                </m:nary>
                <m:r>
                  <w:rPr>
                    <w:rFonts w:ascii="Cambria Math" w:hAnsi="Cambria Math" w:cs="Arial"/>
                    <w:color w:val="000000" w:themeColor="text1"/>
                    <w:lang w:val="es-CO"/>
                  </w:rPr>
                  <m:t>-</m:t>
                </m:r>
                <m:nary>
                  <m:naryPr>
                    <m:chr m:val="∑"/>
                    <m:limLoc m:val="undOvr"/>
                    <m:supHide m:val="1"/>
                    <m:ctrlPr>
                      <w:rPr>
                        <w:rFonts w:ascii="Cambria Math" w:hAnsi="Cambria Math" w:cs="Arial"/>
                        <w:i/>
                        <w:color w:val="000000" w:themeColor="text1"/>
                        <w:lang w:val="es-CO"/>
                      </w:rPr>
                    </m:ctrlPr>
                  </m:naryPr>
                  <m:sub>
                    <m:r>
                      <w:rPr>
                        <w:rFonts w:ascii="Cambria Math" w:hAnsi="Cambria Math" w:cs="Arial"/>
                        <w:color w:val="000000" w:themeColor="text1"/>
                        <w:lang w:val="es-CO"/>
                      </w:rPr>
                      <m:t>t</m:t>
                    </m:r>
                  </m:sub>
                  <m:sup/>
                  <m:e>
                    <m:sSub>
                      <m:sSubPr>
                        <m:ctrlPr>
                          <w:rPr>
                            <w:rFonts w:ascii="Cambria Math" w:hAnsi="Cambria Math" w:cs="Arial"/>
                            <w:i/>
                            <w:color w:val="000000" w:themeColor="text1"/>
                            <w:lang w:val="es-CO"/>
                          </w:rPr>
                        </m:ctrlPr>
                      </m:sSubPr>
                      <m:e>
                        <m:acc>
                          <m:accPr>
                            <m:ctrlPr>
                              <w:rPr>
                                <w:rFonts w:ascii="Cambria Math" w:hAnsi="Cambria Math" w:cs="Arial"/>
                                <w:bCs/>
                                <w:i/>
                                <w:color w:val="000000" w:themeColor="text1"/>
                                <w:lang w:val="es-CO"/>
                              </w:rPr>
                            </m:ctrlPr>
                          </m:accPr>
                          <m:e>
                            <m:r>
                              <w:rPr>
                                <w:rFonts w:ascii="Cambria Math" w:hAnsi="Cambria Math" w:cs="Arial"/>
                                <w:color w:val="000000" w:themeColor="text1"/>
                                <w:lang w:val="es-CO"/>
                              </w:rPr>
                              <m:t>Q</m:t>
                            </m:r>
                          </m:e>
                        </m:acc>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e,t</m:t>
                            </m:r>
                          </m:sub>
                        </m:sSub>
                      </m:sub>
                    </m:sSub>
                  </m:e>
                </m:nary>
              </m:oMath>
            </m:oMathPara>
          </w:p>
        </w:tc>
      </w:tr>
    </w:tbl>
    <w:p w14:paraId="6B932F12" w14:textId="77777777" w:rsidR="0006302B" w:rsidRPr="0013707D" w:rsidRDefault="0006302B" w:rsidP="0006302B">
      <w:pPr>
        <w:pStyle w:val="Textoindependiente"/>
        <w:ind w:left="0"/>
        <w:jc w:val="both"/>
        <w:rPr>
          <w:rFonts w:ascii="Bookman Old Style" w:hAnsi="Bookman Old Style"/>
          <w:b w:val="0"/>
          <w:bCs w:val="0"/>
          <w:color w:val="000000" w:themeColor="text1"/>
          <w:lang w:val="es-CO"/>
        </w:rPr>
      </w:pPr>
    </w:p>
    <w:p w14:paraId="0881C06D"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74BFC4E0"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7BF0B6D0"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5CA24A10"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5900356E"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t>Donde:</w:t>
      </w:r>
    </w:p>
    <w:p w14:paraId="780EB332" w14:textId="77777777" w:rsidR="0006302B" w:rsidRPr="0013707D" w:rsidRDefault="0006302B" w:rsidP="0006302B">
      <w:pPr>
        <w:rPr>
          <w:rFonts w:ascii="Bookman Old Style" w:hAnsi="Bookman Old Style"/>
          <w:lang w:val="es-CO"/>
        </w:rPr>
      </w:pPr>
    </w:p>
    <w:p w14:paraId="66FD7721" w14:textId="77777777" w:rsidR="0006302B" w:rsidRPr="0013707D" w:rsidRDefault="00FB7B28" w:rsidP="0006302B">
      <w:pPr>
        <w:ind w:left="1134" w:hanging="1134"/>
        <w:jc w:val="both"/>
        <w:rPr>
          <w:rFonts w:ascii="Bookman Old Style" w:hAnsi="Bookman Old Style"/>
          <w:lang w:val="es-CO"/>
        </w:rPr>
      </w:pPr>
      <m:oMath>
        <m:sSub>
          <m:sSubPr>
            <m:ctrlPr>
              <w:rPr>
                <w:rFonts w:ascii="Cambria Math" w:hAnsi="Cambria Math"/>
                <w:bCs/>
                <w:i/>
                <w:lang w:val="es-CO" w:eastAsia="x-none"/>
              </w:rPr>
            </m:ctrlPr>
          </m:sSubPr>
          <m:e>
            <m:r>
              <w:rPr>
                <w:rFonts w:ascii="Cambria Math" w:hAnsi="Cambria Math"/>
                <w:lang w:val="es-CO" w:eastAsia="x-none"/>
              </w:rPr>
              <m:t>Q</m:t>
            </m:r>
          </m:e>
          <m:sub>
            <m:sSub>
              <m:sSubPr>
                <m:ctrlPr>
                  <w:rPr>
                    <w:rFonts w:ascii="Cambria Math" w:hAnsi="Cambria Math"/>
                    <w:bCs/>
                    <w:i/>
                    <w:lang w:val="es-CO" w:eastAsia="x-none"/>
                  </w:rPr>
                </m:ctrlPr>
              </m:sSubPr>
              <m:e>
                <m:r>
                  <w:rPr>
                    <w:rFonts w:ascii="Cambria Math" w:hAnsi="Cambria Math"/>
                    <w:lang w:val="es-CO" w:eastAsia="x-none"/>
                  </w:rPr>
                  <m:t>E</m:t>
                </m:r>
              </m:e>
              <m:sub>
                <m:r>
                  <w:rPr>
                    <w:rFonts w:ascii="Cambria Math" w:hAnsi="Cambria Math"/>
                    <w:lang w:val="es-CO" w:eastAsia="x-none"/>
                  </w:rPr>
                  <m:t>e</m:t>
                </m:r>
              </m:sub>
            </m:sSub>
          </m:sub>
        </m:sSub>
      </m:oMath>
      <w:r w:rsidR="0006302B" w:rsidRPr="0013707D">
        <w:rPr>
          <w:rFonts w:ascii="Bookman Old Style" w:hAnsi="Bookman Old Style"/>
          <w:lang w:val="es-CO"/>
        </w:rPr>
        <w:t>:</w:t>
      </w:r>
      <w:r w:rsidR="0006302B" w:rsidRPr="0013707D">
        <w:rPr>
          <w:rFonts w:ascii="Bookman Old Style" w:hAnsi="Bookman Old Style"/>
          <w:lang w:val="es-CO"/>
        </w:rPr>
        <w:tab/>
        <w:t xml:space="preserve">Cantidad total de energía disponible para el siguiente día de gas con entrega en </w:t>
      </w:r>
      <m:oMath>
        <m:r>
          <w:rPr>
            <w:rFonts w:ascii="Cambria Math" w:hAnsi="Cambria Math"/>
            <w:lang w:val="es-CO"/>
          </w:rPr>
          <m:t>e</m:t>
        </m:r>
      </m:oMath>
      <w:r w:rsidR="0006302B" w:rsidRPr="0013707D">
        <w:rPr>
          <w:rFonts w:ascii="Bookman Old Style" w:hAnsi="Bookman Old Style"/>
          <w:lang w:val="es-CO"/>
        </w:rPr>
        <w:t>. Este valor se expresará en MBTUD.</w:t>
      </w:r>
    </w:p>
    <w:p w14:paraId="24D01178" w14:textId="77777777" w:rsidR="0006302B" w:rsidRPr="0013707D" w:rsidRDefault="0006302B" w:rsidP="0006302B">
      <w:pPr>
        <w:jc w:val="both"/>
        <w:rPr>
          <w:rFonts w:ascii="Bookman Old Style" w:hAnsi="Bookman Old Style"/>
          <w:lang w:val="es-CO"/>
        </w:rPr>
      </w:pPr>
    </w:p>
    <w:p w14:paraId="5D3AF252" w14:textId="77777777" w:rsidR="0006302B" w:rsidRPr="0013707D" w:rsidRDefault="00FB7B28" w:rsidP="0006302B">
      <w:pPr>
        <w:ind w:left="1134" w:hanging="1134"/>
        <w:jc w:val="both"/>
        <w:rPr>
          <w:rFonts w:ascii="Bookman Old Style" w:hAnsi="Bookman Old Style" w:cs="Arial"/>
          <w:i/>
          <w:color w:val="000000" w:themeColor="text1"/>
          <w:lang w:val="es-CO"/>
        </w:rPr>
      </w:pP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no nominada para el siguiente día de gas con entrega en </w:t>
      </w:r>
      <m:oMath>
        <m:r>
          <w:rPr>
            <w:rFonts w:ascii="Cambria Math" w:hAnsi="Cambria Math" w:cs="Arial"/>
            <w:color w:val="000000" w:themeColor="text1"/>
            <w:lang w:val="es-CO"/>
          </w:rPr>
          <m:t>e</m:t>
        </m:r>
      </m:oMath>
      <w:r w:rsidR="0006302B" w:rsidRPr="0013707D">
        <w:rPr>
          <w:rFonts w:ascii="Bookman Old Style" w:hAnsi="Bookman Old Style" w:cs="Arial"/>
          <w:color w:val="000000" w:themeColor="text1"/>
          <w:lang w:val="es-CO"/>
        </w:rPr>
        <w:t xml:space="preserve"> y cuyo titular es </w:t>
      </w:r>
      <m:oMath>
        <m:r>
          <w:rPr>
            <w:rFonts w:ascii="Cambria Math" w:hAnsi="Cambria Math" w:cs="Arial"/>
            <w:color w:val="000000" w:themeColor="text1"/>
            <w:lang w:val="es-CO"/>
          </w:rPr>
          <m:t>s</m:t>
        </m:r>
      </m:oMath>
      <w:r w:rsidR="0006302B" w:rsidRPr="0013707D">
        <w:rPr>
          <w:rFonts w:ascii="Bookman Old Style" w:hAnsi="Bookman Old Style" w:cs="Arial"/>
          <w:i/>
          <w:color w:val="000000" w:themeColor="text1"/>
          <w:lang w:val="es-CO"/>
        </w:rPr>
        <w:t>.</w:t>
      </w:r>
      <w:r w:rsidR="0006302B" w:rsidRPr="0013707D">
        <w:rPr>
          <w:rFonts w:ascii="Bookman Old Style" w:hAnsi="Bookman Old Style" w:cs="Arial"/>
          <w:color w:val="000000" w:themeColor="text1"/>
          <w:lang w:val="es-CO"/>
        </w:rPr>
        <w:t xml:space="preserve"> Incluye la energía no nominada por parte de los generadores térmicos titulares de derechos de suministro de gas. Este valor se expresará en MBTUD.</w:t>
      </w:r>
    </w:p>
    <w:p w14:paraId="396F29CD" w14:textId="77777777" w:rsidR="0006302B" w:rsidRPr="0013707D" w:rsidRDefault="0006302B" w:rsidP="0006302B">
      <w:pPr>
        <w:rPr>
          <w:rFonts w:ascii="Bookman Old Style" w:hAnsi="Bookman Old Style"/>
          <w:lang w:val="es-CO"/>
        </w:rPr>
      </w:pPr>
    </w:p>
    <w:p w14:paraId="78A37A88" w14:textId="77777777" w:rsidR="0006302B" w:rsidRPr="0013707D" w:rsidRDefault="00FB7B28" w:rsidP="0006302B">
      <w:pPr>
        <w:ind w:left="1134" w:hanging="1134"/>
        <w:jc w:val="both"/>
        <w:rPr>
          <w:rFonts w:ascii="Bookman Old Style" w:hAnsi="Bookman Old Style" w:cs="Arial"/>
          <w:i/>
          <w:color w:val="000000" w:themeColor="text1"/>
          <w:lang w:val="es-CO"/>
        </w:rPr>
      </w:pPr>
      <m:oMath>
        <m:sSub>
          <m:sSubPr>
            <m:ctrlPr>
              <w:rPr>
                <w:rFonts w:ascii="Cambria Math" w:hAnsi="Cambria Math" w:cs="Arial"/>
                <w:b/>
                <w:i/>
                <w:color w:val="000000" w:themeColor="text1"/>
                <w:lang w:val="es-CO"/>
              </w:rPr>
            </m:ctrlPr>
          </m:sSubPr>
          <m:e>
            <m:acc>
              <m:accPr>
                <m:ctrlPr>
                  <w:rPr>
                    <w:rFonts w:ascii="Cambria Math" w:hAnsi="Cambria Math" w:cs="Arial"/>
                    <w:bCs/>
                    <w:i/>
                    <w:color w:val="000000" w:themeColor="text1"/>
                    <w:lang w:val="es-CO"/>
                  </w:rPr>
                </m:ctrlPr>
              </m:accPr>
              <m:e>
                <m:r>
                  <w:rPr>
                    <w:rFonts w:ascii="Cambria Math" w:hAnsi="Cambria Math" w:cs="Arial"/>
                    <w:color w:val="000000" w:themeColor="text1"/>
                    <w:lang w:val="es-CO"/>
                  </w:rPr>
                  <m:t>Q</m:t>
                </m:r>
              </m:e>
            </m:acc>
          </m:e>
          <m:sub>
            <m:sSub>
              <m:sSubPr>
                <m:ctrlPr>
                  <w:rPr>
                    <w:rFonts w:ascii="Cambria Math" w:hAnsi="Cambria Math" w:cs="Arial"/>
                    <w:b/>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r>
                  <m:rPr>
                    <m:sty m:val="bi"/>
                  </m:rPr>
                  <w:rPr>
                    <w:rFonts w:ascii="Cambria Math" w:hAnsi="Cambria Math" w:cs="Arial"/>
                    <w:color w:val="000000" w:themeColor="text1"/>
                    <w:lang w:val="es-CO"/>
                  </w:rPr>
                  <m:t>t</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no nominada para el siguiente día de gas con entrega en </w:t>
      </w:r>
      <m:oMath>
        <m:r>
          <w:rPr>
            <w:rFonts w:ascii="Cambria Math" w:hAnsi="Cambria Math" w:cs="Arial"/>
            <w:color w:val="000000" w:themeColor="text1"/>
            <w:lang w:val="es-CO"/>
          </w:rPr>
          <m:t>e</m:t>
        </m:r>
      </m:oMath>
      <w:r w:rsidR="0006302B" w:rsidRPr="0013707D">
        <w:rPr>
          <w:rFonts w:ascii="Bookman Old Style" w:hAnsi="Bookman Old Style" w:cs="Arial"/>
          <w:color w:val="000000" w:themeColor="text1"/>
          <w:lang w:val="es-CO"/>
        </w:rPr>
        <w:t xml:space="preserve"> y cuyo titular es el generador térmico </w:t>
      </w:r>
      <m:oMath>
        <m:r>
          <w:rPr>
            <w:rFonts w:ascii="Cambria Math" w:hAnsi="Cambria Math" w:cs="Arial"/>
            <w:color w:val="000000" w:themeColor="text1"/>
            <w:lang w:val="es-CO"/>
          </w:rPr>
          <m:t>t</m:t>
        </m:r>
      </m:oMath>
      <w:r w:rsidR="0006302B" w:rsidRPr="0013707D">
        <w:rPr>
          <w:rFonts w:ascii="Bookman Old Style" w:hAnsi="Bookman Old Style" w:cs="Arial"/>
          <w:color w:val="000000" w:themeColor="text1"/>
          <w:lang w:val="es-CO"/>
        </w:rPr>
        <w:t>, la cual no está disponible para la subasta. Este valor se expresará en MBTUD.</w:t>
      </w:r>
    </w:p>
    <w:p w14:paraId="32A0A42D"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p>
    <w:p w14:paraId="57C7140F" w14:textId="77777777" w:rsidR="0006302B" w:rsidRPr="0013707D" w:rsidRDefault="0006302B" w:rsidP="00A4790E">
      <w:pPr>
        <w:pStyle w:val="Prrafodelista"/>
        <w:numPr>
          <w:ilvl w:val="1"/>
          <w:numId w:val="83"/>
        </w:numPr>
        <w:ind w:left="567" w:hanging="567"/>
        <w:rPr>
          <w:rFonts w:ascii="Bookman Old Style" w:hAnsi="Bookman Old Style"/>
          <w:color w:val="000000" w:themeColor="text1"/>
          <w:sz w:val="24"/>
          <w:szCs w:val="24"/>
        </w:rPr>
      </w:pPr>
      <w:bookmarkStart w:id="156" w:name="_Ref336941061"/>
      <w:r w:rsidRPr="0013707D">
        <w:rPr>
          <w:rFonts w:ascii="Bookman Old Style" w:hAnsi="Bookman Old Style"/>
          <w:color w:val="000000" w:themeColor="text1"/>
          <w:sz w:val="24"/>
          <w:szCs w:val="24"/>
        </w:rPr>
        <w:t>Recibo de las solicitudes de compra</w:t>
      </w:r>
      <w:bookmarkEnd w:id="156"/>
    </w:p>
    <w:p w14:paraId="0B5968C1"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p>
    <w:p w14:paraId="00147DC6" w14:textId="4C3080A0"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A</w:t>
      </w:r>
      <w:r w:rsidRPr="0013707D">
        <w:rPr>
          <w:rFonts w:ascii="Bookman Old Style" w:hAnsi="Bookman Old Style"/>
          <w:color w:val="000000" w:themeColor="text1"/>
          <w:lang w:val="es-CO"/>
        </w:rPr>
        <w:t xml:space="preserve"> más tardar a las 16:35 horas del Día D-1, los compradores de gas natural que están</w:t>
      </w:r>
      <w:r>
        <w:rPr>
          <w:rFonts w:ascii="Bookman Old Style" w:hAnsi="Bookman Old Style"/>
          <w:color w:val="000000" w:themeColor="text1"/>
          <w:lang w:val="es-CO"/>
        </w:rPr>
        <w:t xml:space="preserve"> quieran adquirir</w:t>
      </w:r>
      <w:r w:rsidRPr="0013707D">
        <w:rPr>
          <w:rFonts w:ascii="Bookman Old Style" w:hAnsi="Bookman Old Style"/>
          <w:color w:val="000000" w:themeColor="text1"/>
          <w:lang w:val="es-CO"/>
        </w:rPr>
        <w:t xml:space="preserve"> cantidades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13707D">
        <w:rPr>
          <w:rFonts w:ascii="Bookman Old Style" w:hAnsi="Bookman Old Style"/>
          <w:color w:val="000000" w:themeColor="text1"/>
          <w:lang w:val="es-CO"/>
        </w:rPr>
        <w:t xml:space="preserve"> enviarán sus solicitudes de compra al administrador de las subastas.</w:t>
      </w:r>
      <w:r w:rsidRPr="0013707D">
        <w:rPr>
          <w:rFonts w:ascii="Bookman Old Style" w:hAnsi="Bookman Old Style" w:cs="Arial"/>
          <w:color w:val="000000" w:themeColor="text1"/>
          <w:lang w:val="es-CO"/>
        </w:rPr>
        <w:t xml:space="preserve"> Para estos efectos le presentarán cinco (5) puntos de su curva de demanda, según lo señalado en la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_Ref336592874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w:t>
      </w:r>
    </w:p>
    <w:p w14:paraId="3467CD12" w14:textId="2FC295AB" w:rsidR="0006302B" w:rsidRPr="0013707D" w:rsidRDefault="0006302B" w:rsidP="0006302B">
      <w:pPr>
        <w:pStyle w:val="Descripcin"/>
        <w:keepNext/>
        <w:spacing w:after="0"/>
        <w:rPr>
          <w:rFonts w:ascii="Bookman Old Style" w:hAnsi="Bookman Old Style"/>
          <w:color w:val="000000" w:themeColor="text1"/>
          <w:lang w:val="es-CO"/>
        </w:rPr>
      </w:pPr>
      <w:bookmarkStart w:id="157" w:name="_Ref336592874"/>
      <w:r w:rsidRPr="0013707D">
        <w:rPr>
          <w:rFonts w:ascii="Bookman Old Style" w:hAnsi="Bookman Old Style"/>
          <w:b/>
          <w:color w:val="000000" w:themeColor="text1"/>
          <w:sz w:val="24"/>
          <w:szCs w:val="24"/>
          <w:lang w:val="es-CO"/>
        </w:rPr>
        <w:t xml:space="preserve">Tabla </w:t>
      </w:r>
      <w:r w:rsidRPr="0013707D">
        <w:rPr>
          <w:rFonts w:ascii="Bookman Old Style" w:hAnsi="Bookman Old Style"/>
          <w:b/>
          <w:i/>
          <w:color w:val="000000" w:themeColor="text1"/>
          <w:sz w:val="24"/>
          <w:szCs w:val="24"/>
          <w:lang w:val="es-CO"/>
        </w:rPr>
        <w:fldChar w:fldCharType="begin"/>
      </w:r>
      <w:r w:rsidRPr="0013707D">
        <w:rPr>
          <w:rFonts w:ascii="Bookman Old Style" w:hAnsi="Bookman Old Style"/>
          <w:b/>
          <w:color w:val="000000" w:themeColor="text1"/>
          <w:sz w:val="24"/>
          <w:szCs w:val="24"/>
          <w:lang w:val="es-CO"/>
        </w:rPr>
        <w:instrText xml:space="preserve"> SEQ Tabla \* ARABIC </w:instrText>
      </w:r>
      <w:r w:rsidRPr="0013707D">
        <w:rPr>
          <w:rFonts w:ascii="Bookman Old Style" w:hAnsi="Bookman Old Style"/>
          <w:b/>
          <w:i/>
          <w:color w:val="000000" w:themeColor="text1"/>
          <w:sz w:val="24"/>
          <w:szCs w:val="24"/>
          <w:lang w:val="es-CO"/>
        </w:rPr>
        <w:fldChar w:fldCharType="separate"/>
      </w:r>
      <w:r w:rsidR="00636B6A">
        <w:rPr>
          <w:rFonts w:ascii="Bookman Old Style" w:hAnsi="Bookman Old Style"/>
          <w:b/>
          <w:noProof/>
          <w:color w:val="000000" w:themeColor="text1"/>
          <w:sz w:val="24"/>
          <w:szCs w:val="24"/>
          <w:lang w:val="es-CO"/>
        </w:rPr>
        <w:t>4</w:t>
      </w:r>
      <w:r w:rsidRPr="0013707D">
        <w:rPr>
          <w:rFonts w:ascii="Bookman Old Style" w:hAnsi="Bookman Old Style"/>
          <w:b/>
          <w:i/>
          <w:color w:val="000000" w:themeColor="text1"/>
          <w:sz w:val="24"/>
          <w:szCs w:val="24"/>
          <w:lang w:val="es-CO"/>
        </w:rPr>
        <w:fldChar w:fldCharType="end"/>
      </w:r>
      <w:bookmarkEnd w:id="157"/>
      <w:r w:rsidRPr="0013707D">
        <w:rPr>
          <w:rFonts w:ascii="Bookman Old Style" w:hAnsi="Bookman Old Style"/>
          <w:b/>
          <w:color w:val="000000" w:themeColor="text1"/>
          <w:sz w:val="24"/>
          <w:szCs w:val="24"/>
          <w:lang w:val="es-CO"/>
        </w:rPr>
        <w:t xml:space="preserve">. Demanda del comprador </w:t>
      </w:r>
      <m:oMath>
        <m:r>
          <m:rPr>
            <m:sty m:val="bi"/>
          </m:rPr>
          <w:rPr>
            <w:rFonts w:ascii="Cambria Math" w:hAnsi="Cambria Math"/>
            <w:color w:val="000000" w:themeColor="text1"/>
            <w:sz w:val="24"/>
            <w:szCs w:val="24"/>
            <w:lang w:val="es-CO"/>
          </w:rPr>
          <m:t>j</m:t>
        </m:r>
      </m:oMath>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376"/>
        <w:gridCol w:w="2377"/>
        <w:gridCol w:w="2377"/>
      </w:tblGrid>
      <w:tr w:rsidR="0006302B" w:rsidRPr="0013707D" w14:paraId="0FAE089E" w14:textId="77777777" w:rsidTr="00341DAD">
        <w:tc>
          <w:tcPr>
            <w:tcW w:w="2376" w:type="dxa"/>
            <w:vAlign w:val="center"/>
          </w:tcPr>
          <w:p w14:paraId="0D330335"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Preferencia</w:t>
            </w:r>
          </w:p>
        </w:tc>
        <w:tc>
          <w:tcPr>
            <w:tcW w:w="2377" w:type="dxa"/>
            <w:vAlign w:val="center"/>
          </w:tcPr>
          <w:p w14:paraId="790ECFA8"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Cantidad demandada </w:t>
            </w:r>
          </w:p>
        </w:tc>
        <w:tc>
          <w:tcPr>
            <w:tcW w:w="2377" w:type="dxa"/>
            <w:vAlign w:val="center"/>
          </w:tcPr>
          <w:p w14:paraId="48416434"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Precio </w:t>
            </w:r>
          </w:p>
        </w:tc>
      </w:tr>
      <w:tr w:rsidR="0006302B" w:rsidRPr="0013707D" w14:paraId="6681F697" w14:textId="77777777" w:rsidTr="00341DAD">
        <w:tc>
          <w:tcPr>
            <w:tcW w:w="2376" w:type="dxa"/>
            <w:vAlign w:val="center"/>
          </w:tcPr>
          <w:p w14:paraId="228D5431" w14:textId="77777777" w:rsidR="0006302B" w:rsidRPr="0013707D" w:rsidRDefault="0006302B" w:rsidP="00341DAD">
            <w:pPr>
              <w:pStyle w:val="Textoindependiente"/>
              <w:ind w:left="0"/>
              <w:rPr>
                <w:rFonts w:ascii="Bookman Old Style" w:hAnsi="Bookman Old Style"/>
                <w:b w:val="0"/>
                <w:color w:val="000000" w:themeColor="text1"/>
                <w:lang w:val="es-CO"/>
              </w:rPr>
            </w:pPr>
            <m:oMathPara>
              <m:oMath>
                <m:r>
                  <m:rPr>
                    <m:sty m:val="bi"/>
                  </m:rPr>
                  <w:rPr>
                    <w:rFonts w:ascii="Cambria Math" w:hAnsi="Cambria Math"/>
                    <w:color w:val="000000" w:themeColor="text1"/>
                    <w:lang w:val="es-CO"/>
                  </w:rPr>
                  <m:t>i</m:t>
                </m:r>
              </m:oMath>
            </m:oMathPara>
          </w:p>
        </w:tc>
        <w:tc>
          <w:tcPr>
            <w:tcW w:w="2377" w:type="dxa"/>
            <w:vAlign w:val="center"/>
          </w:tcPr>
          <w:p w14:paraId="22E39785"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E</m:t>
                        </m:r>
                      </m:e>
                      <m:sub>
                        <m:r>
                          <w:rPr>
                            <w:rFonts w:ascii="Cambria Math" w:hAnsi="Cambria Math"/>
                            <w:color w:val="000000" w:themeColor="text1"/>
                            <w:lang w:val="es-CO"/>
                          </w:rPr>
                          <m:t>e,j</m:t>
                        </m:r>
                      </m:sub>
                    </m:sSub>
                  </m:sub>
                </m:sSub>
                <m:r>
                  <w:rPr>
                    <w:rFonts w:ascii="Cambria Math" w:hAnsi="Cambria Math"/>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r>
                  <w:rPr>
                    <w:rFonts w:ascii="Cambria Math" w:hAnsi="Cambria Math"/>
                    <w:color w:val="000000" w:themeColor="text1"/>
                    <w:lang w:val="es-CO"/>
                  </w:rPr>
                  <m:t>)</m:t>
                </m:r>
              </m:oMath>
            </m:oMathPara>
          </w:p>
        </w:tc>
        <w:tc>
          <w:tcPr>
            <w:tcW w:w="2377" w:type="dxa"/>
            <w:vAlign w:val="center"/>
          </w:tcPr>
          <w:p w14:paraId="10389A3E" w14:textId="77777777" w:rsidR="0006302B" w:rsidRPr="0013707D" w:rsidRDefault="00FB7B28" w:rsidP="00341DAD">
            <w:pPr>
              <w:ind w:left="0"/>
              <w:jc w:val="center"/>
              <w:rPr>
                <w:rFonts w:ascii="Bookman Old Style" w:hAnsi="Bookman Old Style" w:cs="Arial"/>
                <w:color w:val="000000" w:themeColor="text1"/>
                <w:lang w:val="es-CO"/>
              </w:rPr>
            </w:pPr>
            <m:oMathPara>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m:oMathPara>
          </w:p>
        </w:tc>
      </w:tr>
    </w:tbl>
    <w:p w14:paraId="22DDF64B" w14:textId="77777777" w:rsidR="0006302B" w:rsidRPr="0013707D" w:rsidRDefault="0006302B" w:rsidP="0006302B">
      <w:pPr>
        <w:pStyle w:val="Textoindependiente"/>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br w:type="textWrapping" w:clear="all"/>
      </w:r>
    </w:p>
    <w:p w14:paraId="383E6341" w14:textId="77777777" w:rsidR="0006302B" w:rsidRPr="0013707D" w:rsidRDefault="0006302B" w:rsidP="0006302B">
      <w:pPr>
        <w:pStyle w:val="Textoindependiente"/>
        <w:keepNext/>
        <w:ind w:left="0"/>
        <w:jc w:val="both"/>
        <w:rPr>
          <w:rFonts w:ascii="Bookman Old Style" w:hAnsi="Bookman Old Style"/>
          <w:b w:val="0"/>
          <w:color w:val="000000" w:themeColor="text1"/>
          <w:lang w:val="es-CO"/>
        </w:rPr>
      </w:pPr>
      <w:r w:rsidRPr="0013707D">
        <w:rPr>
          <w:rFonts w:ascii="Bookman Old Style" w:hAnsi="Bookman Old Style"/>
          <w:b w:val="0"/>
          <w:color w:val="000000" w:themeColor="text1"/>
          <w:lang w:val="es-CO"/>
        </w:rPr>
        <w:t>Donde:</w:t>
      </w:r>
    </w:p>
    <w:p w14:paraId="4C727D71" w14:textId="77777777" w:rsidR="0006302B" w:rsidRPr="0013707D" w:rsidRDefault="0006302B" w:rsidP="0006302B">
      <w:pPr>
        <w:ind w:left="1418" w:hanging="1418"/>
        <w:jc w:val="both"/>
        <w:rPr>
          <w:rFonts w:ascii="Bookman Old Style" w:hAnsi="Bookman Old Style"/>
          <w:lang w:val="es-CO"/>
        </w:rPr>
      </w:pPr>
    </w:p>
    <w:p w14:paraId="5F43472B" w14:textId="77777777" w:rsidR="0006302B" w:rsidRPr="0013707D" w:rsidRDefault="0006302B" w:rsidP="0006302B">
      <w:pPr>
        <w:ind w:left="1418" w:hanging="1418"/>
        <w:jc w:val="both"/>
        <w:rPr>
          <w:rFonts w:ascii="Bookman Old Style" w:hAnsi="Bookman Old Style" w:cs="Arial"/>
          <w:lang w:val="es-CO"/>
        </w:rPr>
      </w:pPr>
      <m:oMath>
        <m:r>
          <w:rPr>
            <w:rFonts w:ascii="Cambria Math" w:hAnsi="Cambria Math" w:cs="Arial"/>
            <w:lang w:val="es-CO"/>
          </w:rPr>
          <m:t>i</m:t>
        </m:r>
      </m:oMath>
      <w:r w:rsidRPr="0013707D">
        <w:rPr>
          <w:rFonts w:ascii="Bookman Old Style" w:hAnsi="Bookman Old Style" w:cs="Arial"/>
          <w:lang w:val="es-CO"/>
        </w:rPr>
        <w:t>:</w:t>
      </w:r>
      <w:r w:rsidRPr="0013707D">
        <w:rPr>
          <w:rFonts w:ascii="Bookman Old Style" w:hAnsi="Bookman Old Style" w:cs="Arial"/>
          <w:lang w:val="es-CO"/>
        </w:rPr>
        <w:tab/>
        <w:t xml:space="preserve">Preferencia del comprador </w:t>
      </w:r>
      <m:oMath>
        <m:r>
          <w:rPr>
            <w:rFonts w:ascii="Cambria Math" w:hAnsi="Cambria Math" w:cs="Arial"/>
            <w:lang w:val="es-CO"/>
          </w:rPr>
          <m:t>j</m:t>
        </m:r>
      </m:oMath>
      <w:r w:rsidRPr="0013707D">
        <w:rPr>
          <w:rFonts w:ascii="Bookman Old Style" w:hAnsi="Bookman Old Style" w:cs="Arial"/>
          <w:lang w:val="es-CO"/>
        </w:rPr>
        <w:t xml:space="preserve">. La variable </w:t>
      </w:r>
      <m:oMath>
        <m:r>
          <w:rPr>
            <w:rFonts w:ascii="Cambria Math" w:hAnsi="Cambria Math" w:cs="Arial"/>
            <w:lang w:val="es-CO"/>
          </w:rPr>
          <m:t>i</m:t>
        </m:r>
      </m:oMath>
      <w:r w:rsidRPr="0013707D">
        <w:rPr>
          <w:rFonts w:ascii="Bookman Old Style" w:hAnsi="Bookman Old Style" w:cs="Arial"/>
          <w:lang w:val="es-CO"/>
        </w:rPr>
        <w:t xml:space="preserve"> tomará los valores enteros de uno (1) a cinco (5).</w:t>
      </w:r>
    </w:p>
    <w:p w14:paraId="330E24C6" w14:textId="77777777" w:rsidR="0006302B" w:rsidRPr="0013707D" w:rsidRDefault="0006302B" w:rsidP="0006302B">
      <w:pPr>
        <w:rPr>
          <w:rFonts w:ascii="Bookman Old Style" w:hAnsi="Bookman Old Style"/>
          <w:lang w:val="es-CO"/>
        </w:rPr>
      </w:pPr>
    </w:p>
    <w:p w14:paraId="40A585D7" w14:textId="77777777" w:rsidR="0006302B" w:rsidRPr="0013707D" w:rsidRDefault="00FB7B28" w:rsidP="0006302B">
      <w:pPr>
        <w:ind w:left="1418" w:hanging="1418"/>
        <w:jc w:val="both"/>
        <w:rPr>
          <w:rFonts w:ascii="Bookman Old Style" w:hAnsi="Bookman Old Style" w:cs="Arial"/>
          <w:i/>
          <w:color w:val="000000" w:themeColor="text1"/>
          <w:lang w:val="es-CO"/>
        </w:rPr>
      </w:pP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E</m:t>
                </m:r>
              </m:e>
              <m:sub>
                <m:r>
                  <w:rPr>
                    <w:rFonts w:ascii="Cambria Math" w:hAnsi="Cambria Math"/>
                    <w:color w:val="000000" w:themeColor="text1"/>
                    <w:lang w:val="es-CO"/>
                  </w:rPr>
                  <m:t>e,j</m:t>
                </m:r>
              </m:sub>
            </m:sSub>
          </m:sub>
        </m:sSub>
        <m:r>
          <w:rPr>
            <w:rFonts w:ascii="Cambria Math" w:hAnsi="Cambria Math"/>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r>
          <w:rPr>
            <w:rFonts w:ascii="Cambria Math" w:hAnsi="Cambria Math"/>
            <w:color w:val="000000" w:themeColor="text1"/>
            <w:lang w:val="es-CO"/>
          </w:rPr>
          <m:t>)</m:t>
        </m:r>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que </w:t>
      </w:r>
      <w:r w:rsidR="0006302B" w:rsidRPr="0013707D">
        <w:rPr>
          <w:rFonts w:ascii="Bookman Old Style" w:hAnsi="Bookman Old Style" w:cs="Arial"/>
          <w:color w:val="000000" w:themeColor="text1"/>
          <w:lang w:val="es-CO"/>
        </w:rPr>
        <w:t xml:space="preserve">el comprador </w:t>
      </w:r>
      <m:oMath>
        <m:r>
          <w:rPr>
            <w:rFonts w:ascii="Cambria Math" w:hAnsi="Cambria Math" w:cs="Arial"/>
            <w:color w:val="000000" w:themeColor="text1"/>
            <w:lang w:val="es-CO"/>
          </w:rPr>
          <m:t>j</m:t>
        </m:r>
      </m:oMath>
      <w:r w:rsidR="0006302B" w:rsidRPr="0013707D">
        <w:rPr>
          <w:rFonts w:ascii="Bookman Old Style" w:hAnsi="Bookman Old Style" w:cs="Arial"/>
          <w:color w:val="000000" w:themeColor="text1"/>
          <w:lang w:val="es-CO"/>
        </w:rPr>
        <w:t xml:space="preserve"> está dispuesto a comprar al precio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0006302B" w:rsidRPr="0013707D">
        <w:rPr>
          <w:rFonts w:ascii="Bookman Old Style" w:hAnsi="Bookman Old Style" w:cs="Arial"/>
          <w:color w:val="000000" w:themeColor="text1"/>
          <w:lang w:val="es-CO"/>
        </w:rPr>
        <w:t xml:space="preserve">, según su preferencia </w:t>
      </w:r>
      <m:oMath>
        <m:r>
          <w:rPr>
            <w:rFonts w:ascii="Cambria Math" w:hAnsi="Cambria Math" w:cs="Arial"/>
            <w:color w:val="000000" w:themeColor="text1"/>
            <w:lang w:val="es-CO"/>
          </w:rPr>
          <m:t>i</m:t>
        </m:r>
      </m:oMath>
      <w:r w:rsidR="0006302B" w:rsidRPr="0013707D">
        <w:rPr>
          <w:rFonts w:ascii="Bookman Old Style" w:hAnsi="Bookman Old Style" w:cs="Arial"/>
          <w:color w:val="000000" w:themeColor="text1"/>
          <w:lang w:val="es-CO"/>
        </w:rPr>
        <w:t>. Este valor se expresará en MBTUD.</w:t>
      </w:r>
    </w:p>
    <w:p w14:paraId="290C4EA4" w14:textId="77777777" w:rsidR="0006302B" w:rsidRPr="0013707D" w:rsidRDefault="0006302B" w:rsidP="0006302B">
      <w:pPr>
        <w:autoSpaceDE w:val="0"/>
        <w:autoSpaceDN w:val="0"/>
        <w:adjustRightInd w:val="0"/>
        <w:ind w:left="1418" w:hanging="1418"/>
        <w:jc w:val="both"/>
        <w:rPr>
          <w:rFonts w:ascii="Bookman Old Style" w:hAnsi="Bookman Old Style"/>
          <w:bCs/>
          <w:color w:val="000000" w:themeColor="text1"/>
          <w:lang w:val="es-CO" w:eastAsia="x-none"/>
        </w:rPr>
      </w:pPr>
    </w:p>
    <w:p w14:paraId="5831B2A2" w14:textId="77777777" w:rsidR="0006302B" w:rsidRPr="0013707D" w:rsidRDefault="00FB7B28" w:rsidP="0006302B">
      <w:pPr>
        <w:ind w:left="1418" w:hanging="1418"/>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Precio que el comprador </w:t>
      </w:r>
      <m:oMath>
        <m:r>
          <w:rPr>
            <w:rFonts w:ascii="Cambria Math" w:hAnsi="Cambria Math" w:cs="Arial"/>
            <w:color w:val="000000" w:themeColor="text1"/>
            <w:lang w:val="es-CO"/>
          </w:rPr>
          <m:t>j</m:t>
        </m:r>
      </m:oMath>
      <w:r w:rsidR="0006302B" w:rsidRPr="0013707D">
        <w:rPr>
          <w:rFonts w:ascii="Bookman Old Style" w:hAnsi="Bookman Old Style" w:cs="Arial"/>
          <w:color w:val="000000" w:themeColor="text1"/>
          <w:lang w:val="es-CO"/>
        </w:rPr>
        <w:t xml:space="preserve"> está dispuesto a pagar por la cantidad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E</m:t>
                </m:r>
              </m:e>
              <m:sub>
                <m:r>
                  <w:rPr>
                    <w:rFonts w:ascii="Cambria Math" w:hAnsi="Cambria Math"/>
                    <w:color w:val="000000" w:themeColor="text1"/>
                    <w:lang w:val="es-CO"/>
                  </w:rPr>
                  <m:t>e,j</m:t>
                </m:r>
              </m:sub>
            </m:sSub>
          </m:sub>
        </m:sSub>
        <m:r>
          <w:rPr>
            <w:rFonts w:ascii="Cambria Math" w:hAnsi="Cambria Math"/>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r>
          <w:rPr>
            <w:rFonts w:ascii="Cambria Math" w:hAnsi="Cambria Math"/>
            <w:color w:val="000000" w:themeColor="text1"/>
            <w:lang w:val="es-CO"/>
          </w:rPr>
          <m:t>)</m:t>
        </m:r>
      </m:oMath>
      <w:r w:rsidR="0006302B" w:rsidRPr="0013707D">
        <w:rPr>
          <w:rFonts w:ascii="Bookman Old Style" w:hAnsi="Bookman Old Style" w:cs="Arial"/>
          <w:bCs/>
          <w:color w:val="000000" w:themeColor="text1"/>
          <w:lang w:val="es-CO" w:eastAsia="x-none"/>
        </w:rPr>
        <w:t xml:space="preserve">, </w:t>
      </w:r>
      <w:r w:rsidR="0006302B" w:rsidRPr="0013707D">
        <w:rPr>
          <w:rFonts w:ascii="Bookman Old Style" w:hAnsi="Bookman Old Style" w:cs="Arial"/>
          <w:color w:val="000000" w:themeColor="text1"/>
          <w:lang w:val="es-CO"/>
        </w:rPr>
        <w:t xml:space="preserve">según su preferencia </w:t>
      </w:r>
      <m:oMath>
        <m:r>
          <w:rPr>
            <w:rFonts w:ascii="Cambria Math" w:hAnsi="Cambria Math" w:cs="Arial"/>
            <w:color w:val="000000" w:themeColor="text1"/>
            <w:lang w:val="es-CO"/>
          </w:rPr>
          <m:t>i</m:t>
        </m:r>
      </m:oMath>
      <w:r w:rsidR="0006302B" w:rsidRPr="0013707D">
        <w:rPr>
          <w:rFonts w:ascii="Bookman Old Style" w:hAnsi="Bookman Old Style" w:cs="Arial"/>
          <w:color w:val="000000" w:themeColor="text1"/>
          <w:lang w:val="es-CO"/>
        </w:rPr>
        <w:t>. Este valor se expresará en dólares de los Estados Unidos de América por MBTU.</w:t>
      </w:r>
    </w:p>
    <w:p w14:paraId="059ECE84" w14:textId="77777777" w:rsidR="0006302B" w:rsidRPr="0013707D" w:rsidRDefault="0006302B" w:rsidP="0006302B">
      <w:pPr>
        <w:rPr>
          <w:rFonts w:ascii="Bookman Old Style" w:hAnsi="Bookman Old Style"/>
          <w:lang w:val="es-CO"/>
        </w:rPr>
      </w:pPr>
    </w:p>
    <w:p w14:paraId="38655361"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La cantidad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E</m:t>
                </m:r>
              </m:e>
              <m:sub>
                <m:r>
                  <w:rPr>
                    <w:rFonts w:ascii="Cambria Math" w:hAnsi="Cambria Math"/>
                    <w:color w:val="000000" w:themeColor="text1"/>
                    <w:lang w:val="es-CO"/>
                  </w:rPr>
                  <m:t>e,j</m:t>
                </m:r>
              </m:sub>
            </m:sSub>
          </m:sub>
        </m:sSub>
        <m:r>
          <w:rPr>
            <w:rFonts w:ascii="Cambria Math" w:hAnsi="Cambria Math"/>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r>
          <w:rPr>
            <w:rFonts w:ascii="Cambria Math" w:hAnsi="Cambria Math"/>
            <w:color w:val="000000" w:themeColor="text1"/>
            <w:lang w:val="es-CO"/>
          </w:rPr>
          <m:t>)</m:t>
        </m:r>
      </m:oMath>
      <w:r w:rsidRPr="0013707D">
        <w:rPr>
          <w:rFonts w:ascii="Bookman Old Style" w:hAnsi="Bookman Old Style"/>
          <w:bCs/>
          <w:color w:val="000000" w:themeColor="text1"/>
          <w:lang w:val="es-CO" w:eastAsia="x-none"/>
        </w:rPr>
        <w:t xml:space="preserve"> deberá ser un múltiplo entero de un (1) MBTUD, y deberá ser igual o inferior a la cantidad total de energía disponible,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sub>
        </m:sSub>
      </m:oMath>
      <w:r w:rsidRPr="0013707D">
        <w:rPr>
          <w:rFonts w:ascii="Bookman Old Style" w:hAnsi="Bookman Old Style"/>
          <w:bCs/>
          <w:color w:val="000000" w:themeColor="text1"/>
          <w:lang w:val="es-CO" w:eastAsia="x-none"/>
        </w:rPr>
        <w:t xml:space="preserve">. Por su parte, el precio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Pr="0013707D">
        <w:rPr>
          <w:rFonts w:ascii="Bookman Old Style" w:hAnsi="Bookman Old Style"/>
          <w:color w:val="000000" w:themeColor="text1"/>
          <w:lang w:val="es-CO"/>
        </w:rPr>
        <w:t xml:space="preserve"> </w:t>
      </w:r>
      <w:r w:rsidRPr="0013707D">
        <w:rPr>
          <w:rFonts w:ascii="Bookman Old Style" w:hAnsi="Bookman Old Style"/>
          <w:bCs/>
          <w:color w:val="000000" w:themeColor="text1"/>
          <w:lang w:val="es-CO" w:eastAsia="x-none"/>
        </w:rPr>
        <w:t xml:space="preserve">deberá ser superior o igual a cero (0) y no podrá tener más de dos (2) cifras decimales. </w:t>
      </w:r>
      <w:r w:rsidRPr="0013707D">
        <w:rPr>
          <w:rFonts w:ascii="Bookman Old Style" w:hAnsi="Bookman Old Style" w:cs="Arial"/>
          <w:color w:val="000000" w:themeColor="text1"/>
          <w:lang w:val="es-CO"/>
        </w:rPr>
        <w:t>Las solicitudes de compra que no cumplan con las condiciones indicadas se entenderán como no presentadas.</w:t>
      </w:r>
    </w:p>
    <w:p w14:paraId="223C7746"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p>
    <w:p w14:paraId="04B87367" w14:textId="77777777" w:rsidR="0006302B" w:rsidRPr="0013707D" w:rsidRDefault="0006302B" w:rsidP="00A4790E">
      <w:pPr>
        <w:pStyle w:val="Prrafodelista"/>
        <w:numPr>
          <w:ilvl w:val="1"/>
          <w:numId w:val="83"/>
        </w:numPr>
        <w:ind w:left="567" w:hanging="567"/>
        <w:rPr>
          <w:rFonts w:ascii="Bookman Old Style" w:hAnsi="Bookman Old Style"/>
          <w:color w:val="000000" w:themeColor="text1"/>
          <w:sz w:val="24"/>
          <w:szCs w:val="24"/>
        </w:rPr>
      </w:pPr>
      <w:bookmarkStart w:id="158" w:name="_Ref356570809"/>
      <w:bookmarkStart w:id="159" w:name="_Ref359856708"/>
      <w:r w:rsidRPr="0013707D">
        <w:rPr>
          <w:rFonts w:ascii="Bookman Old Style" w:hAnsi="Bookman Old Style"/>
          <w:color w:val="000000" w:themeColor="text1"/>
          <w:sz w:val="24"/>
          <w:szCs w:val="24"/>
        </w:rPr>
        <w:t>Desarrollo de las subasta</w:t>
      </w:r>
      <w:bookmarkEnd w:id="158"/>
      <w:r w:rsidRPr="0013707D">
        <w:rPr>
          <w:rFonts w:ascii="Bookman Old Style" w:hAnsi="Bookman Old Style"/>
          <w:color w:val="000000" w:themeColor="text1"/>
          <w:sz w:val="24"/>
          <w:szCs w:val="24"/>
        </w:rPr>
        <w:t>s</w:t>
      </w:r>
      <w:bookmarkEnd w:id="159"/>
    </w:p>
    <w:p w14:paraId="332FE806"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p>
    <w:p w14:paraId="4FE4EB19"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 xml:space="preserve">Entre las 16:35 y las 17:00 horas del Día D-1 el subastador dará aplicación al procedimiento de subasta de sobre cerrado para cada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13707D">
        <w:rPr>
          <w:rFonts w:ascii="Bookman Old Style" w:hAnsi="Bookman Old Style" w:cs="Arial"/>
          <w:color w:val="000000" w:themeColor="text1"/>
          <w:lang w:val="es-CO"/>
        </w:rPr>
        <w:t xml:space="preserve">, </w:t>
      </w:r>
      <w:r w:rsidRPr="0013707D">
        <w:rPr>
          <w:rFonts w:ascii="Bookman Old Style" w:hAnsi="Bookman Old Style"/>
          <w:bCs/>
          <w:color w:val="000000" w:themeColor="text1"/>
          <w:lang w:val="es-CO" w:eastAsia="x-none"/>
        </w:rPr>
        <w:t>como se dispone a continuación:</w:t>
      </w:r>
    </w:p>
    <w:p w14:paraId="1C1BEB69"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p>
    <w:p w14:paraId="7622E000" w14:textId="12309D1C" w:rsidR="0006302B" w:rsidRPr="0013707D" w:rsidRDefault="0006302B" w:rsidP="00A4790E">
      <w:pPr>
        <w:numPr>
          <w:ilvl w:val="0"/>
          <w:numId w:val="47"/>
        </w:numPr>
        <w:autoSpaceDE w:val="0"/>
        <w:autoSpaceDN w:val="0"/>
        <w:adjustRightInd w:val="0"/>
        <w:ind w:left="1134" w:hanging="567"/>
        <w:jc w:val="both"/>
        <w:rPr>
          <w:rFonts w:ascii="Bookman Old Style" w:hAnsi="Bookman Old Style" w:cs="Arial"/>
          <w:color w:val="000000" w:themeColor="text1"/>
          <w:lang w:val="es-CO"/>
        </w:rPr>
      </w:pPr>
      <w:bookmarkStart w:id="160" w:name="_Ref359856807"/>
      <w:r w:rsidRPr="0013707D">
        <w:rPr>
          <w:rFonts w:ascii="Bookman Old Style" w:hAnsi="Bookman Old Style" w:cs="Arial"/>
          <w:color w:val="000000" w:themeColor="text1"/>
          <w:lang w:val="es-CO"/>
        </w:rPr>
        <w:t xml:space="preserve">Con base en las cantidades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rPr>
              <m:t>D</m:t>
            </m:r>
          </m:e>
          <m:sub>
            <m:sSub>
              <m:sSubPr>
                <m:ctrlPr>
                  <w:rPr>
                    <w:rFonts w:ascii="Cambria Math" w:hAnsi="Cambria Math"/>
                    <w:i/>
                    <w:color w:val="000000" w:themeColor="text1"/>
                    <w:lang w:val="es-CO"/>
                  </w:rPr>
                </m:ctrlPr>
              </m:sSubPr>
              <m:e>
                <m:r>
                  <w:rPr>
                    <w:rFonts w:ascii="Cambria Math" w:hAnsi="Cambria Math"/>
                    <w:color w:val="000000" w:themeColor="text1"/>
                    <w:lang w:val="es-CO"/>
                  </w:rPr>
                  <m:t>E</m:t>
                </m:r>
              </m:e>
              <m:sub>
                <m:r>
                  <w:rPr>
                    <w:rFonts w:ascii="Cambria Math" w:hAnsi="Cambria Math"/>
                    <w:color w:val="000000" w:themeColor="text1"/>
                    <w:lang w:val="es-CO"/>
                  </w:rPr>
                  <m:t>e,j</m:t>
                </m:r>
              </m:sub>
            </m:sSub>
          </m:sub>
        </m:sSub>
        <m:r>
          <w:rPr>
            <w:rFonts w:ascii="Cambria Math" w:hAnsi="Cambria Math"/>
            <w:color w:val="000000" w:themeColor="text1"/>
            <w:lang w:val="es-CO"/>
          </w:rPr>
          <m:t>(</m:t>
        </m:r>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r>
          <w:rPr>
            <w:rFonts w:ascii="Cambria Math" w:hAnsi="Cambria Math"/>
            <w:color w:val="000000" w:themeColor="text1"/>
            <w:lang w:val="es-CO"/>
          </w:rPr>
          <m:t>)</m:t>
        </m:r>
      </m:oMath>
      <w:r w:rsidRPr="0013707D">
        <w:rPr>
          <w:rFonts w:ascii="Bookman Old Style" w:hAnsi="Bookman Old Style" w:cs="Arial"/>
          <w:color w:val="000000" w:themeColor="text1"/>
          <w:lang w:val="es-CO"/>
        </w:rPr>
        <w:t xml:space="preserve"> y en los precios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Pr="0013707D">
        <w:rPr>
          <w:rFonts w:ascii="Bookman Old Style" w:hAnsi="Bookman Old Style" w:cs="Arial"/>
          <w:color w:val="000000" w:themeColor="text1"/>
          <w:lang w:val="es-CO"/>
        </w:rPr>
        <w:t xml:space="preserve"> el subastador determinará la curva de demanda agregada </w:t>
      </w:r>
      <w:r w:rsidRPr="0013707D">
        <w:rPr>
          <w:rFonts w:ascii="Bookman Old Style" w:hAnsi="Bookman Old Style"/>
          <w:bCs/>
          <w:color w:val="000000" w:themeColor="text1"/>
          <w:lang w:val="es-CO" w:eastAsia="x-none"/>
        </w:rPr>
        <w:t xml:space="preserve">de cada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13707D">
        <w:rPr>
          <w:rFonts w:ascii="Bookman Old Style" w:hAnsi="Bookman Old Style" w:cs="Arial"/>
          <w:color w:val="000000" w:themeColor="text1"/>
          <w:lang w:val="es-CO"/>
        </w:rPr>
        <w:t xml:space="preserve">,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DA</m:t>
            </m:r>
          </m:e>
          <m:sub>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E</m:t>
                </m:r>
              </m:e>
              <m:sub>
                <m:r>
                  <w:rPr>
                    <w:rFonts w:ascii="Cambria Math" w:hAnsi="Cambria Math"/>
                    <w:color w:val="000000" w:themeColor="text1"/>
                    <w:lang w:val="es-CO" w:eastAsia="x-none"/>
                  </w:rPr>
                  <m:t>e</m:t>
                </m:r>
              </m:sub>
            </m:sSub>
          </m:sub>
        </m:sSub>
        <m:r>
          <w:rPr>
            <w:rFonts w:ascii="Cambria Math" w:hAnsi="Cambria Math"/>
            <w:color w:val="000000" w:themeColor="text1"/>
            <w:lang w:val="es-CO" w:eastAsia="x-none"/>
          </w:rPr>
          <m:t>,</m:t>
        </m:r>
      </m:oMath>
      <w:r w:rsidRPr="0013707D">
        <w:rPr>
          <w:rFonts w:ascii="Bookman Old Style" w:hAnsi="Bookman Old Style" w:cs="Arial"/>
          <w:color w:val="000000" w:themeColor="text1"/>
          <w:lang w:val="es-CO"/>
        </w:rPr>
        <w:t xml:space="preserve"> la cual se formará conforme a lo establecido en la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_Ref361822668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 xml:space="preserve">Tabla </w:t>
      </w:r>
      <w:r w:rsidR="00636B6A" w:rsidRPr="00996A90">
        <w:rPr>
          <w:rFonts w:ascii="Bookman Old Style" w:hAnsi="Bookman Old Style"/>
          <w:noProof/>
          <w:color w:val="000000" w:themeColor="text1"/>
          <w:lang w:val="es-CO"/>
        </w:rPr>
        <w:t>5</w:t>
      </w:r>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w:t>
      </w:r>
      <w:bookmarkEnd w:id="160"/>
    </w:p>
    <w:p w14:paraId="32F85D6E" w14:textId="77777777" w:rsidR="0006302B" w:rsidRPr="0013707D" w:rsidRDefault="0006302B" w:rsidP="0006302B">
      <w:pPr>
        <w:pStyle w:val="Prrafodelista"/>
        <w:ind w:left="1134"/>
        <w:rPr>
          <w:rFonts w:ascii="Bookman Old Style" w:hAnsi="Bookman Old Style" w:cs="Arial"/>
          <w:color w:val="000000" w:themeColor="text1"/>
          <w:sz w:val="24"/>
          <w:szCs w:val="24"/>
        </w:rPr>
      </w:pPr>
    </w:p>
    <w:p w14:paraId="7D25217E" w14:textId="019CCB0D" w:rsidR="0006302B" w:rsidRPr="0013707D" w:rsidRDefault="0006302B" w:rsidP="0006302B">
      <w:pPr>
        <w:pStyle w:val="Descripcin"/>
        <w:keepNext/>
        <w:spacing w:after="0"/>
        <w:ind w:left="1276"/>
        <w:rPr>
          <w:rFonts w:ascii="Bookman Old Style" w:hAnsi="Bookman Old Style"/>
          <w:color w:val="000000" w:themeColor="text1"/>
          <w:lang w:val="es-CO" w:eastAsia="x-none"/>
        </w:rPr>
      </w:pPr>
      <w:bookmarkStart w:id="161" w:name="_Ref361822668"/>
      <w:r w:rsidRPr="0013707D">
        <w:rPr>
          <w:rFonts w:ascii="Bookman Old Style" w:hAnsi="Bookman Old Style"/>
          <w:b/>
          <w:color w:val="000000" w:themeColor="text1"/>
          <w:sz w:val="24"/>
          <w:szCs w:val="24"/>
          <w:lang w:val="es-CO"/>
        </w:rPr>
        <w:lastRenderedPageBreak/>
        <w:t xml:space="preserve">Tabla </w:t>
      </w:r>
      <w:r w:rsidRPr="0013707D">
        <w:rPr>
          <w:rFonts w:ascii="Bookman Old Style" w:hAnsi="Bookman Old Style"/>
          <w:b/>
          <w:i/>
          <w:color w:val="000000" w:themeColor="text1"/>
          <w:sz w:val="24"/>
          <w:szCs w:val="24"/>
          <w:lang w:val="es-CO"/>
        </w:rPr>
        <w:fldChar w:fldCharType="begin"/>
      </w:r>
      <w:r w:rsidRPr="0013707D">
        <w:rPr>
          <w:rFonts w:ascii="Bookman Old Style" w:hAnsi="Bookman Old Style"/>
          <w:b/>
          <w:color w:val="000000" w:themeColor="text1"/>
          <w:sz w:val="24"/>
          <w:szCs w:val="24"/>
          <w:lang w:val="es-CO"/>
        </w:rPr>
        <w:instrText xml:space="preserve"> SEQ Tabla \* ARABIC </w:instrText>
      </w:r>
      <w:r w:rsidRPr="0013707D">
        <w:rPr>
          <w:rFonts w:ascii="Bookman Old Style" w:hAnsi="Bookman Old Style"/>
          <w:b/>
          <w:i/>
          <w:color w:val="000000" w:themeColor="text1"/>
          <w:sz w:val="24"/>
          <w:szCs w:val="24"/>
          <w:lang w:val="es-CO"/>
        </w:rPr>
        <w:fldChar w:fldCharType="separate"/>
      </w:r>
      <w:r w:rsidR="00636B6A">
        <w:rPr>
          <w:rFonts w:ascii="Bookman Old Style" w:hAnsi="Bookman Old Style"/>
          <w:b/>
          <w:noProof/>
          <w:color w:val="000000" w:themeColor="text1"/>
          <w:sz w:val="24"/>
          <w:szCs w:val="24"/>
          <w:lang w:val="es-CO"/>
        </w:rPr>
        <w:t>5</w:t>
      </w:r>
      <w:r w:rsidRPr="0013707D">
        <w:rPr>
          <w:rFonts w:ascii="Bookman Old Style" w:hAnsi="Bookman Old Style"/>
          <w:b/>
          <w:i/>
          <w:color w:val="000000" w:themeColor="text1"/>
          <w:sz w:val="24"/>
          <w:szCs w:val="24"/>
          <w:lang w:val="es-CO"/>
        </w:rPr>
        <w:fldChar w:fldCharType="end"/>
      </w:r>
      <w:bookmarkEnd w:id="161"/>
      <w:r w:rsidRPr="0013707D">
        <w:rPr>
          <w:rFonts w:ascii="Bookman Old Style" w:hAnsi="Bookman Old Style"/>
          <w:b/>
          <w:color w:val="000000" w:themeColor="text1"/>
          <w:sz w:val="24"/>
          <w:szCs w:val="24"/>
          <w:lang w:val="es-CO"/>
        </w:rPr>
        <w:t xml:space="preserve">. Demanda agregada del producto </w:t>
      </w:r>
      <m:oMath>
        <m:sSub>
          <m:sSubPr>
            <m:ctrlPr>
              <w:rPr>
                <w:rFonts w:ascii="Cambria Math" w:hAnsi="Cambria Math" w:cs="Arial"/>
                <w:b/>
                <w:color w:val="000000" w:themeColor="text1"/>
                <w:sz w:val="24"/>
                <w:szCs w:val="24"/>
                <w:lang w:val="es-CO"/>
              </w:rPr>
            </m:ctrlPr>
          </m:sSubPr>
          <m:e>
            <m:r>
              <m:rPr>
                <m:sty m:val="bi"/>
              </m:rPr>
              <w:rPr>
                <w:rFonts w:ascii="Cambria Math" w:hAnsi="Cambria Math" w:cs="Arial"/>
                <w:color w:val="000000" w:themeColor="text1"/>
                <w:sz w:val="24"/>
                <w:szCs w:val="24"/>
                <w:lang w:val="es-CO"/>
              </w:rPr>
              <m:t>E</m:t>
            </m:r>
          </m:e>
          <m:sub>
            <m:r>
              <m:rPr>
                <m:sty m:val="bi"/>
              </m:rPr>
              <w:rPr>
                <w:rFonts w:ascii="Cambria Math" w:hAnsi="Cambria Math" w:cs="Arial"/>
                <w:color w:val="000000" w:themeColor="text1"/>
                <w:sz w:val="24"/>
                <w:szCs w:val="24"/>
                <w:lang w:val="es-CO"/>
              </w:rPr>
              <m:t>e</m:t>
            </m:r>
          </m:sub>
        </m:sSub>
      </m:oMath>
      <w:r w:rsidRPr="0013707D">
        <w:rPr>
          <w:rFonts w:ascii="Bookman Old Style" w:hAnsi="Bookman Old Style"/>
          <w:b/>
          <w:color w:val="000000" w:themeColor="text1"/>
          <w:sz w:val="24"/>
          <w:szCs w:val="24"/>
          <w:lang w:val="es-CO"/>
        </w:rPr>
        <w:t xml:space="preserve">, </w:t>
      </w:r>
      <m:oMath>
        <m:sSub>
          <m:sSubPr>
            <m:ctrlPr>
              <w:rPr>
                <w:rFonts w:ascii="Cambria Math" w:hAnsi="Cambria Math"/>
                <w:b/>
                <w:bCs/>
                <w:color w:val="000000" w:themeColor="text1"/>
                <w:sz w:val="24"/>
                <w:szCs w:val="24"/>
                <w:lang w:val="es-CO" w:eastAsia="x-none"/>
              </w:rPr>
            </m:ctrlPr>
          </m:sSubPr>
          <m:e>
            <m:r>
              <m:rPr>
                <m:sty m:val="bi"/>
              </m:rPr>
              <w:rPr>
                <w:rFonts w:ascii="Cambria Math" w:hAnsi="Cambria Math"/>
                <w:color w:val="000000" w:themeColor="text1"/>
                <w:sz w:val="24"/>
                <w:szCs w:val="24"/>
                <w:lang w:val="es-CO" w:eastAsia="x-none"/>
              </w:rPr>
              <m:t>DA</m:t>
            </m:r>
          </m:e>
          <m:sub>
            <m:sSub>
              <m:sSubPr>
                <m:ctrlPr>
                  <w:rPr>
                    <w:rFonts w:ascii="Cambria Math" w:hAnsi="Cambria Math"/>
                    <w:b/>
                    <w:color w:val="000000" w:themeColor="text1"/>
                    <w:sz w:val="24"/>
                    <w:szCs w:val="24"/>
                    <w:lang w:val="es-CO" w:eastAsia="x-none"/>
                  </w:rPr>
                </m:ctrlPr>
              </m:sSubPr>
              <m:e>
                <m:r>
                  <m:rPr>
                    <m:sty m:val="bi"/>
                  </m:rPr>
                  <w:rPr>
                    <w:rFonts w:ascii="Cambria Math" w:hAnsi="Cambria Math"/>
                    <w:color w:val="000000" w:themeColor="text1"/>
                    <w:sz w:val="24"/>
                    <w:szCs w:val="24"/>
                    <w:lang w:val="es-CO" w:eastAsia="x-none"/>
                  </w:rPr>
                  <m:t>E</m:t>
                </m:r>
              </m:e>
              <m:sub>
                <m:r>
                  <m:rPr>
                    <m:sty m:val="bi"/>
                  </m:rPr>
                  <w:rPr>
                    <w:rFonts w:ascii="Cambria Math" w:hAnsi="Cambria Math"/>
                    <w:color w:val="000000" w:themeColor="text1"/>
                    <w:sz w:val="24"/>
                    <w:szCs w:val="24"/>
                    <w:lang w:val="es-CO" w:eastAsia="x-none"/>
                  </w:rPr>
                  <m:t>e</m:t>
                </m:r>
              </m:sub>
            </m:sSub>
          </m:sub>
        </m:sSub>
      </m:oMath>
    </w:p>
    <w:tbl>
      <w:tblPr>
        <w:tblW w:w="7711"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5"/>
        <w:gridCol w:w="3856"/>
      </w:tblGrid>
      <w:tr w:rsidR="0006302B" w:rsidRPr="0013707D" w14:paraId="3DAF04A5" w14:textId="77777777" w:rsidTr="00341DAD">
        <w:tc>
          <w:tcPr>
            <w:tcW w:w="3855" w:type="dxa"/>
            <w:shd w:val="clear" w:color="auto" w:fill="auto"/>
            <w:vAlign w:val="center"/>
          </w:tcPr>
          <w:p w14:paraId="1482EB7E"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Demanda agregada, </w:t>
            </w:r>
            <m:oMath>
              <m:sSub>
                <m:sSubPr>
                  <m:ctrlPr>
                    <w:rPr>
                      <w:rFonts w:ascii="Cambria Math" w:hAnsi="Cambria Math"/>
                      <w:b/>
                      <w:bCs/>
                      <w:i/>
                      <w:color w:val="000000" w:themeColor="text1"/>
                      <w:lang w:val="es-CO" w:eastAsia="x-none"/>
                    </w:rPr>
                  </m:ctrlPr>
                </m:sSubPr>
                <m:e>
                  <m:r>
                    <m:rPr>
                      <m:sty m:val="bi"/>
                    </m:rPr>
                    <w:rPr>
                      <w:rFonts w:ascii="Cambria Math" w:hAnsi="Cambria Math"/>
                      <w:color w:val="000000" w:themeColor="text1"/>
                      <w:lang w:val="es-CO" w:eastAsia="x-none"/>
                    </w:rPr>
                    <m:t>DA</m:t>
                  </m:r>
                </m:e>
                <m:sub>
                  <m:sSub>
                    <m:sSubPr>
                      <m:ctrlPr>
                        <w:rPr>
                          <w:rFonts w:ascii="Cambria Math" w:hAnsi="Cambria Math"/>
                          <w:b/>
                          <w:i/>
                          <w:color w:val="000000" w:themeColor="text1"/>
                          <w:lang w:val="es-CO" w:eastAsia="x-none"/>
                        </w:rPr>
                      </m:ctrlPr>
                    </m:sSubPr>
                    <m:e>
                      <m:r>
                        <m:rPr>
                          <m:sty m:val="bi"/>
                        </m:rPr>
                        <w:rPr>
                          <w:rFonts w:ascii="Cambria Math" w:hAnsi="Cambria Math"/>
                          <w:color w:val="000000" w:themeColor="text1"/>
                          <w:lang w:val="es-CO" w:eastAsia="x-none"/>
                        </w:rPr>
                        <m:t>E</m:t>
                      </m:r>
                    </m:e>
                    <m:sub>
                      <m:r>
                        <m:rPr>
                          <m:sty m:val="bi"/>
                        </m:rPr>
                        <w:rPr>
                          <w:rFonts w:ascii="Cambria Math" w:hAnsi="Cambria Math"/>
                          <w:color w:val="000000" w:themeColor="text1"/>
                          <w:lang w:val="es-CO" w:eastAsia="x-none"/>
                        </w:rPr>
                        <m:t>e</m:t>
                      </m:r>
                    </m:sub>
                  </m:sSub>
                </m:sub>
              </m:sSub>
            </m:oMath>
          </w:p>
        </w:tc>
        <w:tc>
          <w:tcPr>
            <w:tcW w:w="3856" w:type="dxa"/>
            <w:shd w:val="clear" w:color="auto" w:fill="auto"/>
            <w:vAlign w:val="center"/>
          </w:tcPr>
          <w:p w14:paraId="7D90F90B"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Precio, </w:t>
            </w:r>
            <m:oMath>
              <m:sSub>
                <m:sSubPr>
                  <m:ctrlPr>
                    <w:rPr>
                      <w:rFonts w:ascii="Cambria Math" w:eastAsia="Calibri" w:hAnsi="Cambria Math" w:cs="Arial"/>
                      <w:b/>
                      <w:i/>
                      <w:color w:val="000000" w:themeColor="text1"/>
                      <w:lang w:val="es-CO"/>
                    </w:rPr>
                  </m:ctrlPr>
                </m:sSubPr>
                <m:e>
                  <m:r>
                    <m:rPr>
                      <m:sty m:val="bi"/>
                    </m:rPr>
                    <w:rPr>
                      <w:rFonts w:ascii="Cambria Math" w:eastAsia="Calibri" w:hAnsi="Cambria Math" w:cs="Arial"/>
                      <w:color w:val="000000" w:themeColor="text1"/>
                      <w:lang w:val="es-CO"/>
                    </w:rPr>
                    <m:t>pd</m:t>
                  </m:r>
                </m:e>
                <m:sub>
                  <m:sSub>
                    <m:sSubPr>
                      <m:ctrlPr>
                        <w:rPr>
                          <w:rFonts w:ascii="Cambria Math" w:eastAsia="Calibri" w:hAnsi="Cambria Math" w:cs="Arial"/>
                          <w:b/>
                          <w:i/>
                          <w:color w:val="000000" w:themeColor="text1"/>
                          <w:lang w:val="es-CO"/>
                        </w:rPr>
                      </m:ctrlPr>
                    </m:sSubPr>
                    <m:e>
                      <m:r>
                        <m:rPr>
                          <m:sty m:val="bi"/>
                        </m:rPr>
                        <w:rPr>
                          <w:rFonts w:ascii="Cambria Math" w:eastAsia="Calibri" w:hAnsi="Cambria Math" w:cs="Arial"/>
                          <w:color w:val="000000" w:themeColor="text1"/>
                          <w:lang w:val="es-CO"/>
                        </w:rPr>
                        <m:t>E</m:t>
                      </m:r>
                    </m:e>
                    <m:sub>
                      <m:r>
                        <m:rPr>
                          <m:sty m:val="bi"/>
                        </m:rPr>
                        <w:rPr>
                          <w:rFonts w:ascii="Cambria Math" w:eastAsia="Calibri" w:hAnsi="Cambria Math" w:cs="Arial"/>
                          <w:color w:val="000000" w:themeColor="text1"/>
                          <w:lang w:val="es-CO"/>
                        </w:rPr>
                        <m:t>e</m:t>
                      </m:r>
                    </m:sub>
                  </m:sSub>
                </m:sub>
              </m:sSub>
            </m:oMath>
          </w:p>
        </w:tc>
      </w:tr>
      <w:tr w:rsidR="0006302B" w:rsidRPr="0013707D" w14:paraId="22B4227F" w14:textId="77777777" w:rsidTr="00341DAD">
        <w:trPr>
          <w:trHeight w:val="794"/>
        </w:trPr>
        <w:tc>
          <w:tcPr>
            <w:tcW w:w="3855" w:type="dxa"/>
            <w:shd w:val="clear" w:color="auto" w:fill="auto"/>
            <w:vAlign w:val="center"/>
          </w:tcPr>
          <w:p w14:paraId="7E520C46"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r>
                      <w:rPr>
                        <w:rFonts w:ascii="Cambria Math" w:eastAsia="Calibri" w:hAnsi="Cambria Math"/>
                        <w:color w:val="000000" w:themeColor="text1"/>
                        <w:lang w:val="es-CO" w:eastAsia="en-US"/>
                      </w:rPr>
                      <m:t>)</m:t>
                    </m:r>
                  </m:e>
                </m:nary>
              </m:oMath>
            </m:oMathPara>
          </w:p>
        </w:tc>
        <w:tc>
          <w:tcPr>
            <w:tcW w:w="3856" w:type="dxa"/>
            <w:shd w:val="clear" w:color="auto" w:fill="auto"/>
            <w:vAlign w:val="center"/>
          </w:tcPr>
          <w:p w14:paraId="2CADCD92" w14:textId="77777777" w:rsidR="0006302B" w:rsidRPr="0013707D" w:rsidRDefault="00FB7B28" w:rsidP="00341DAD">
            <w:pPr>
              <w:ind w:left="0"/>
              <w:jc w:val="center"/>
              <w:rPr>
                <w:rFonts w:ascii="Bookman Old Style" w:hAnsi="Bookman Old Style" w:cs="Arial"/>
                <w:color w:val="000000" w:themeColor="text1"/>
                <w:lang w:val="es-CO"/>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pd</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m:t>
                    </m:r>
                  </m:sub>
                </m:sSub>
              </m:oMath>
            </m:oMathPara>
          </w:p>
        </w:tc>
      </w:tr>
      <w:tr w:rsidR="0006302B" w:rsidRPr="0013707D" w14:paraId="1D845808" w14:textId="77777777" w:rsidTr="00341DAD">
        <w:trPr>
          <w:trHeight w:val="794"/>
        </w:trPr>
        <w:tc>
          <w:tcPr>
            <w:tcW w:w="3855" w:type="dxa"/>
            <w:shd w:val="clear" w:color="auto" w:fill="auto"/>
            <w:vAlign w:val="center"/>
          </w:tcPr>
          <w:p w14:paraId="739C2E69"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pd</m:t>
                        </m:r>
                      </m:e>
                      <m:sub>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E</m:t>
                            </m:r>
                          </m:e>
                          <m:sub>
                            <m:r>
                              <w:rPr>
                                <w:rFonts w:ascii="Cambria Math" w:eastAsia="Calibri" w:hAnsi="Cambria Math" w:cs="Arial"/>
                                <w:color w:val="000000" w:themeColor="text1"/>
                                <w:lang w:val="es-CO"/>
                              </w:rPr>
                              <m:t>e,máx-1</m:t>
                            </m:r>
                          </m:sub>
                        </m:sSub>
                      </m:sub>
                    </m:sSub>
                    <m:r>
                      <w:rPr>
                        <w:rFonts w:ascii="Cambria Math" w:eastAsia="Calibri" w:hAnsi="Cambria Math"/>
                        <w:color w:val="000000" w:themeColor="text1"/>
                        <w:lang w:val="es-CO" w:eastAsia="en-US"/>
                      </w:rPr>
                      <m:t>)</m:t>
                    </m:r>
                  </m:e>
                </m:nary>
              </m:oMath>
            </m:oMathPara>
          </w:p>
        </w:tc>
        <w:tc>
          <w:tcPr>
            <w:tcW w:w="3856" w:type="dxa"/>
            <w:shd w:val="clear" w:color="auto" w:fill="auto"/>
            <w:vAlign w:val="center"/>
          </w:tcPr>
          <w:p w14:paraId="49AD6EE6" w14:textId="77777777" w:rsidR="0006302B" w:rsidRPr="0013707D" w:rsidRDefault="00FB7B28" w:rsidP="00341DAD">
            <w:pPr>
              <w:ind w:left="0"/>
              <w:jc w:val="center"/>
              <w:rPr>
                <w:rFonts w:ascii="Bookman Old Style" w:hAnsi="Bookman Old Style"/>
                <w:bCs/>
                <w:i/>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pd</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máx-1</m:t>
                    </m:r>
                  </m:sub>
                </m:sSub>
              </m:oMath>
            </m:oMathPara>
          </w:p>
        </w:tc>
      </w:tr>
      <w:tr w:rsidR="0006302B" w:rsidRPr="0013707D" w14:paraId="31F615AA" w14:textId="77777777" w:rsidTr="00341DAD">
        <w:trPr>
          <w:trHeight w:val="794"/>
        </w:trPr>
        <w:tc>
          <w:tcPr>
            <w:tcW w:w="3855" w:type="dxa"/>
            <w:shd w:val="clear" w:color="auto" w:fill="auto"/>
            <w:vAlign w:val="center"/>
          </w:tcPr>
          <w:p w14:paraId="7931E2A6"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pd</m:t>
                        </m:r>
                      </m:e>
                      <m:sub>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E</m:t>
                            </m:r>
                          </m:e>
                          <m:sub>
                            <m:r>
                              <w:rPr>
                                <w:rFonts w:ascii="Cambria Math" w:eastAsia="Calibri" w:hAnsi="Cambria Math" w:cs="Arial"/>
                                <w:color w:val="000000" w:themeColor="text1"/>
                                <w:lang w:val="es-CO"/>
                              </w:rPr>
                              <m:t>e,máx-2</m:t>
                            </m:r>
                          </m:sub>
                        </m:sSub>
                      </m:sub>
                    </m:sSub>
                    <m:r>
                      <w:rPr>
                        <w:rFonts w:ascii="Cambria Math" w:eastAsia="Calibri" w:hAnsi="Cambria Math"/>
                        <w:color w:val="000000" w:themeColor="text1"/>
                        <w:lang w:val="es-CO" w:eastAsia="en-US"/>
                      </w:rPr>
                      <m:t>)</m:t>
                    </m:r>
                  </m:e>
                </m:nary>
              </m:oMath>
            </m:oMathPara>
          </w:p>
        </w:tc>
        <w:tc>
          <w:tcPr>
            <w:tcW w:w="3856" w:type="dxa"/>
            <w:shd w:val="clear" w:color="auto" w:fill="auto"/>
            <w:vAlign w:val="center"/>
          </w:tcPr>
          <w:p w14:paraId="09D0FFE8"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pd</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máx-2</m:t>
                    </m:r>
                  </m:sub>
                </m:sSub>
              </m:oMath>
            </m:oMathPara>
          </w:p>
        </w:tc>
      </w:tr>
      <w:tr w:rsidR="0006302B" w:rsidRPr="0013707D" w14:paraId="5A84039A" w14:textId="77777777" w:rsidTr="00341DAD">
        <w:trPr>
          <w:trHeight w:val="794"/>
        </w:trPr>
        <w:tc>
          <w:tcPr>
            <w:tcW w:w="3855" w:type="dxa"/>
            <w:shd w:val="clear" w:color="auto" w:fill="auto"/>
            <w:vAlign w:val="center"/>
          </w:tcPr>
          <w:p w14:paraId="48A9DEF1" w14:textId="77777777" w:rsidR="0006302B" w:rsidRPr="0013707D" w:rsidRDefault="0006302B" w:rsidP="00341DAD">
            <w:pPr>
              <w:ind w:left="0"/>
              <w:jc w:val="center"/>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w:t>
            </w:r>
          </w:p>
        </w:tc>
        <w:tc>
          <w:tcPr>
            <w:tcW w:w="3856" w:type="dxa"/>
            <w:shd w:val="clear" w:color="auto" w:fill="auto"/>
            <w:vAlign w:val="center"/>
          </w:tcPr>
          <w:p w14:paraId="37DAA8A1" w14:textId="77777777" w:rsidR="0006302B" w:rsidRPr="0013707D" w:rsidRDefault="0006302B" w:rsidP="00341DAD">
            <w:pPr>
              <w:ind w:left="0"/>
              <w:jc w:val="center"/>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w:t>
            </w:r>
          </w:p>
        </w:tc>
      </w:tr>
      <w:tr w:rsidR="0006302B" w:rsidRPr="0013707D" w14:paraId="4FE03AB0" w14:textId="77777777" w:rsidTr="00341DAD">
        <w:trPr>
          <w:trHeight w:val="794"/>
        </w:trPr>
        <w:tc>
          <w:tcPr>
            <w:tcW w:w="3855" w:type="dxa"/>
            <w:shd w:val="clear" w:color="auto" w:fill="auto"/>
            <w:vAlign w:val="center"/>
          </w:tcPr>
          <w:p w14:paraId="158AFFFE" w14:textId="77777777" w:rsidR="0006302B" w:rsidRPr="0013707D" w:rsidRDefault="00FB7B28" w:rsidP="00341DAD">
            <w:pPr>
              <w:ind w:left="0"/>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pd</m:t>
                        </m:r>
                      </m:e>
                      <m:sub>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E</m:t>
                            </m:r>
                          </m:e>
                          <m:sub>
                            <m:r>
                              <w:rPr>
                                <w:rFonts w:ascii="Cambria Math" w:eastAsia="Calibri" w:hAnsi="Cambria Math" w:cs="Arial"/>
                                <w:color w:val="000000" w:themeColor="text1"/>
                                <w:lang w:val="es-CO"/>
                              </w:rPr>
                              <m:t>e,mín+1</m:t>
                            </m:r>
                          </m:sub>
                        </m:sSub>
                      </m:sub>
                    </m:sSub>
                    <m:r>
                      <w:rPr>
                        <w:rFonts w:ascii="Cambria Math" w:eastAsia="Calibri" w:hAnsi="Cambria Math"/>
                        <w:color w:val="000000" w:themeColor="text1"/>
                        <w:lang w:val="es-CO" w:eastAsia="en-US"/>
                      </w:rPr>
                      <m:t>)</m:t>
                    </m:r>
                  </m:e>
                </m:nary>
              </m:oMath>
            </m:oMathPara>
          </w:p>
        </w:tc>
        <w:tc>
          <w:tcPr>
            <w:tcW w:w="3856" w:type="dxa"/>
            <w:shd w:val="clear" w:color="auto" w:fill="auto"/>
            <w:vAlign w:val="center"/>
          </w:tcPr>
          <w:p w14:paraId="108B6CF9" w14:textId="77777777" w:rsidR="0006302B" w:rsidRPr="0013707D" w:rsidRDefault="00FB7B28" w:rsidP="00341DAD">
            <w:pPr>
              <w:ind w:left="0"/>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pd</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mín+1</m:t>
                    </m:r>
                  </m:sub>
                </m:sSub>
              </m:oMath>
            </m:oMathPara>
          </w:p>
        </w:tc>
      </w:tr>
      <w:tr w:rsidR="0006302B" w:rsidRPr="0013707D" w14:paraId="16A04514" w14:textId="77777777" w:rsidTr="00341DAD">
        <w:trPr>
          <w:trHeight w:val="794"/>
        </w:trPr>
        <w:tc>
          <w:tcPr>
            <w:tcW w:w="3855" w:type="dxa"/>
            <w:shd w:val="clear" w:color="auto" w:fill="auto"/>
            <w:vAlign w:val="center"/>
          </w:tcPr>
          <w:p w14:paraId="68384E8C" w14:textId="77777777" w:rsidR="0006302B" w:rsidRPr="0013707D" w:rsidRDefault="00FB7B28" w:rsidP="00341DAD">
            <w:pPr>
              <w:ind w:left="0"/>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pd</m:t>
                        </m:r>
                      </m:e>
                      <m:sub>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E</m:t>
                            </m:r>
                          </m:e>
                          <m:sub>
                            <m:r>
                              <w:rPr>
                                <w:rFonts w:ascii="Cambria Math" w:eastAsia="Calibri" w:hAnsi="Cambria Math" w:cs="Arial"/>
                                <w:color w:val="000000" w:themeColor="text1"/>
                                <w:lang w:val="es-CO"/>
                              </w:rPr>
                              <m:t>e,mín</m:t>
                            </m:r>
                          </m:sub>
                        </m:sSub>
                      </m:sub>
                    </m:sSub>
                    <m:r>
                      <w:rPr>
                        <w:rFonts w:ascii="Cambria Math" w:eastAsia="Calibri" w:hAnsi="Cambria Math"/>
                        <w:color w:val="000000" w:themeColor="text1"/>
                        <w:lang w:val="es-CO" w:eastAsia="en-US"/>
                      </w:rPr>
                      <m:t>)</m:t>
                    </m:r>
                  </m:e>
                </m:nary>
              </m:oMath>
            </m:oMathPara>
          </w:p>
        </w:tc>
        <w:tc>
          <w:tcPr>
            <w:tcW w:w="3856" w:type="dxa"/>
            <w:shd w:val="clear" w:color="auto" w:fill="auto"/>
            <w:vAlign w:val="center"/>
          </w:tcPr>
          <w:p w14:paraId="532A3E2E" w14:textId="77777777" w:rsidR="0006302B" w:rsidRPr="0013707D" w:rsidRDefault="00FB7B28" w:rsidP="00341DAD">
            <w:pPr>
              <w:ind w:left="0"/>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pd</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m:t>
                    </m:r>
                  </m:sub>
                </m:sSub>
              </m:oMath>
            </m:oMathPara>
          </w:p>
        </w:tc>
      </w:tr>
    </w:tbl>
    <w:p w14:paraId="1D86C5FE" w14:textId="77777777" w:rsidR="0006302B" w:rsidRPr="0013707D" w:rsidRDefault="0006302B" w:rsidP="0006302B">
      <w:pPr>
        <w:rPr>
          <w:rFonts w:ascii="Bookman Old Style" w:hAnsi="Bookman Old Style"/>
          <w:color w:val="000000" w:themeColor="text1"/>
          <w:lang w:val="es-CO" w:eastAsia="x-none"/>
        </w:rPr>
      </w:pPr>
    </w:p>
    <w:p w14:paraId="56665DD1" w14:textId="77777777" w:rsidR="0006302B" w:rsidRPr="0013707D" w:rsidRDefault="0006302B" w:rsidP="0006302B">
      <w:pPr>
        <w:keepNext/>
        <w:ind w:left="1134"/>
        <w:jc w:val="both"/>
        <w:rPr>
          <w:rFonts w:ascii="Bookman Old Style" w:hAnsi="Bookman Old Style" w:cs="Arial"/>
          <w:bCs/>
          <w:color w:val="000000" w:themeColor="text1"/>
          <w:lang w:val="es-CO" w:eastAsia="x-none"/>
        </w:rPr>
      </w:pPr>
      <w:r w:rsidRPr="0013707D">
        <w:rPr>
          <w:rFonts w:ascii="Bookman Old Style" w:hAnsi="Bookman Old Style" w:cs="Arial"/>
          <w:bCs/>
          <w:color w:val="000000" w:themeColor="text1"/>
          <w:lang w:val="es-CO" w:eastAsia="x-none"/>
        </w:rPr>
        <w:t>Donde:</w:t>
      </w:r>
    </w:p>
    <w:p w14:paraId="3029EBC6" w14:textId="77777777" w:rsidR="0006302B" w:rsidRPr="0013707D" w:rsidRDefault="0006302B" w:rsidP="0006302B">
      <w:pPr>
        <w:keepNext/>
        <w:ind w:left="1134"/>
        <w:jc w:val="both"/>
        <w:rPr>
          <w:rFonts w:ascii="Bookman Old Style" w:hAnsi="Bookman Old Style" w:cs="Arial"/>
          <w:bCs/>
          <w:color w:val="000000" w:themeColor="text1"/>
          <w:sz w:val="28"/>
          <w:lang w:val="es-CO" w:eastAsia="x-none"/>
        </w:rPr>
      </w:pPr>
    </w:p>
    <w:p w14:paraId="5346E465" w14:textId="1C6D13C6" w:rsidR="0006302B" w:rsidRPr="0013707D" w:rsidRDefault="00FB7B28" w:rsidP="0006302B">
      <w:pPr>
        <w:ind w:left="3828" w:hanging="2694"/>
        <w:jc w:val="both"/>
        <w:rPr>
          <w:rFonts w:ascii="Bookman Old Style" w:hAnsi="Bookman Old Style"/>
          <w:lang w:val="es-CO"/>
        </w:rPr>
      </w:pPr>
      <m:oMath>
        <m:sSub>
          <m:sSubPr>
            <m:ctrlPr>
              <w:rPr>
                <w:rFonts w:ascii="Cambria Math" w:eastAsia="Calibri" w:hAnsi="Cambria Math"/>
                <w:bCs/>
                <w:i/>
                <w:lang w:val="es-CO" w:eastAsia="en-US"/>
              </w:rPr>
            </m:ctrlPr>
          </m:sSubPr>
          <m:e>
            <m:r>
              <w:rPr>
                <w:rFonts w:ascii="Cambria Math" w:eastAsia="Calibri" w:hAnsi="Cambria Math"/>
                <w:lang w:val="es-CO" w:eastAsia="en-US"/>
              </w:rPr>
              <m:t>D</m:t>
            </m:r>
          </m:e>
          <m:sub>
            <m:sSub>
              <m:sSubPr>
                <m:ctrlPr>
                  <w:rPr>
                    <w:rFonts w:ascii="Cambria Math" w:eastAsia="Calibri" w:hAnsi="Cambria Math"/>
                    <w:i/>
                    <w:lang w:val="es-CO" w:eastAsia="en-US"/>
                  </w:rPr>
                </m:ctrlPr>
              </m:sSubPr>
              <m:e>
                <m:r>
                  <w:rPr>
                    <w:rFonts w:ascii="Cambria Math" w:eastAsia="Calibri" w:hAnsi="Cambria Math"/>
                    <w:lang w:val="es-CO" w:eastAsia="en-US"/>
                  </w:rPr>
                  <m:t>E</m:t>
                </m:r>
              </m:e>
              <m:sub>
                <m:r>
                  <w:rPr>
                    <w:rFonts w:ascii="Cambria Math" w:eastAsia="Calibri" w:hAnsi="Cambria Math"/>
                    <w:lang w:val="es-CO" w:eastAsia="en-US"/>
                  </w:rPr>
                  <m:t>e,j</m:t>
                </m:r>
              </m:sub>
            </m:sSub>
          </m:sub>
        </m:sSub>
        <m:r>
          <w:rPr>
            <w:rFonts w:ascii="Cambria Math" w:eastAsia="Calibri" w:hAnsi="Cambria Math"/>
            <w:lang w:val="es-CO" w:eastAsia="en-US"/>
          </w:rPr>
          <m:t>(</m:t>
        </m:r>
        <m:sSub>
          <m:sSubPr>
            <m:ctrlPr>
              <w:rPr>
                <w:rFonts w:ascii="Cambria Math" w:eastAsia="Calibri" w:hAnsi="Cambria Math"/>
                <w:bCs/>
                <w:i/>
                <w:lang w:val="es-CO" w:eastAsia="en-US"/>
              </w:rPr>
            </m:ctrlPr>
          </m:sSubPr>
          <m:e>
            <m:r>
              <w:rPr>
                <w:rFonts w:ascii="Cambria Math" w:eastAsia="Calibri" w:hAnsi="Cambria Math"/>
                <w:lang w:val="es-CO" w:eastAsia="en-US"/>
              </w:rPr>
              <m:t>pd</m:t>
            </m:r>
          </m:e>
          <m:sub>
            <m:sSub>
              <m:sSubPr>
                <m:ctrlPr>
                  <w:rPr>
                    <w:rFonts w:ascii="Cambria Math" w:eastAsia="Calibri" w:hAnsi="Cambria Math"/>
                    <w:i/>
                    <w:lang w:val="es-CO" w:eastAsia="en-US"/>
                  </w:rPr>
                </m:ctrlPr>
              </m:sSubPr>
              <m:e>
                <m:r>
                  <w:rPr>
                    <w:rFonts w:ascii="Cambria Math" w:eastAsia="Calibri" w:hAnsi="Cambria Math"/>
                    <w:lang w:val="es-CO" w:eastAsia="en-US"/>
                  </w:rPr>
                  <m:t>E</m:t>
                </m:r>
              </m:e>
              <m:sub>
                <m:r>
                  <w:rPr>
                    <w:rFonts w:ascii="Cambria Math" w:eastAsia="Calibri" w:hAnsi="Cambria Math"/>
                    <w:lang w:val="es-CO" w:eastAsia="en-US"/>
                  </w:rPr>
                  <m:t>e</m:t>
                </m:r>
              </m:sub>
            </m:sSub>
          </m:sub>
        </m:sSub>
        <m:r>
          <w:rPr>
            <w:rFonts w:ascii="Cambria Math" w:eastAsia="Calibri" w:hAnsi="Cambria Math"/>
            <w:lang w:val="es-CO" w:eastAsia="en-US"/>
          </w:rPr>
          <m:t>)</m:t>
        </m:r>
      </m:oMath>
      <w:r w:rsidR="0006302B" w:rsidRPr="0013707D">
        <w:rPr>
          <w:rFonts w:ascii="Bookman Old Style" w:hAnsi="Bookman Old Style"/>
          <w:lang w:val="es-CO"/>
        </w:rPr>
        <w:t>:</w:t>
      </w:r>
      <w:r w:rsidR="0006302B" w:rsidRPr="0013707D">
        <w:rPr>
          <w:rFonts w:ascii="Bookman Old Style" w:hAnsi="Bookman Old Style"/>
          <w:lang w:val="es-CO"/>
        </w:rPr>
        <w:tab/>
        <w:t xml:space="preserve">Cantidad de energía del producto </w:t>
      </w:r>
      <m:oMath>
        <m:sSub>
          <m:sSubPr>
            <m:ctrlPr>
              <w:rPr>
                <w:rFonts w:ascii="Cambria Math" w:hAnsi="Cambria Math"/>
                <w:i/>
                <w:lang w:val="es-CO"/>
              </w:rPr>
            </m:ctrlPr>
          </m:sSubPr>
          <m:e>
            <m:r>
              <w:rPr>
                <w:rFonts w:ascii="Cambria Math" w:hAnsi="Cambria Math"/>
                <w:lang w:val="es-CO"/>
              </w:rPr>
              <m:t>E</m:t>
            </m:r>
          </m:e>
          <m:sub>
            <m:r>
              <w:rPr>
                <w:rFonts w:ascii="Cambria Math" w:hAnsi="Cambria Math"/>
                <w:lang w:val="es-CO"/>
              </w:rPr>
              <m:t>e</m:t>
            </m:r>
          </m:sub>
        </m:sSub>
      </m:oMath>
      <w:r w:rsidR="0006302B" w:rsidRPr="0013707D">
        <w:rPr>
          <w:rFonts w:ascii="Bookman Old Style" w:hAnsi="Bookman Old Style"/>
          <w:bCs/>
          <w:lang w:val="es-CO" w:eastAsia="x-none"/>
        </w:rPr>
        <w:t xml:space="preserve"> que </w:t>
      </w:r>
      <w:r w:rsidR="0006302B" w:rsidRPr="0013707D">
        <w:rPr>
          <w:rFonts w:ascii="Bookman Old Style" w:hAnsi="Bookman Old Style"/>
          <w:lang w:val="es-CO"/>
        </w:rPr>
        <w:t xml:space="preserve">el comprador </w:t>
      </w:r>
      <m:oMath>
        <m:r>
          <w:rPr>
            <w:rFonts w:ascii="Cambria Math" w:hAnsi="Cambria Math"/>
            <w:lang w:val="es-CO"/>
          </w:rPr>
          <m:t>j</m:t>
        </m:r>
      </m:oMath>
      <w:r w:rsidR="0006302B" w:rsidRPr="0013707D">
        <w:rPr>
          <w:rFonts w:ascii="Bookman Old Style" w:hAnsi="Bookman Old Style"/>
          <w:lang w:val="es-CO"/>
        </w:rPr>
        <w:t xml:space="preserve"> está dispuesto a comprar al precio </w:t>
      </w:r>
      <m:oMath>
        <m:sSub>
          <m:sSubPr>
            <m:ctrlPr>
              <w:rPr>
                <w:rFonts w:ascii="Cambria Math" w:eastAsia="Calibri" w:hAnsi="Cambria Math"/>
                <w:i/>
                <w:lang w:val="es-CO"/>
              </w:rPr>
            </m:ctrlPr>
          </m:sSubPr>
          <m:e>
            <m:r>
              <w:rPr>
                <w:rFonts w:ascii="Cambria Math" w:eastAsia="Calibri" w:hAnsi="Cambria Math"/>
                <w:lang w:val="es-CO"/>
              </w:rPr>
              <m:t>pd</m:t>
            </m:r>
          </m:e>
          <m:sub>
            <m:sSub>
              <m:sSubPr>
                <m:ctrlPr>
                  <w:rPr>
                    <w:rFonts w:ascii="Cambria Math" w:eastAsia="Calibri" w:hAnsi="Cambria Math"/>
                    <w:i/>
                    <w:lang w:val="es-CO"/>
                  </w:rPr>
                </m:ctrlPr>
              </m:sSubPr>
              <m:e>
                <m:r>
                  <w:rPr>
                    <w:rFonts w:ascii="Cambria Math" w:eastAsia="Calibri" w:hAnsi="Cambria Math"/>
                    <w:lang w:val="es-CO"/>
                  </w:rPr>
                  <m:t>E</m:t>
                </m:r>
              </m:e>
              <m:sub>
                <m:r>
                  <w:rPr>
                    <w:rFonts w:ascii="Cambria Math" w:eastAsia="Calibri" w:hAnsi="Cambria Math"/>
                    <w:lang w:val="es-CO"/>
                  </w:rPr>
                  <m:t>e</m:t>
                </m:r>
              </m:sub>
            </m:sSub>
          </m:sub>
        </m:sSub>
      </m:oMath>
      <w:r w:rsidR="0006302B" w:rsidRPr="0013707D">
        <w:rPr>
          <w:rFonts w:ascii="Bookman Old Style" w:hAnsi="Bookman Old Style"/>
          <w:lang w:val="es-CO"/>
        </w:rPr>
        <w:t xml:space="preserve">. Esta cantidad de energía se determinará con base en la curva de demanda del comprador </w:t>
      </w:r>
      <m:oMath>
        <m:r>
          <w:rPr>
            <w:rFonts w:ascii="Cambria Math" w:hAnsi="Cambria Math"/>
            <w:lang w:val="es-CO"/>
          </w:rPr>
          <m:t>j</m:t>
        </m:r>
      </m:oMath>
      <w:r w:rsidR="0006302B" w:rsidRPr="0013707D">
        <w:rPr>
          <w:rFonts w:ascii="Bookman Old Style" w:hAnsi="Bookman Old Style"/>
          <w:lang w:val="es-CO"/>
        </w:rPr>
        <w:t xml:space="preserve"> que se forma a partir de sus cinco (5) preferencias declaradas según la </w:t>
      </w:r>
      <w:r w:rsidR="0006302B" w:rsidRPr="0013707D">
        <w:rPr>
          <w:rFonts w:ascii="Bookman Old Style" w:hAnsi="Bookman Old Style"/>
          <w:lang w:val="es-CO"/>
        </w:rPr>
        <w:fldChar w:fldCharType="begin"/>
      </w:r>
      <w:r w:rsidR="0006302B" w:rsidRPr="0013707D">
        <w:rPr>
          <w:rFonts w:ascii="Bookman Old Style" w:hAnsi="Bookman Old Style"/>
          <w:lang w:val="es-CO"/>
        </w:rPr>
        <w:instrText xml:space="preserve"> REF _Ref336592874 \h  \* MERGEFORMAT </w:instrText>
      </w:r>
      <w:r w:rsidR="0006302B" w:rsidRPr="0013707D">
        <w:rPr>
          <w:rFonts w:ascii="Bookman Old Style" w:hAnsi="Bookman Old Style"/>
          <w:lang w:val="es-CO"/>
        </w:rPr>
      </w:r>
      <w:r w:rsidR="0006302B" w:rsidRPr="0013707D">
        <w:rPr>
          <w:rFonts w:ascii="Bookman Old Style" w:hAnsi="Bookman Old Style"/>
          <w:lang w:val="es-CO"/>
        </w:rPr>
        <w:fldChar w:fldCharType="separate"/>
      </w:r>
      <w:r w:rsidR="00636B6A" w:rsidRPr="00996A90">
        <w:rPr>
          <w:rFonts w:ascii="Bookman Old Style" w:hAnsi="Bookman Old Style"/>
          <w:lang w:val="es-CO"/>
        </w:rPr>
        <w:t>Tabla 4</w:t>
      </w:r>
      <w:r w:rsidR="0006302B" w:rsidRPr="0013707D">
        <w:rPr>
          <w:rFonts w:ascii="Bookman Old Style" w:hAnsi="Bookman Old Style"/>
          <w:lang w:val="es-CO"/>
        </w:rPr>
        <w:fldChar w:fldCharType="end"/>
      </w:r>
      <w:r w:rsidR="0006302B" w:rsidRPr="0013707D">
        <w:rPr>
          <w:rFonts w:ascii="Bookman Old Style" w:hAnsi="Bookman Old Style"/>
          <w:lang w:val="es-CO"/>
        </w:rPr>
        <w:t>. Este valor se expresará en MBTUD.</w:t>
      </w:r>
    </w:p>
    <w:p w14:paraId="61B4CBE2" w14:textId="77777777" w:rsidR="0006302B" w:rsidRPr="0013707D" w:rsidRDefault="0006302B" w:rsidP="0006302B">
      <w:pPr>
        <w:ind w:left="3828" w:hanging="2694"/>
        <w:jc w:val="both"/>
        <w:rPr>
          <w:rFonts w:ascii="Bookman Old Style" w:hAnsi="Bookman Old Style" w:cs="Arial"/>
          <w:bCs/>
          <w:color w:val="000000" w:themeColor="text1"/>
          <w:sz w:val="28"/>
          <w:lang w:val="es-CO" w:eastAsia="x-none"/>
        </w:rPr>
      </w:pPr>
    </w:p>
    <w:p w14:paraId="6FFE8B18" w14:textId="77777777" w:rsidR="0006302B" w:rsidRPr="0013707D" w:rsidRDefault="00FB7B28" w:rsidP="0006302B">
      <w:pPr>
        <w:ind w:left="3828" w:hanging="2694"/>
        <w:jc w:val="both"/>
        <w:rPr>
          <w:rFonts w:ascii="Bookman Old Style" w:hAnsi="Bookman Old Style" w:cs="Arial"/>
          <w:bCs/>
          <w:color w:val="000000" w:themeColor="text1"/>
          <w:lang w:val="es-CO" w:eastAsia="x-none"/>
        </w:rPr>
      </w:pPr>
      <m:oMath>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pd</m:t>
            </m:r>
          </m:e>
          <m:sub>
            <m:sSub>
              <m:sSubPr>
                <m:ctrlPr>
                  <w:rPr>
                    <w:rFonts w:ascii="Cambria Math" w:eastAsia="Calibri" w:hAnsi="Cambria Math" w:cs="Arial"/>
                    <w:i/>
                    <w:color w:val="000000" w:themeColor="text1"/>
                    <w:lang w:val="es-CO"/>
                  </w:rPr>
                </m:ctrlPr>
              </m:sSubPr>
              <m:e>
                <m:r>
                  <w:rPr>
                    <w:rFonts w:ascii="Cambria Math" w:eastAsia="Calibri" w:hAnsi="Cambria Math" w:cs="Arial"/>
                    <w:color w:val="000000" w:themeColor="text1"/>
                    <w:lang w:val="es-CO"/>
                  </w:rPr>
                  <m:t>E</m:t>
                </m:r>
              </m:e>
              <m:sub>
                <m:r>
                  <w:rPr>
                    <w:rFonts w:ascii="Cambria Math" w:eastAsia="Calibri" w:hAnsi="Cambria Math" w:cs="Arial"/>
                    <w:color w:val="000000" w:themeColor="text1"/>
                    <w:lang w:val="es-CO"/>
                  </w:rPr>
                  <m:t>e</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Cada uno de los precios que los </w:t>
      </w:r>
      <w:r w:rsidR="0006302B" w:rsidRPr="0013707D">
        <w:rPr>
          <w:rFonts w:ascii="Bookman Old Style" w:hAnsi="Bookman Old Style" w:cs="Arial"/>
          <w:color w:val="000000" w:themeColor="text1"/>
          <w:lang w:val="es-CO" w:eastAsia="x-none"/>
        </w:rPr>
        <w:t xml:space="preserve">compradores </w:t>
      </w:r>
      <m:oMath>
        <m:r>
          <w:rPr>
            <w:rFonts w:ascii="Cambria Math" w:hAnsi="Cambria Math"/>
            <w:color w:val="000000" w:themeColor="text1"/>
            <w:lang w:val="es-CO"/>
          </w:rPr>
          <m:t>j</m:t>
        </m:r>
      </m:oMath>
      <w:r w:rsidR="0006302B" w:rsidRPr="0013707D">
        <w:rPr>
          <w:rFonts w:ascii="Bookman Old Style" w:hAnsi="Bookman Old Style" w:cs="Arial"/>
          <w:color w:val="000000" w:themeColor="text1"/>
          <w:lang w:val="es-CO"/>
        </w:rPr>
        <w:t xml:space="preserve"> están dispuestos a pagar por 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Esta variable </w:t>
      </w:r>
      <w:r w:rsidR="0006302B" w:rsidRPr="0013707D">
        <w:rPr>
          <w:rFonts w:ascii="Bookman Old Style" w:hAnsi="Bookman Old Style" w:cs="Arial"/>
          <w:color w:val="000000" w:themeColor="text1"/>
          <w:lang w:val="es-CO"/>
        </w:rPr>
        <w:t xml:space="preserve">tomará los valores ordenados en forma descendente desde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oMath>
      <w:r w:rsidR="0006302B" w:rsidRPr="0013707D">
        <w:rPr>
          <w:rFonts w:ascii="Bookman Old Style" w:hAnsi="Bookman Old Style" w:cs="Arial"/>
          <w:bCs/>
          <w:color w:val="000000" w:themeColor="text1"/>
          <w:lang w:val="es-CO" w:eastAsia="en-US"/>
        </w:rPr>
        <w:t xml:space="preserve"> hasta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m:t>
                </m:r>
              </m:sub>
            </m:sSub>
          </m:sub>
        </m:sSub>
      </m:oMath>
      <w:r w:rsidR="0006302B" w:rsidRPr="0013707D">
        <w:rPr>
          <w:rFonts w:ascii="Bookman Old Style" w:hAnsi="Bookman Old Style" w:cs="Arial"/>
          <w:bCs/>
          <w:color w:val="000000" w:themeColor="text1"/>
          <w:lang w:val="es-CO" w:eastAsia="en-US"/>
        </w:rPr>
        <w:t>.</w:t>
      </w:r>
    </w:p>
    <w:p w14:paraId="132B0A70" w14:textId="77777777" w:rsidR="0006302B" w:rsidRPr="0013707D" w:rsidRDefault="0006302B" w:rsidP="0006302B">
      <w:pPr>
        <w:ind w:left="3828" w:hanging="2694"/>
        <w:jc w:val="both"/>
        <w:rPr>
          <w:rFonts w:ascii="Bookman Old Style" w:hAnsi="Bookman Old Style" w:cs="Arial"/>
          <w:bCs/>
          <w:color w:val="000000" w:themeColor="text1"/>
          <w:sz w:val="28"/>
          <w:lang w:val="es-CO" w:eastAsia="x-none"/>
        </w:rPr>
      </w:pPr>
    </w:p>
    <w:p w14:paraId="753C21C2" w14:textId="1F9C6487" w:rsidR="0006302B" w:rsidRPr="0013707D" w:rsidRDefault="00FB7B28" w:rsidP="0006302B">
      <w:pPr>
        <w:ind w:left="3828" w:hanging="2694"/>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 xml:space="preserve">Es el mayor de los precios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0006302B" w:rsidRPr="0013707D">
        <w:rPr>
          <w:rFonts w:ascii="Bookman Old Style" w:hAnsi="Bookman Old Style" w:cs="Arial"/>
          <w:color w:val="000000" w:themeColor="text1"/>
          <w:lang w:val="es-CO"/>
        </w:rPr>
        <w:t xml:space="preserve"> declarados </w:t>
      </w:r>
      <w:r w:rsidR="0006302B" w:rsidRPr="0013707D">
        <w:rPr>
          <w:rFonts w:ascii="Bookman Old Style" w:hAnsi="Bookman Old Style" w:cs="Arial"/>
          <w:color w:val="000000" w:themeColor="text1"/>
          <w:lang w:val="es-CO" w:eastAsia="x-none"/>
        </w:rPr>
        <w:t xml:space="preserve">por todos los compradores </w:t>
      </w:r>
      <m:oMath>
        <m:r>
          <w:rPr>
            <w:rFonts w:ascii="Cambria Math" w:hAnsi="Cambria Math"/>
            <w:color w:val="000000" w:themeColor="text1"/>
            <w:lang w:val="es-CO"/>
          </w:rPr>
          <m:t>j</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s="Arial"/>
          <w:color w:val="000000" w:themeColor="text1"/>
          <w:lang w:val="es-CO"/>
        </w:rPr>
        <w:fldChar w:fldCharType="begin"/>
      </w:r>
      <w:r w:rsidR="0006302B" w:rsidRPr="0013707D">
        <w:rPr>
          <w:rFonts w:ascii="Bookman Old Style" w:hAnsi="Bookman Old Style" w:cs="Arial"/>
          <w:color w:val="000000" w:themeColor="text1"/>
          <w:lang w:val="es-CO"/>
        </w:rPr>
        <w:instrText xml:space="preserve"> REF _Ref336592874 \h  \* MERGEFORMAT </w:instrText>
      </w:r>
      <w:r w:rsidR="0006302B" w:rsidRPr="0013707D">
        <w:rPr>
          <w:rFonts w:ascii="Bookman Old Style" w:hAnsi="Bookman Old Style" w:cs="Arial"/>
          <w:color w:val="000000" w:themeColor="text1"/>
          <w:lang w:val="es-CO"/>
        </w:rPr>
      </w:r>
      <w:r w:rsidR="0006302B"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0006302B" w:rsidRPr="0013707D">
        <w:rPr>
          <w:rFonts w:ascii="Bookman Old Style" w:hAnsi="Bookman Old Style" w:cs="Arial"/>
          <w:color w:val="000000" w:themeColor="text1"/>
          <w:lang w:val="es-CO"/>
        </w:rPr>
        <w:fldChar w:fldCharType="end"/>
      </w:r>
      <w:r w:rsidR="0006302B" w:rsidRPr="0013707D">
        <w:rPr>
          <w:rFonts w:ascii="Bookman Old Style" w:hAnsi="Bookman Old Style" w:cs="Arial"/>
          <w:color w:val="000000" w:themeColor="text1"/>
          <w:lang w:val="es-CO"/>
        </w:rPr>
        <w:t>. Este valor se expresará en dólares de los Estados Unidos de América por MBTU.</w:t>
      </w:r>
    </w:p>
    <w:p w14:paraId="1EE7FCB9" w14:textId="77777777" w:rsidR="0006302B" w:rsidRPr="0013707D" w:rsidRDefault="0006302B" w:rsidP="0006302B">
      <w:pPr>
        <w:ind w:left="3828" w:hanging="2694"/>
        <w:jc w:val="both"/>
        <w:rPr>
          <w:rFonts w:ascii="Bookman Old Style" w:hAnsi="Bookman Old Style" w:cs="Arial"/>
          <w:bCs/>
          <w:color w:val="000000" w:themeColor="text1"/>
          <w:sz w:val="28"/>
          <w:lang w:val="es-CO" w:eastAsia="x-none"/>
        </w:rPr>
      </w:pPr>
    </w:p>
    <w:p w14:paraId="44D718C1" w14:textId="4DC96177" w:rsidR="0006302B" w:rsidRPr="0013707D" w:rsidRDefault="00FB7B28" w:rsidP="0006302B">
      <w:pPr>
        <w:ind w:left="3828" w:hanging="2694"/>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 xml:space="preserve">Es el menor de los precios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0006302B" w:rsidRPr="0013707D">
        <w:rPr>
          <w:rFonts w:ascii="Bookman Old Style" w:hAnsi="Bookman Old Style" w:cs="Arial"/>
          <w:color w:val="000000" w:themeColor="text1"/>
          <w:lang w:val="es-CO"/>
        </w:rPr>
        <w:t xml:space="preserve"> declarados </w:t>
      </w:r>
      <w:r w:rsidR="0006302B" w:rsidRPr="0013707D">
        <w:rPr>
          <w:rFonts w:ascii="Bookman Old Style" w:hAnsi="Bookman Old Style" w:cs="Arial"/>
          <w:color w:val="000000" w:themeColor="text1"/>
          <w:lang w:val="es-CO" w:eastAsia="x-none"/>
        </w:rPr>
        <w:t xml:space="preserve">por todos los compradores </w:t>
      </w:r>
      <m:oMath>
        <m:r>
          <w:rPr>
            <w:rFonts w:ascii="Cambria Math" w:hAnsi="Cambria Math"/>
            <w:color w:val="000000" w:themeColor="text1"/>
            <w:lang w:val="es-CO"/>
          </w:rPr>
          <m:t>j</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s="Arial"/>
          <w:color w:val="000000" w:themeColor="text1"/>
          <w:lang w:val="es-CO"/>
        </w:rPr>
        <w:fldChar w:fldCharType="begin"/>
      </w:r>
      <w:r w:rsidR="0006302B" w:rsidRPr="0013707D">
        <w:rPr>
          <w:rFonts w:ascii="Bookman Old Style" w:hAnsi="Bookman Old Style" w:cs="Arial"/>
          <w:color w:val="000000" w:themeColor="text1"/>
          <w:lang w:val="es-CO"/>
        </w:rPr>
        <w:instrText xml:space="preserve"> REF _Ref336592874 \h  \* MERGEFORMAT </w:instrText>
      </w:r>
      <w:r w:rsidR="0006302B" w:rsidRPr="0013707D">
        <w:rPr>
          <w:rFonts w:ascii="Bookman Old Style" w:hAnsi="Bookman Old Style" w:cs="Arial"/>
          <w:color w:val="000000" w:themeColor="text1"/>
          <w:lang w:val="es-CO"/>
        </w:rPr>
      </w:r>
      <w:r w:rsidR="0006302B"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0006302B" w:rsidRPr="0013707D">
        <w:rPr>
          <w:rFonts w:ascii="Bookman Old Style" w:hAnsi="Bookman Old Style" w:cs="Arial"/>
          <w:color w:val="000000" w:themeColor="text1"/>
          <w:lang w:val="es-CO"/>
        </w:rPr>
        <w:fldChar w:fldCharType="end"/>
      </w:r>
      <w:r w:rsidR="0006302B" w:rsidRPr="0013707D">
        <w:rPr>
          <w:rFonts w:ascii="Bookman Old Style" w:hAnsi="Bookman Old Style" w:cs="Arial"/>
          <w:color w:val="000000" w:themeColor="text1"/>
          <w:lang w:val="es-CO"/>
        </w:rPr>
        <w:t>. Este valor se expresará en dólares de los Estados Unidos de América por MBTU.</w:t>
      </w:r>
    </w:p>
    <w:p w14:paraId="0ADD6BE6" w14:textId="77777777" w:rsidR="0006302B" w:rsidRPr="0013707D" w:rsidRDefault="0006302B" w:rsidP="0006302B">
      <w:pPr>
        <w:ind w:left="3828" w:hanging="2694"/>
        <w:jc w:val="both"/>
        <w:rPr>
          <w:rFonts w:ascii="Bookman Old Style" w:hAnsi="Bookman Old Style" w:cs="Arial"/>
          <w:bCs/>
          <w:color w:val="000000" w:themeColor="text1"/>
          <w:sz w:val="28"/>
          <w:lang w:val="es-CO" w:eastAsia="x-none"/>
        </w:rPr>
      </w:pPr>
    </w:p>
    <w:p w14:paraId="6B810A7A" w14:textId="41ACE494" w:rsidR="0006302B" w:rsidRPr="0013707D" w:rsidRDefault="00FB7B28" w:rsidP="0006302B">
      <w:pPr>
        <w:ind w:left="3828" w:hanging="2694"/>
        <w:jc w:val="both"/>
        <w:rPr>
          <w:rFonts w:ascii="Bookman Old Style" w:hAnsi="Bookman Old Style" w:cs="Arial"/>
          <w:b/>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e,máx-1</m:t>
                </m:r>
              </m:sub>
            </m:sSub>
          </m:sub>
        </m:sSub>
      </m:oMath>
      <w:proofErr w:type="gramStart"/>
      <w:r w:rsidR="0006302B" w:rsidRPr="0013707D">
        <w:rPr>
          <w:rFonts w:ascii="Bookman Old Style" w:hAnsi="Bookman Old Style" w:cs="Arial"/>
          <w:bCs/>
          <w:color w:val="000000" w:themeColor="text1"/>
          <w:lang w:val="es-CO" w:eastAsia="en-US"/>
        </w:rPr>
        <w:t>,…</w:t>
      </w:r>
      <w:proofErr w:type="gramEnd"/>
      <w:r w:rsidR="0006302B" w:rsidRPr="0013707D">
        <w:rPr>
          <w:rFonts w:ascii="Bookman Old Style" w:hAnsi="Bookman Old Style" w:cs="Arial"/>
          <w:bCs/>
          <w:color w:val="000000" w:themeColor="text1"/>
          <w:lang w:val="es-CO" w:eastAsia="en-US"/>
        </w:rPr>
        <w:t>,</w:t>
      </w:r>
      <m:oMath>
        <m:r>
          <w:rPr>
            <w:rFonts w:ascii="Cambria Math" w:eastAsia="Calibri" w:hAnsi="Cambria Math"/>
            <w:color w:val="000000" w:themeColor="text1"/>
            <w:lang w:val="es-CO" w:eastAsia="en-US"/>
          </w:rPr>
          <m:t xml:space="preserve"> </m:t>
        </m:r>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e,mín+1</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Son</w:t>
      </w:r>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eastAsia="x-none"/>
        </w:rPr>
        <w:t xml:space="preserve">los precios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e,j</m:t>
                </m:r>
              </m:sub>
            </m:sSub>
          </m:sub>
        </m:sSub>
      </m:oMath>
      <w:r w:rsidR="0006302B" w:rsidRPr="0013707D">
        <w:rPr>
          <w:rFonts w:ascii="Bookman Old Style" w:hAnsi="Bookman Old Style" w:cs="Arial"/>
          <w:color w:val="000000" w:themeColor="text1"/>
          <w:lang w:val="es-CO"/>
        </w:rPr>
        <w:t xml:space="preserve"> declarados </w:t>
      </w:r>
      <w:r w:rsidR="0006302B" w:rsidRPr="0013707D">
        <w:rPr>
          <w:rFonts w:ascii="Bookman Old Style" w:hAnsi="Bookman Old Style" w:cs="Arial"/>
          <w:color w:val="000000" w:themeColor="text1"/>
          <w:lang w:val="es-CO" w:eastAsia="x-none"/>
        </w:rPr>
        <w:t xml:space="preserve">por todos los compradores </w:t>
      </w:r>
      <m:oMath>
        <m:r>
          <w:rPr>
            <w:rFonts w:ascii="Cambria Math" w:hAnsi="Cambria Math"/>
            <w:color w:val="000000" w:themeColor="text1"/>
            <w:lang w:val="es-CO"/>
          </w:rPr>
          <m:t>j</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s="Arial"/>
          <w:color w:val="000000" w:themeColor="text1"/>
          <w:lang w:val="es-CO"/>
        </w:rPr>
        <w:fldChar w:fldCharType="begin"/>
      </w:r>
      <w:r w:rsidR="0006302B" w:rsidRPr="0013707D">
        <w:rPr>
          <w:rFonts w:ascii="Bookman Old Style" w:hAnsi="Bookman Old Style" w:cs="Arial"/>
          <w:color w:val="000000" w:themeColor="text1"/>
          <w:lang w:val="es-CO"/>
        </w:rPr>
        <w:instrText xml:space="preserve"> REF _Ref336592874 \h  \* MERGEFORMAT </w:instrText>
      </w:r>
      <w:r w:rsidR="0006302B" w:rsidRPr="0013707D">
        <w:rPr>
          <w:rFonts w:ascii="Bookman Old Style" w:hAnsi="Bookman Old Style" w:cs="Arial"/>
          <w:color w:val="000000" w:themeColor="text1"/>
          <w:lang w:val="es-CO"/>
        </w:rPr>
      </w:r>
      <w:r w:rsidR="0006302B"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0006302B" w:rsidRPr="0013707D">
        <w:rPr>
          <w:rFonts w:ascii="Bookman Old Style" w:hAnsi="Bookman Old Style" w:cs="Arial"/>
          <w:color w:val="000000" w:themeColor="text1"/>
          <w:lang w:val="es-CO"/>
        </w:rPr>
        <w:fldChar w:fldCharType="end"/>
      </w:r>
      <w:r w:rsidR="0006302B" w:rsidRPr="0013707D">
        <w:rPr>
          <w:rFonts w:ascii="Bookman Old Style" w:hAnsi="Bookman Old Style" w:cs="Arial"/>
          <w:color w:val="000000" w:themeColor="text1"/>
          <w:lang w:val="es-CO"/>
        </w:rPr>
        <w:t xml:space="preserve">, organizados de mayor a menor entre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oMath>
      <w:r w:rsidR="0006302B" w:rsidRPr="0013707D">
        <w:rPr>
          <w:rFonts w:ascii="Bookman Old Style" w:hAnsi="Bookman Old Style" w:cs="Arial"/>
          <w:color w:val="000000" w:themeColor="text1"/>
          <w:lang w:val="es-CO"/>
        </w:rPr>
        <w:t xml:space="preserve"> y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m:t>
                </m:r>
              </m:sub>
            </m:sSub>
          </m:sub>
        </m:sSub>
      </m:oMath>
      <w:r w:rsidR="0006302B" w:rsidRPr="0013707D">
        <w:rPr>
          <w:rFonts w:ascii="Bookman Old Style" w:hAnsi="Bookman Old Style" w:cs="Arial"/>
          <w:color w:val="000000" w:themeColor="text1"/>
          <w:lang w:val="es-CO"/>
        </w:rPr>
        <w:t xml:space="preserve">. Estos </w:t>
      </w:r>
      <w:r w:rsidR="0006302B" w:rsidRPr="0013707D">
        <w:rPr>
          <w:rFonts w:ascii="Bookman Old Style" w:hAnsi="Bookman Old Style" w:cs="Arial"/>
          <w:color w:val="000000" w:themeColor="text1"/>
          <w:lang w:val="es-CO"/>
        </w:rPr>
        <w:lastRenderedPageBreak/>
        <w:t>valores se expresarán en dólares de los Estados Unidos de América por MBTU.</w:t>
      </w:r>
    </w:p>
    <w:p w14:paraId="507BE5CD" w14:textId="77777777" w:rsidR="0006302B" w:rsidRPr="0013707D" w:rsidRDefault="0006302B" w:rsidP="0006302B">
      <w:pPr>
        <w:pStyle w:val="Textoindependiente"/>
        <w:ind w:left="1134"/>
        <w:jc w:val="both"/>
        <w:rPr>
          <w:rFonts w:ascii="Bookman Old Style" w:hAnsi="Bookman Old Style"/>
          <w:b w:val="0"/>
          <w:color w:val="000000" w:themeColor="text1"/>
          <w:sz w:val="28"/>
          <w:lang w:val="es-CO"/>
        </w:rPr>
      </w:pPr>
    </w:p>
    <w:p w14:paraId="62540A0C" w14:textId="77777777" w:rsidR="00636B6A" w:rsidRPr="00996A90" w:rsidRDefault="0006302B" w:rsidP="00996A90">
      <w:pPr>
        <w:numPr>
          <w:ilvl w:val="0"/>
          <w:numId w:val="47"/>
        </w:numPr>
        <w:autoSpaceDE w:val="0"/>
        <w:autoSpaceDN w:val="0"/>
        <w:adjustRightInd w:val="0"/>
        <w:ind w:left="1134" w:hanging="567"/>
        <w:jc w:val="both"/>
        <w:rPr>
          <w:rFonts w:ascii="Bookman Old Style" w:hAnsi="Bookman Old Style"/>
          <w:color w:val="000000" w:themeColor="text1"/>
          <w:lang w:val="es-CO"/>
        </w:rPr>
      </w:pPr>
      <w:bookmarkStart w:id="162" w:name="_Ref359856897"/>
      <w:r w:rsidRPr="00EB1A18">
        <w:rPr>
          <w:rFonts w:ascii="Bookman Old Style" w:hAnsi="Bookman Old Style" w:cs="Arial"/>
          <w:color w:val="000000" w:themeColor="text1"/>
          <w:lang w:val="es-CO"/>
        </w:rPr>
        <w:t xml:space="preserve">Con base en las cantidades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Pr="00EB1A18">
        <w:rPr>
          <w:rFonts w:ascii="Bookman Old Style" w:hAnsi="Bookman Old Style" w:cs="Arial"/>
          <w:bCs/>
          <w:color w:val="000000" w:themeColor="text1"/>
          <w:lang w:val="es-CO" w:eastAsia="x-none"/>
        </w:rPr>
        <w:t xml:space="preserve"> y </w:t>
      </w:r>
      <m:oMath>
        <m:sSub>
          <m:sSubPr>
            <m:ctrlPr>
              <w:rPr>
                <w:rFonts w:ascii="Cambria Math" w:hAnsi="Cambria Math" w:cs="Arial"/>
                <w:b/>
                <w:i/>
                <w:color w:val="000000" w:themeColor="text1"/>
                <w:lang w:val="es-CO"/>
              </w:rPr>
            </m:ctrlPr>
          </m:sSubPr>
          <m:e>
            <m:acc>
              <m:accPr>
                <m:ctrlPr>
                  <w:rPr>
                    <w:rFonts w:ascii="Cambria Math" w:hAnsi="Cambria Math" w:cs="Arial"/>
                    <w:bCs/>
                    <w:i/>
                    <w:color w:val="000000" w:themeColor="text1"/>
                    <w:lang w:val="es-CO"/>
                  </w:rPr>
                </m:ctrlPr>
              </m:accPr>
              <m:e>
                <m:r>
                  <w:rPr>
                    <w:rFonts w:ascii="Cambria Math" w:hAnsi="Cambria Math" w:cs="Arial"/>
                    <w:color w:val="000000" w:themeColor="text1"/>
                    <w:lang w:val="es-CO"/>
                  </w:rPr>
                  <m:t>Q</m:t>
                </m:r>
              </m:e>
            </m:acc>
          </m:e>
          <m:sub>
            <m:sSub>
              <m:sSubPr>
                <m:ctrlPr>
                  <w:rPr>
                    <w:rFonts w:ascii="Cambria Math" w:hAnsi="Cambria Math" w:cs="Arial"/>
                    <w:b/>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r>
                  <m:rPr>
                    <m:sty m:val="bi"/>
                  </m:rPr>
                  <w:rPr>
                    <w:rFonts w:ascii="Cambria Math" w:hAnsi="Cambria Math" w:cs="Arial"/>
                    <w:color w:val="000000" w:themeColor="text1"/>
                    <w:lang w:val="es-CO"/>
                  </w:rPr>
                  <m:t>t</m:t>
                </m:r>
              </m:sub>
            </m:sSub>
          </m:sub>
        </m:sSub>
      </m:oMath>
      <w:r w:rsidRPr="00EB1A18">
        <w:rPr>
          <w:rFonts w:ascii="Bookman Old Style" w:hAnsi="Bookman Old Style" w:cs="Arial"/>
          <w:bCs/>
          <w:color w:val="000000" w:themeColor="text1"/>
          <w:lang w:val="es-CO" w:eastAsia="x-none"/>
        </w:rPr>
        <w:t xml:space="preserve"> y en los precios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Pr="00EB1A18">
        <w:rPr>
          <w:rFonts w:ascii="Bookman Old Style" w:hAnsi="Bookman Old Style" w:cs="Arial"/>
          <w:color w:val="000000" w:themeColor="text1"/>
          <w:lang w:val="es-CO"/>
        </w:rPr>
        <w:t xml:space="preserve"> el subastador determinará la curva de oferta agregada </w:t>
      </w:r>
      <w:r w:rsidRPr="00EB1A18">
        <w:rPr>
          <w:rFonts w:ascii="Bookman Old Style" w:hAnsi="Bookman Old Style"/>
          <w:bCs/>
          <w:color w:val="000000" w:themeColor="text1"/>
          <w:lang w:val="es-CO" w:eastAsia="x-none"/>
        </w:rPr>
        <w:t xml:space="preserve">de cada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EB1A18">
        <w:rPr>
          <w:rFonts w:ascii="Bookman Old Style" w:hAnsi="Bookman Old Style" w:cs="Arial"/>
          <w:color w:val="000000" w:themeColor="text1"/>
          <w:lang w:val="es-CO"/>
        </w:rPr>
        <w:t xml:space="preserve">,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OA</m:t>
            </m:r>
          </m:e>
          <m:sub>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E</m:t>
                </m:r>
              </m:e>
              <m:sub>
                <m:r>
                  <w:rPr>
                    <w:rFonts w:ascii="Cambria Math" w:hAnsi="Cambria Math"/>
                    <w:color w:val="000000" w:themeColor="text1"/>
                    <w:lang w:val="es-CO" w:eastAsia="x-none"/>
                  </w:rPr>
                  <m:t>e</m:t>
                </m:r>
              </m:sub>
            </m:sSub>
          </m:sub>
        </m:sSub>
        <m:r>
          <w:rPr>
            <w:rFonts w:ascii="Cambria Math" w:hAnsi="Cambria Math"/>
            <w:color w:val="000000" w:themeColor="text1"/>
            <w:lang w:val="es-CO" w:eastAsia="x-none"/>
          </w:rPr>
          <m:t>,</m:t>
        </m:r>
      </m:oMath>
      <w:r w:rsidRPr="00EB1A18">
        <w:rPr>
          <w:rFonts w:ascii="Bookman Old Style" w:hAnsi="Bookman Old Style" w:cs="Arial"/>
          <w:color w:val="000000" w:themeColor="text1"/>
          <w:lang w:val="es-CO"/>
        </w:rPr>
        <w:t xml:space="preserve"> la cual se formará conforme a lo establecido en la </w:t>
      </w:r>
      <w:r w:rsidRPr="00EB1A18">
        <w:rPr>
          <w:rFonts w:ascii="Bookman Old Style" w:hAnsi="Bookman Old Style" w:cs="Arial"/>
          <w:color w:val="000000" w:themeColor="text1"/>
          <w:lang w:val="es-CO"/>
        </w:rPr>
        <w:fldChar w:fldCharType="begin"/>
      </w:r>
      <w:r w:rsidRPr="00EB1A18">
        <w:rPr>
          <w:rFonts w:ascii="Bookman Old Style" w:hAnsi="Bookman Old Style" w:cs="Arial"/>
          <w:color w:val="000000" w:themeColor="text1"/>
          <w:lang w:val="es-CO"/>
        </w:rPr>
        <w:instrText xml:space="preserve"> REF _Ref361822776 \h  \* MERGEFORMAT </w:instrText>
      </w:r>
      <w:r w:rsidRPr="00EB1A18">
        <w:rPr>
          <w:rFonts w:ascii="Bookman Old Style" w:hAnsi="Bookman Old Style" w:cs="Arial"/>
          <w:color w:val="000000" w:themeColor="text1"/>
          <w:lang w:val="es-CO"/>
        </w:rPr>
      </w:r>
      <w:r w:rsidRPr="00EB1A18">
        <w:rPr>
          <w:rFonts w:ascii="Bookman Old Style" w:hAnsi="Bookman Old Style" w:cs="Arial"/>
          <w:color w:val="000000" w:themeColor="text1"/>
          <w:lang w:val="es-CO"/>
        </w:rPr>
        <w:fldChar w:fldCharType="separate"/>
      </w:r>
    </w:p>
    <w:p w14:paraId="77EA8EF8" w14:textId="580293AD" w:rsidR="0006302B" w:rsidRPr="00EB1A18" w:rsidRDefault="00636B6A" w:rsidP="00A4790E">
      <w:pPr>
        <w:numPr>
          <w:ilvl w:val="0"/>
          <w:numId w:val="47"/>
        </w:numPr>
        <w:autoSpaceDE w:val="0"/>
        <w:autoSpaceDN w:val="0"/>
        <w:adjustRightInd w:val="0"/>
        <w:ind w:left="1134" w:hanging="567"/>
        <w:jc w:val="both"/>
        <w:rPr>
          <w:rFonts w:ascii="Bookman Old Style" w:hAnsi="Bookman Old Style" w:cs="Arial"/>
          <w:color w:val="000000" w:themeColor="text1"/>
          <w:lang w:val="es-CO"/>
        </w:rPr>
      </w:pPr>
      <w:r w:rsidRPr="00996A90">
        <w:rPr>
          <w:rFonts w:ascii="Bookman Old Style" w:hAnsi="Bookman Old Style"/>
          <w:color w:val="000000" w:themeColor="text1"/>
          <w:lang w:val="es-CO"/>
        </w:rPr>
        <w:t>Tabla</w:t>
      </w:r>
      <w:r w:rsidRPr="00996A90">
        <w:rPr>
          <w:rFonts w:ascii="Bookman Old Style" w:hAnsi="Bookman Old Style"/>
          <w:noProof/>
          <w:color w:val="000000" w:themeColor="text1"/>
          <w:lang w:val="es-CO"/>
        </w:rPr>
        <w:t xml:space="preserve"> 7</w:t>
      </w:r>
      <w:r w:rsidR="0006302B" w:rsidRPr="00EB1A18">
        <w:rPr>
          <w:rFonts w:ascii="Bookman Old Style" w:hAnsi="Bookman Old Style" w:cs="Arial"/>
          <w:color w:val="000000" w:themeColor="text1"/>
          <w:lang w:val="es-CO"/>
        </w:rPr>
        <w:fldChar w:fldCharType="end"/>
      </w:r>
      <w:r w:rsidR="0006302B" w:rsidRPr="00EB1A18">
        <w:rPr>
          <w:rFonts w:ascii="Bookman Old Style" w:hAnsi="Bookman Old Style" w:cs="Arial"/>
          <w:color w:val="000000" w:themeColor="text1"/>
          <w:lang w:val="es-CO"/>
        </w:rPr>
        <w:t>. Para estos efectos se aplicarán los siguientes pasos.</w:t>
      </w:r>
      <w:bookmarkEnd w:id="162"/>
    </w:p>
    <w:p w14:paraId="7C7BC371" w14:textId="77777777" w:rsidR="0006302B" w:rsidRPr="0013707D" w:rsidRDefault="0006302B" w:rsidP="0006302B">
      <w:pPr>
        <w:pStyle w:val="Textoindependiente"/>
        <w:ind w:left="1134"/>
        <w:jc w:val="both"/>
        <w:rPr>
          <w:rFonts w:ascii="Bookman Old Style" w:hAnsi="Bookman Old Style"/>
          <w:b w:val="0"/>
          <w:color w:val="000000" w:themeColor="text1"/>
          <w:sz w:val="28"/>
          <w:lang w:val="es-CO"/>
        </w:rPr>
      </w:pPr>
    </w:p>
    <w:p w14:paraId="3305AFED" w14:textId="3B7F7BE5" w:rsidR="0006302B" w:rsidRPr="0013707D" w:rsidRDefault="0006302B" w:rsidP="00A4790E">
      <w:pPr>
        <w:numPr>
          <w:ilvl w:val="0"/>
          <w:numId w:val="50"/>
        </w:numPr>
        <w:ind w:left="1701" w:hanging="567"/>
        <w:contextualSpacing/>
        <w:jc w:val="both"/>
        <w:rPr>
          <w:rFonts w:ascii="Bookman Old Style" w:hAnsi="Bookman Old Style" w:cs="Arial"/>
          <w:bCs/>
          <w:color w:val="000000" w:themeColor="text1"/>
          <w:lang w:val="es-CO" w:eastAsia="x-none"/>
        </w:rPr>
      </w:pPr>
      <w:r w:rsidRPr="0013707D">
        <w:rPr>
          <w:rFonts w:ascii="Bookman Old Style" w:hAnsi="Bookman Old Style" w:cs="Arial"/>
          <w:bCs/>
          <w:color w:val="000000" w:themeColor="text1"/>
          <w:lang w:val="es-CO" w:eastAsia="x-none"/>
        </w:rPr>
        <w:t xml:space="preserve">Establecer la curva de oferta </w:t>
      </w:r>
      <w:r w:rsidRPr="0013707D">
        <w:rPr>
          <w:rFonts w:ascii="Bookman Old Style" w:hAnsi="Bookman Old Style"/>
          <w:bCs/>
          <w:color w:val="000000" w:themeColor="text1"/>
          <w:lang w:val="es-CO" w:eastAsia="x-none"/>
        </w:rPr>
        <w:t xml:space="preserve">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13707D">
        <w:rPr>
          <w:rFonts w:ascii="Bookman Old Style" w:hAnsi="Bookman Old Style"/>
          <w:b/>
          <w:color w:val="000000" w:themeColor="text1"/>
          <w:lang w:val="es-CO"/>
        </w:rPr>
        <w:t xml:space="preserve"> </w:t>
      </w:r>
      <w:r w:rsidRPr="0013707D">
        <w:rPr>
          <w:rFonts w:ascii="Bookman Old Style" w:hAnsi="Bookman Old Style" w:cs="Arial"/>
          <w:bCs/>
          <w:color w:val="000000" w:themeColor="text1"/>
          <w:lang w:val="es-CO" w:eastAsia="x-none"/>
        </w:rPr>
        <w:t xml:space="preserve">para cada vendedor, como se dispone en la </w:t>
      </w:r>
      <w:r w:rsidRPr="0013707D">
        <w:rPr>
          <w:rFonts w:ascii="Bookman Old Style" w:hAnsi="Bookman Old Style" w:cs="Arial"/>
          <w:bCs/>
          <w:color w:val="000000" w:themeColor="text1"/>
          <w:lang w:val="es-CO" w:eastAsia="x-none"/>
        </w:rPr>
        <w:fldChar w:fldCharType="begin"/>
      </w:r>
      <w:r w:rsidRPr="0013707D">
        <w:rPr>
          <w:rFonts w:ascii="Bookman Old Style" w:hAnsi="Bookman Old Style" w:cs="Arial"/>
          <w:bCs/>
          <w:color w:val="000000" w:themeColor="text1"/>
          <w:lang w:val="es-CO" w:eastAsia="x-none"/>
        </w:rPr>
        <w:instrText xml:space="preserve"> REF _Ref361822728 \h  \* MERGEFORMAT </w:instrText>
      </w:r>
      <w:r w:rsidRPr="0013707D">
        <w:rPr>
          <w:rFonts w:ascii="Bookman Old Style" w:hAnsi="Bookman Old Style" w:cs="Arial"/>
          <w:bCs/>
          <w:color w:val="000000" w:themeColor="text1"/>
          <w:lang w:val="es-CO" w:eastAsia="x-none"/>
        </w:rPr>
      </w:r>
      <w:r w:rsidRPr="0013707D">
        <w:rPr>
          <w:rFonts w:ascii="Bookman Old Style" w:hAnsi="Bookman Old Style" w:cs="Arial"/>
          <w:bCs/>
          <w:color w:val="000000" w:themeColor="text1"/>
          <w:lang w:val="es-CO" w:eastAsia="x-none"/>
        </w:rPr>
        <w:fldChar w:fldCharType="separate"/>
      </w:r>
      <w:r w:rsidR="00636B6A" w:rsidRPr="00996A90">
        <w:rPr>
          <w:rFonts w:ascii="Bookman Old Style" w:hAnsi="Bookman Old Style"/>
          <w:color w:val="000000" w:themeColor="text1"/>
          <w:lang w:val="es-CO"/>
        </w:rPr>
        <w:t xml:space="preserve">Tabla </w:t>
      </w:r>
      <w:r w:rsidR="00636B6A" w:rsidRPr="00996A90">
        <w:rPr>
          <w:rFonts w:ascii="Bookman Old Style" w:hAnsi="Bookman Old Style"/>
          <w:noProof/>
          <w:color w:val="000000" w:themeColor="text1"/>
          <w:lang w:val="es-CO"/>
        </w:rPr>
        <w:t>6</w:t>
      </w:r>
      <w:r w:rsidRPr="0013707D">
        <w:rPr>
          <w:rFonts w:ascii="Bookman Old Style" w:hAnsi="Bookman Old Style" w:cs="Arial"/>
          <w:bCs/>
          <w:color w:val="000000" w:themeColor="text1"/>
          <w:lang w:val="es-CO" w:eastAsia="x-none"/>
        </w:rPr>
        <w:fldChar w:fldCharType="end"/>
      </w:r>
      <w:r w:rsidRPr="0013707D">
        <w:rPr>
          <w:rFonts w:ascii="Bookman Old Style" w:hAnsi="Bookman Old Style" w:cs="Arial"/>
          <w:bCs/>
          <w:color w:val="000000" w:themeColor="text1"/>
          <w:lang w:val="es-CO" w:eastAsia="x-none"/>
        </w:rPr>
        <w:t>.</w:t>
      </w:r>
    </w:p>
    <w:p w14:paraId="7C3AE3E5" w14:textId="77777777" w:rsidR="0006302B" w:rsidRPr="0013707D" w:rsidRDefault="0006302B" w:rsidP="0006302B">
      <w:pPr>
        <w:autoSpaceDE w:val="0"/>
        <w:autoSpaceDN w:val="0"/>
        <w:adjustRightInd w:val="0"/>
        <w:ind w:left="1701"/>
        <w:jc w:val="both"/>
        <w:rPr>
          <w:rFonts w:ascii="Bookman Old Style" w:hAnsi="Bookman Old Style" w:cs="Arial"/>
          <w:bCs/>
          <w:color w:val="000000" w:themeColor="text1"/>
          <w:sz w:val="28"/>
          <w:lang w:val="es-CO" w:eastAsia="x-none"/>
        </w:rPr>
      </w:pPr>
    </w:p>
    <w:p w14:paraId="7A45CF5C" w14:textId="54A0FA65" w:rsidR="0006302B" w:rsidRPr="0013707D" w:rsidRDefault="0006302B" w:rsidP="0006302B">
      <w:pPr>
        <w:keepNext/>
        <w:autoSpaceDE w:val="0"/>
        <w:autoSpaceDN w:val="0"/>
        <w:adjustRightInd w:val="0"/>
        <w:ind w:left="1701"/>
        <w:jc w:val="center"/>
        <w:rPr>
          <w:rFonts w:ascii="Bookman Old Style" w:hAnsi="Bookman Old Style" w:cs="Arial"/>
          <w:b/>
          <w:bCs/>
          <w:color w:val="000000" w:themeColor="text1"/>
          <w:lang w:val="es-CO" w:eastAsia="x-none"/>
        </w:rPr>
      </w:pPr>
      <w:bookmarkStart w:id="163" w:name="_Ref361822728"/>
      <w:r w:rsidRPr="0013707D">
        <w:rPr>
          <w:rFonts w:ascii="Bookman Old Style" w:hAnsi="Bookman Old Style"/>
          <w:b/>
          <w:color w:val="000000" w:themeColor="text1"/>
          <w:lang w:val="es-CO"/>
        </w:rPr>
        <w:t xml:space="preserve">Tabla </w:t>
      </w:r>
      <w:r w:rsidRPr="0013707D">
        <w:rPr>
          <w:rFonts w:ascii="Bookman Old Style" w:hAnsi="Bookman Old Style"/>
          <w:b/>
          <w:color w:val="000000" w:themeColor="text1"/>
          <w:lang w:val="es-CO"/>
        </w:rPr>
        <w:fldChar w:fldCharType="begin"/>
      </w:r>
      <w:r w:rsidRPr="0013707D">
        <w:rPr>
          <w:rFonts w:ascii="Bookman Old Style" w:hAnsi="Bookman Old Style"/>
          <w:b/>
          <w:color w:val="000000" w:themeColor="text1"/>
          <w:lang w:val="es-CO"/>
        </w:rPr>
        <w:instrText xml:space="preserve"> SEQ Tabla \* ARABIC </w:instrText>
      </w:r>
      <w:r w:rsidRPr="0013707D">
        <w:rPr>
          <w:rFonts w:ascii="Bookman Old Style" w:hAnsi="Bookman Old Style"/>
          <w:b/>
          <w:color w:val="000000" w:themeColor="text1"/>
          <w:lang w:val="es-CO"/>
        </w:rPr>
        <w:fldChar w:fldCharType="separate"/>
      </w:r>
      <w:r w:rsidR="00636B6A">
        <w:rPr>
          <w:rFonts w:ascii="Bookman Old Style" w:hAnsi="Bookman Old Style"/>
          <w:b/>
          <w:noProof/>
          <w:color w:val="000000" w:themeColor="text1"/>
          <w:lang w:val="es-CO"/>
        </w:rPr>
        <w:t>6</w:t>
      </w:r>
      <w:r w:rsidRPr="0013707D">
        <w:rPr>
          <w:rFonts w:ascii="Bookman Old Style" w:hAnsi="Bookman Old Style"/>
          <w:b/>
          <w:color w:val="000000" w:themeColor="text1"/>
          <w:lang w:val="es-CO"/>
        </w:rPr>
        <w:fldChar w:fldCharType="end"/>
      </w:r>
      <w:bookmarkEnd w:id="163"/>
      <w:r w:rsidRPr="0013707D">
        <w:rPr>
          <w:rFonts w:ascii="Bookman Old Style" w:hAnsi="Bookman Old Style"/>
          <w:b/>
          <w:color w:val="000000" w:themeColor="text1"/>
          <w:lang w:val="es-CO"/>
        </w:rPr>
        <w:t xml:space="preserve">. </w:t>
      </w:r>
      <w:r w:rsidRPr="0013707D">
        <w:rPr>
          <w:rFonts w:ascii="Bookman Old Style" w:hAnsi="Bookman Old Style" w:cs="Arial"/>
          <w:b/>
          <w:bCs/>
          <w:color w:val="000000" w:themeColor="text1"/>
          <w:lang w:val="es-CO" w:eastAsia="x-none"/>
        </w:rPr>
        <w:t xml:space="preserve">Oferta de cada vendedor </w:t>
      </w:r>
      <m:oMath>
        <m:r>
          <m:rPr>
            <m:sty m:val="bi"/>
          </m:rPr>
          <w:rPr>
            <w:rFonts w:ascii="Cambria Math" w:hAnsi="Cambria Math" w:cs="Arial"/>
            <w:color w:val="000000" w:themeColor="text1"/>
            <w:lang w:val="es-CO"/>
          </w:rPr>
          <m:t>s</m:t>
        </m:r>
      </m:oMath>
      <w:r w:rsidRPr="0013707D">
        <w:rPr>
          <w:rFonts w:ascii="Bookman Old Style" w:hAnsi="Bookman Old Style" w:cs="Arial"/>
          <w:b/>
          <w:bCs/>
          <w:color w:val="000000" w:themeColor="text1"/>
          <w:lang w:val="es-CO" w:eastAsia="x-none"/>
        </w:rPr>
        <w:t xml:space="preserve"> </w:t>
      </w:r>
    </w:p>
    <w:tbl>
      <w:tblPr>
        <w:tblStyle w:val="Tablaconcuadrcula"/>
        <w:tblW w:w="0" w:type="auto"/>
        <w:tblInd w:w="2746" w:type="dxa"/>
        <w:tblLayout w:type="fixed"/>
        <w:tblLook w:val="04A0" w:firstRow="1" w:lastRow="0" w:firstColumn="1" w:lastColumn="0" w:noHBand="0" w:noVBand="1"/>
      </w:tblPr>
      <w:tblGrid>
        <w:gridCol w:w="2926"/>
        <w:gridCol w:w="2927"/>
      </w:tblGrid>
      <w:tr w:rsidR="0006302B" w:rsidRPr="0013707D" w14:paraId="5814104D" w14:textId="77777777" w:rsidTr="00341DAD">
        <w:trPr>
          <w:trHeight w:val="122"/>
        </w:trPr>
        <w:tc>
          <w:tcPr>
            <w:tcW w:w="2926" w:type="dxa"/>
            <w:vAlign w:val="center"/>
          </w:tcPr>
          <w:p w14:paraId="6330F056" w14:textId="77777777" w:rsidR="0006302B" w:rsidRPr="0013707D" w:rsidRDefault="0006302B" w:rsidP="00341DAD">
            <w:pPr>
              <w:autoSpaceDE w:val="0"/>
              <w:autoSpaceDN w:val="0"/>
              <w:adjustRightInd w:val="0"/>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Cantidad ofrecida</w:t>
            </w:r>
          </w:p>
        </w:tc>
        <w:tc>
          <w:tcPr>
            <w:tcW w:w="2927" w:type="dxa"/>
            <w:vAlign w:val="center"/>
          </w:tcPr>
          <w:p w14:paraId="6780ED14" w14:textId="77777777" w:rsidR="0006302B" w:rsidRPr="0013707D" w:rsidRDefault="0006302B" w:rsidP="00341DAD">
            <w:pPr>
              <w:autoSpaceDE w:val="0"/>
              <w:autoSpaceDN w:val="0"/>
              <w:adjustRightInd w:val="0"/>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Precios</w:t>
            </w:r>
          </w:p>
        </w:tc>
      </w:tr>
      <w:tr w:rsidR="0006302B" w:rsidRPr="0013707D" w14:paraId="25194FD8" w14:textId="77777777" w:rsidTr="00341DAD">
        <w:trPr>
          <w:trHeight w:val="122"/>
        </w:trPr>
        <w:tc>
          <w:tcPr>
            <w:tcW w:w="2926" w:type="dxa"/>
            <w:vAlign w:val="center"/>
          </w:tcPr>
          <w:p w14:paraId="14C2335D" w14:textId="77777777" w:rsidR="0006302B" w:rsidRPr="0013707D" w:rsidRDefault="0006302B" w:rsidP="00341DAD">
            <w:pPr>
              <w:autoSpaceDE w:val="0"/>
              <w:autoSpaceDN w:val="0"/>
              <w:adjustRightInd w:val="0"/>
              <w:ind w:left="0"/>
              <w:jc w:val="center"/>
              <w:rPr>
                <w:rFonts w:ascii="Bookman Old Style" w:hAnsi="Bookman Old Style" w:cs="Arial"/>
                <w:bCs/>
                <w:color w:val="000000" w:themeColor="text1"/>
                <w:lang w:val="es-CO" w:eastAsia="x-none"/>
              </w:rPr>
            </w:pPr>
            <w:r w:rsidRPr="0013707D">
              <w:rPr>
                <w:rFonts w:ascii="Bookman Old Style" w:hAnsi="Bookman Old Style" w:cs="Arial"/>
                <w:bCs/>
                <w:color w:val="000000" w:themeColor="text1"/>
                <w:lang w:val="es-CO" w:eastAsia="x-none"/>
              </w:rPr>
              <w:t>Cero (0)</w:t>
            </w:r>
          </w:p>
        </w:tc>
        <w:tc>
          <w:tcPr>
            <w:tcW w:w="2927" w:type="dxa"/>
            <w:vAlign w:val="center"/>
          </w:tcPr>
          <w:p w14:paraId="79394502" w14:textId="77777777" w:rsidR="0006302B" w:rsidRPr="0013707D" w:rsidRDefault="0006302B" w:rsidP="00341DAD">
            <w:pPr>
              <w:autoSpaceDE w:val="0"/>
              <w:autoSpaceDN w:val="0"/>
              <w:adjustRightInd w:val="0"/>
              <w:ind w:left="0"/>
              <w:jc w:val="center"/>
              <w:rPr>
                <w:rFonts w:ascii="Bookman Old Style" w:hAnsi="Bookman Old Style" w:cs="Arial"/>
                <w:bCs/>
                <w:color w:val="000000" w:themeColor="text1"/>
                <w:lang w:val="es-CO" w:eastAsia="x-none"/>
              </w:rPr>
            </w:pPr>
            <m:oMathPara>
              <m:oMath>
                <m:r>
                  <w:rPr>
                    <w:rFonts w:ascii="Cambria Math" w:hAnsi="Cambria Math" w:cs="Arial"/>
                    <w:color w:val="000000" w:themeColor="text1"/>
                    <w:lang w:val="es-CO" w:eastAsia="x-none"/>
                  </w:rPr>
                  <m:t>0&lt;</m:t>
                </m:r>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po</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sub>
                </m:sSub>
                <m:r>
                  <w:rPr>
                    <w:rFonts w:ascii="Cambria Math" w:hAnsi="Cambria Math" w:cs="Arial"/>
                    <w:color w:val="000000" w:themeColor="text1"/>
                    <w:lang w:val="es-CO" w:eastAsia="x-none"/>
                  </w:rPr>
                  <m:t>&lt;</m:t>
                </m:r>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m:oMathPara>
          </w:p>
        </w:tc>
      </w:tr>
      <w:tr w:rsidR="0006302B" w:rsidRPr="0013707D" w14:paraId="76738504" w14:textId="77777777" w:rsidTr="00341DAD">
        <w:trPr>
          <w:trHeight w:val="122"/>
        </w:trPr>
        <w:tc>
          <w:tcPr>
            <w:tcW w:w="2926" w:type="dxa"/>
            <w:vAlign w:val="center"/>
          </w:tcPr>
          <w:p w14:paraId="5718DD85" w14:textId="77777777" w:rsidR="0006302B" w:rsidRPr="0013707D" w:rsidRDefault="00FB7B28" w:rsidP="00341DAD">
            <w:pPr>
              <w:autoSpaceDE w:val="0"/>
              <w:autoSpaceDN w:val="0"/>
              <w:adjustRightInd w:val="0"/>
              <w:ind w:left="0"/>
              <w:jc w:val="center"/>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e,s</m:t>
                        </m:r>
                      </m:e>
                      <m:sub>
                        <m:r>
                          <w:rPr>
                            <w:rFonts w:ascii="Cambria Math" w:hAnsi="Cambria Math"/>
                            <w:color w:val="000000" w:themeColor="text1"/>
                            <w:lang w:val="es-CO" w:eastAsia="x-none"/>
                          </w:rPr>
                          <m:t xml:space="preserve"> </m:t>
                        </m:r>
                      </m:sub>
                    </m:sSub>
                  </m:sub>
                </m:sSub>
                <m:r>
                  <w:rPr>
                    <w:rFonts w:ascii="Cambria Math" w:hAnsi="Cambria Math"/>
                    <w:color w:val="000000" w:themeColor="text1"/>
                    <w:lang w:val="es-CO" w:eastAsia="x-none"/>
                  </w:rPr>
                  <m:t>(</m:t>
                </m:r>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r>
                  <w:rPr>
                    <w:rFonts w:ascii="Cambria Math" w:hAnsi="Cambria Math" w:cs="Arial"/>
                    <w:color w:val="000000" w:themeColor="text1"/>
                    <w:lang w:val="es-CO" w:eastAsia="x-none"/>
                  </w:rPr>
                  <m:t>)</m:t>
                </m:r>
              </m:oMath>
            </m:oMathPara>
          </w:p>
        </w:tc>
        <w:tc>
          <w:tcPr>
            <w:tcW w:w="2927" w:type="dxa"/>
            <w:vAlign w:val="center"/>
          </w:tcPr>
          <w:p w14:paraId="6FF71F2A" w14:textId="77777777" w:rsidR="0006302B" w:rsidRPr="0013707D" w:rsidRDefault="00FB7B28" w:rsidP="00341DAD">
            <w:pPr>
              <w:autoSpaceDE w:val="0"/>
              <w:autoSpaceDN w:val="0"/>
              <w:adjustRightInd w:val="0"/>
              <w:ind w:left="0"/>
              <w:jc w:val="center"/>
              <w:rPr>
                <w:rFonts w:ascii="Bookman Old Style" w:hAnsi="Bookman Old Style" w:cs="Arial"/>
                <w:bCs/>
                <w:color w:val="000000" w:themeColor="text1"/>
                <w:lang w:val="es-CO" w:eastAsia="x-none"/>
              </w:rPr>
            </w:pPr>
            <m:oMathPara>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po</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r>
                      <w:rPr>
                        <w:rFonts w:ascii="Cambria Math" w:hAnsi="Cambria Math" w:cs="Arial"/>
                        <w:color w:val="000000" w:themeColor="text1"/>
                        <w:lang w:val="es-CO" w:eastAsia="x-none"/>
                      </w:rPr>
                      <m:t xml:space="preserve"> </m:t>
                    </m:r>
                  </m:sub>
                </m:sSub>
                <m:r>
                  <w:rPr>
                    <w:rFonts w:ascii="Cambria Math" w:hAnsi="Cambria Math" w:cs="Arial"/>
                    <w:color w:val="000000" w:themeColor="text1"/>
                    <w:lang w:val="es-CO" w:eastAsia="x-none"/>
                  </w:rPr>
                  <m:t>≥</m:t>
                </m:r>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m:oMathPara>
          </w:p>
        </w:tc>
      </w:tr>
    </w:tbl>
    <w:p w14:paraId="48C2E6E9" w14:textId="77777777" w:rsidR="0006302B" w:rsidRPr="0013707D" w:rsidRDefault="0006302B" w:rsidP="0006302B">
      <w:pPr>
        <w:rPr>
          <w:rFonts w:ascii="Bookman Old Style" w:hAnsi="Bookman Old Style"/>
          <w:lang w:val="es-CO"/>
        </w:rPr>
      </w:pPr>
    </w:p>
    <w:p w14:paraId="7821473E" w14:textId="77777777" w:rsidR="0006302B" w:rsidRPr="0013707D" w:rsidRDefault="0006302B" w:rsidP="0006302B">
      <w:pPr>
        <w:ind w:left="1701"/>
        <w:jc w:val="both"/>
        <w:rPr>
          <w:rFonts w:ascii="Bookman Old Style" w:hAnsi="Bookman Old Style"/>
          <w:lang w:val="es-CO"/>
        </w:rPr>
      </w:pPr>
      <w:r w:rsidRPr="0013707D">
        <w:rPr>
          <w:rFonts w:ascii="Bookman Old Style" w:hAnsi="Bookman Old Style"/>
          <w:lang w:val="es-CO"/>
        </w:rPr>
        <w:t>Donde:</w:t>
      </w:r>
    </w:p>
    <w:p w14:paraId="2FB7041E" w14:textId="77777777" w:rsidR="0006302B" w:rsidRPr="0013707D" w:rsidRDefault="0006302B" w:rsidP="0006302B">
      <w:pPr>
        <w:ind w:left="3261" w:hanging="1560"/>
        <w:jc w:val="both"/>
        <w:rPr>
          <w:rFonts w:ascii="Bookman Old Style" w:hAnsi="Bookman Old Style"/>
          <w:lang w:val="es-CO"/>
        </w:rPr>
      </w:pPr>
    </w:p>
    <w:p w14:paraId="1B25D0A3" w14:textId="77777777" w:rsidR="0006302B" w:rsidRPr="0013707D" w:rsidRDefault="00FB7B28" w:rsidP="0006302B">
      <w:pPr>
        <w:ind w:left="3261" w:hanging="1560"/>
        <w:jc w:val="both"/>
        <w:rPr>
          <w:rFonts w:ascii="Bookman Old Style" w:hAnsi="Bookman Old Style" w:cs="Arial"/>
          <w:color w:val="000000" w:themeColor="text1"/>
          <w:lang w:val="es-CO"/>
        </w:rPr>
      </w:pP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e,s</m:t>
                </m:r>
              </m:e>
              <m:sub>
                <m:r>
                  <w:rPr>
                    <w:rFonts w:ascii="Cambria Math" w:hAnsi="Cambria Math"/>
                    <w:color w:val="000000" w:themeColor="text1"/>
                    <w:lang w:val="es-CO" w:eastAsia="x-none"/>
                  </w:rPr>
                  <m:t xml:space="preserve"> </m:t>
                </m:r>
              </m:sub>
            </m:sSub>
          </m:sub>
        </m:sSub>
        <m:r>
          <w:rPr>
            <w:rFonts w:ascii="Cambria Math" w:hAnsi="Cambria Math"/>
            <w:color w:val="000000" w:themeColor="text1"/>
            <w:lang w:val="es-CO" w:eastAsia="x-none"/>
          </w:rPr>
          <m:t>(</m:t>
        </m:r>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r>
          <w:rPr>
            <w:rFonts w:ascii="Cambria Math" w:hAnsi="Cambria Math" w:cs="Arial"/>
            <w:color w:val="000000" w:themeColor="text1"/>
            <w:lang w:val="es-CO" w:eastAsia="x-none"/>
          </w:rPr>
          <m:t>)</m:t>
        </m:r>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que el vendedor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xml:space="preserve"> está dispuesto a vender al precio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color w:val="000000" w:themeColor="text1"/>
          <w:lang w:val="es-CO"/>
        </w:rPr>
        <w:t xml:space="preserve">. En el caso de los generadores térmicos </w:t>
      </w:r>
      <m:oMath>
        <m:r>
          <w:rPr>
            <w:rFonts w:ascii="Cambria Math" w:hAnsi="Cambria Math" w:cs="Arial"/>
            <w:color w:val="000000" w:themeColor="text1"/>
            <w:lang w:val="es-CO"/>
          </w:rPr>
          <m:t>t</m:t>
        </m:r>
      </m:oMath>
      <w:r w:rsidR="0006302B" w:rsidRPr="0013707D">
        <w:rPr>
          <w:rFonts w:ascii="Bookman Old Style" w:hAnsi="Bookman Old Style" w:cs="Arial"/>
          <w:color w:val="000000" w:themeColor="text1"/>
          <w:lang w:val="es-CO"/>
        </w:rPr>
        <w:t xml:space="preserve"> esta cantidad se determinará como la diferencia entre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e,t</m:t>
                </m:r>
              </m:sub>
            </m:sSub>
          </m:sub>
        </m:sSub>
      </m:oMath>
      <w:r w:rsidR="0006302B" w:rsidRPr="0013707D">
        <w:rPr>
          <w:rFonts w:ascii="Bookman Old Style" w:hAnsi="Bookman Old Style" w:cs="Arial"/>
          <w:bCs/>
          <w:color w:val="000000" w:themeColor="text1"/>
          <w:lang w:val="es-CO" w:eastAsia="x-none"/>
        </w:rPr>
        <w:t xml:space="preserve"> y </w:t>
      </w:r>
      <m:oMath>
        <m:sSub>
          <m:sSubPr>
            <m:ctrlPr>
              <w:rPr>
                <w:rFonts w:ascii="Cambria Math" w:hAnsi="Cambria Math" w:cs="Arial"/>
                <w:i/>
                <w:color w:val="000000" w:themeColor="text1"/>
                <w:lang w:val="es-CO"/>
              </w:rPr>
            </m:ctrlPr>
          </m:sSubPr>
          <m:e>
            <m:acc>
              <m:accPr>
                <m:ctrlPr>
                  <w:rPr>
                    <w:rFonts w:ascii="Cambria Math" w:hAnsi="Cambria Math" w:cs="Arial"/>
                    <w:bCs/>
                    <w:i/>
                    <w:color w:val="000000" w:themeColor="text1"/>
                    <w:lang w:val="es-CO"/>
                  </w:rPr>
                </m:ctrlPr>
              </m:accPr>
              <m:e>
                <m:r>
                  <w:rPr>
                    <w:rFonts w:ascii="Cambria Math" w:hAnsi="Cambria Math" w:cs="Arial"/>
                    <w:color w:val="000000" w:themeColor="text1"/>
                    <w:lang w:val="es-CO"/>
                  </w:rPr>
                  <m:t>Q</m:t>
                </m:r>
              </m:e>
            </m:acc>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e,t</m:t>
                </m:r>
              </m:sub>
            </m:sSub>
          </m:sub>
        </m:sSub>
      </m:oMath>
      <w:r w:rsidR="0006302B" w:rsidRPr="0013707D">
        <w:rPr>
          <w:rFonts w:ascii="Bookman Old Style" w:hAnsi="Bookman Old Style" w:cs="Arial"/>
          <w:color w:val="000000" w:themeColor="text1"/>
          <w:lang w:val="es-CO"/>
        </w:rPr>
        <w:t xml:space="preserve">. En el caso de los demás titulares de derechos de suministro de gas esta cantidad será igual a </w:t>
      </w: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Q</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color w:val="000000" w:themeColor="text1"/>
          <w:lang w:val="es-CO"/>
        </w:rPr>
        <w:t>. Este valor se expresará en MBTUD.</w:t>
      </w:r>
    </w:p>
    <w:p w14:paraId="14C1B99C" w14:textId="77777777" w:rsidR="0006302B" w:rsidRPr="0013707D" w:rsidRDefault="0006302B" w:rsidP="0006302B">
      <w:pPr>
        <w:rPr>
          <w:rFonts w:ascii="Bookman Old Style" w:hAnsi="Bookman Old Style"/>
          <w:lang w:val="es-CO"/>
        </w:rPr>
      </w:pPr>
    </w:p>
    <w:p w14:paraId="66FA5895" w14:textId="77777777" w:rsidR="0006302B" w:rsidRPr="0013707D" w:rsidRDefault="00FB7B28" w:rsidP="0006302B">
      <w:pPr>
        <w:ind w:left="3261" w:hanging="1560"/>
        <w:jc w:val="both"/>
        <w:rPr>
          <w:rFonts w:ascii="Bookman Old Style" w:hAnsi="Bookman Old Style" w:cs="Arial"/>
          <w:bCs/>
          <w:color w:val="000000" w:themeColor="text1"/>
          <w:lang w:val="es-CO" w:eastAsia="x-none"/>
        </w:rPr>
      </w:pP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po</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m:t>
                </m:r>
              </m:sub>
            </m:sSub>
          </m:sub>
        </m:sSub>
      </m:oMath>
      <w:r w:rsidR="0006302B" w:rsidRPr="0013707D">
        <w:rPr>
          <w:rFonts w:ascii="Bookman Old Style" w:hAnsi="Bookman Old Style" w:cs="Arial"/>
          <w:bCs/>
          <w:color w:val="000000" w:themeColor="text1"/>
          <w:lang w:val="es-CO" w:eastAsia="x-none"/>
        </w:rPr>
        <w:t>:</w:t>
      </w:r>
      <w:r w:rsidR="0006302B" w:rsidRPr="0013707D">
        <w:rPr>
          <w:rFonts w:ascii="Bookman Old Style" w:hAnsi="Bookman Old Style" w:cs="Arial"/>
          <w:color w:val="000000" w:themeColor="text1"/>
          <w:lang w:val="es-CO"/>
        </w:rPr>
        <w:tab/>
        <w:t xml:space="preserve">Precio al que un vendedor está dispuesto a vender la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Este valor se expresará en dólares de los Estados Unidos de América por MBTU.</w:t>
      </w:r>
    </w:p>
    <w:p w14:paraId="2D252DD6" w14:textId="77777777" w:rsidR="0006302B" w:rsidRPr="0013707D" w:rsidRDefault="0006302B" w:rsidP="0006302B">
      <w:pPr>
        <w:rPr>
          <w:rFonts w:ascii="Bookman Old Style" w:hAnsi="Bookman Old Style"/>
          <w:lang w:val="es-CO"/>
        </w:rPr>
      </w:pPr>
    </w:p>
    <w:p w14:paraId="065C3F31" w14:textId="77777777" w:rsidR="0006302B" w:rsidRPr="0013707D" w:rsidRDefault="00FB7B28" w:rsidP="0006302B">
      <w:pPr>
        <w:ind w:left="3261" w:hanging="1560"/>
        <w:jc w:val="both"/>
        <w:rPr>
          <w:rFonts w:ascii="Bookman Old Style" w:hAnsi="Bookman Old Style" w:cs="Arial"/>
          <w:bCs/>
          <w:color w:val="000000" w:themeColor="text1"/>
          <w:lang w:val="es-CO" w:eastAsia="x-none"/>
        </w:rPr>
      </w:pPr>
      <m:oMath>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eastAsia="x-none"/>
              </w:rPr>
              <m:t>PR</m:t>
            </m:r>
          </m:e>
          <m:sub>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E</m:t>
                </m:r>
              </m:e>
              <m:sub>
                <m:r>
                  <w:rPr>
                    <w:rFonts w:ascii="Cambria Math" w:hAnsi="Cambria Math" w:cs="Arial"/>
                    <w:color w:val="000000" w:themeColor="text1"/>
                    <w:lang w:val="es-CO" w:eastAsia="x-none"/>
                  </w:rPr>
                  <m:t>e,s</m:t>
                </m:r>
              </m:sub>
            </m:sSub>
          </m:sub>
        </m:sSub>
      </m:oMath>
      <w:r w:rsidR="0006302B" w:rsidRPr="0013707D">
        <w:rPr>
          <w:rFonts w:ascii="Bookman Old Style" w:hAnsi="Bookman Old Style" w:cs="Arial"/>
          <w:bCs/>
          <w:color w:val="000000" w:themeColor="text1"/>
          <w:lang w:val="es-CO" w:eastAsia="x-none"/>
        </w:rPr>
        <w:t>:</w:t>
      </w:r>
      <w:r w:rsidR="0006302B" w:rsidRPr="0013707D">
        <w:rPr>
          <w:rFonts w:ascii="Bookman Old Style" w:hAnsi="Bookman Old Style" w:cs="Arial"/>
          <w:color w:val="000000" w:themeColor="text1"/>
          <w:lang w:val="es-CO"/>
        </w:rPr>
        <w:tab/>
        <w:t xml:space="preserve">Precio de reserva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declarado por el vendedor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Este valor se expresará en dólares de los Estados Unidos de América por MBTU.</w:t>
      </w:r>
    </w:p>
    <w:p w14:paraId="1BF0E31D" w14:textId="77777777" w:rsidR="0006302B" w:rsidRPr="0013707D" w:rsidRDefault="0006302B" w:rsidP="0006302B">
      <w:pPr>
        <w:autoSpaceDE w:val="0"/>
        <w:autoSpaceDN w:val="0"/>
        <w:adjustRightInd w:val="0"/>
        <w:ind w:left="3119" w:hanging="1418"/>
        <w:jc w:val="both"/>
        <w:rPr>
          <w:rFonts w:ascii="Bookman Old Style" w:hAnsi="Bookman Old Style" w:cs="Arial"/>
          <w:bCs/>
          <w:color w:val="000000" w:themeColor="text1"/>
          <w:sz w:val="28"/>
          <w:lang w:val="es-CO" w:eastAsia="x-none"/>
        </w:rPr>
      </w:pPr>
    </w:p>
    <w:p w14:paraId="4B2A40EE" w14:textId="77777777" w:rsidR="00636B6A" w:rsidRPr="00996A90" w:rsidRDefault="0006302B" w:rsidP="00996A90">
      <w:pPr>
        <w:numPr>
          <w:ilvl w:val="0"/>
          <w:numId w:val="50"/>
        </w:numPr>
        <w:ind w:left="1701" w:hanging="567"/>
        <w:contextualSpacing/>
        <w:jc w:val="both"/>
        <w:rPr>
          <w:rFonts w:ascii="Bookman Old Style" w:hAnsi="Bookman Old Style"/>
          <w:color w:val="000000" w:themeColor="text1"/>
          <w:lang w:val="es-CO"/>
        </w:rPr>
      </w:pPr>
      <w:r w:rsidRPr="00A323F1">
        <w:rPr>
          <w:rFonts w:ascii="Bookman Old Style" w:hAnsi="Bookman Old Style" w:cs="Arial"/>
          <w:bCs/>
          <w:color w:val="000000" w:themeColor="text1"/>
          <w:lang w:val="es-CO" w:eastAsia="x-none"/>
        </w:rPr>
        <w:t xml:space="preserve">Establecer la curva de oferta agregada </w:t>
      </w:r>
      <w:r w:rsidRPr="00A323F1">
        <w:rPr>
          <w:rFonts w:ascii="Bookman Old Style" w:hAnsi="Bookman Old Style"/>
          <w:bCs/>
          <w:color w:val="000000" w:themeColor="text1"/>
          <w:lang w:val="es-CO" w:eastAsia="x-none"/>
        </w:rPr>
        <w:t xml:space="preserve">de cada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Pr="00A323F1">
        <w:rPr>
          <w:rFonts w:ascii="Bookman Old Style" w:hAnsi="Bookman Old Style" w:cs="Arial"/>
          <w:color w:val="000000" w:themeColor="text1"/>
          <w:lang w:val="es-CO"/>
        </w:rPr>
        <w:t xml:space="preserve">,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OA</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m:t>
            </m:r>
          </m:sub>
        </m:sSub>
      </m:oMath>
      <w:r w:rsidRPr="00A323F1">
        <w:rPr>
          <w:rFonts w:ascii="Bookman Old Style" w:hAnsi="Bookman Old Style" w:cs="Arial"/>
          <w:bCs/>
          <w:color w:val="000000" w:themeColor="text1"/>
          <w:lang w:val="es-CO" w:eastAsia="x-none"/>
        </w:rPr>
        <w:t xml:space="preserve">, </w:t>
      </w:r>
      <w:r w:rsidRPr="00A323F1">
        <w:rPr>
          <w:rFonts w:ascii="Bookman Old Style" w:hAnsi="Bookman Old Style" w:cs="Arial"/>
          <w:color w:val="000000" w:themeColor="text1"/>
          <w:lang w:val="es-CO"/>
        </w:rPr>
        <w:t xml:space="preserve">la cual se formará conforme a lo establecido en la </w:t>
      </w:r>
      <w:r w:rsidRPr="00A323F1">
        <w:rPr>
          <w:rFonts w:ascii="Bookman Old Style" w:hAnsi="Bookman Old Style" w:cs="Arial"/>
          <w:color w:val="000000" w:themeColor="text1"/>
          <w:lang w:val="es-CO"/>
        </w:rPr>
        <w:fldChar w:fldCharType="begin"/>
      </w:r>
      <w:r w:rsidRPr="00A323F1">
        <w:rPr>
          <w:rFonts w:ascii="Bookman Old Style" w:hAnsi="Bookman Old Style" w:cs="Arial"/>
          <w:color w:val="000000" w:themeColor="text1"/>
          <w:lang w:val="es-CO"/>
        </w:rPr>
        <w:instrText xml:space="preserve"> REF _Ref361822776 \h  \* MERGEFORMAT </w:instrText>
      </w:r>
      <w:r w:rsidRPr="00A323F1">
        <w:rPr>
          <w:rFonts w:ascii="Bookman Old Style" w:hAnsi="Bookman Old Style" w:cs="Arial"/>
          <w:color w:val="000000" w:themeColor="text1"/>
          <w:lang w:val="es-CO"/>
        </w:rPr>
      </w:r>
      <w:r w:rsidRPr="00A323F1">
        <w:rPr>
          <w:rFonts w:ascii="Bookman Old Style" w:hAnsi="Bookman Old Style" w:cs="Arial"/>
          <w:color w:val="000000" w:themeColor="text1"/>
          <w:lang w:val="es-CO"/>
        </w:rPr>
        <w:fldChar w:fldCharType="separate"/>
      </w:r>
    </w:p>
    <w:p w14:paraId="20E76BEA" w14:textId="25998A72" w:rsidR="0006302B" w:rsidRPr="00A323F1" w:rsidRDefault="00636B6A" w:rsidP="00A4790E">
      <w:pPr>
        <w:numPr>
          <w:ilvl w:val="0"/>
          <w:numId w:val="50"/>
        </w:numPr>
        <w:ind w:left="1701" w:hanging="567"/>
        <w:contextualSpacing/>
        <w:jc w:val="both"/>
        <w:rPr>
          <w:rFonts w:ascii="Bookman Old Style" w:hAnsi="Bookman Old Style" w:cs="Arial"/>
          <w:bCs/>
          <w:color w:val="000000" w:themeColor="text1"/>
          <w:lang w:val="es-CO" w:eastAsia="x-none"/>
        </w:rPr>
      </w:pPr>
      <w:r w:rsidRPr="00996A90">
        <w:rPr>
          <w:rFonts w:ascii="Bookman Old Style" w:hAnsi="Bookman Old Style"/>
          <w:color w:val="000000" w:themeColor="text1"/>
          <w:lang w:val="es-CO"/>
        </w:rPr>
        <w:t>Tabla</w:t>
      </w:r>
      <w:r w:rsidRPr="00996A90">
        <w:rPr>
          <w:rFonts w:ascii="Bookman Old Style" w:hAnsi="Bookman Old Style"/>
          <w:noProof/>
          <w:color w:val="000000" w:themeColor="text1"/>
          <w:lang w:val="es-CO"/>
        </w:rPr>
        <w:t xml:space="preserve"> 7</w:t>
      </w:r>
      <w:r w:rsidR="0006302B" w:rsidRPr="00A323F1">
        <w:rPr>
          <w:rFonts w:ascii="Bookman Old Style" w:hAnsi="Bookman Old Style" w:cs="Arial"/>
          <w:color w:val="000000" w:themeColor="text1"/>
          <w:lang w:val="es-CO"/>
        </w:rPr>
        <w:fldChar w:fldCharType="end"/>
      </w:r>
      <w:r w:rsidR="0006302B" w:rsidRPr="00A323F1">
        <w:rPr>
          <w:rFonts w:ascii="Bookman Old Style" w:hAnsi="Bookman Old Style" w:cs="Arial"/>
          <w:bCs/>
          <w:color w:val="000000" w:themeColor="text1"/>
          <w:lang w:val="es-CO" w:eastAsia="x-none"/>
        </w:rPr>
        <w:t>.</w:t>
      </w:r>
    </w:p>
    <w:p w14:paraId="6923ACC6" w14:textId="77777777" w:rsidR="0006302B" w:rsidRPr="0013707D" w:rsidRDefault="0006302B" w:rsidP="0006302B">
      <w:pPr>
        <w:keepNext/>
        <w:adjustRightInd w:val="0"/>
        <w:ind w:left="1701"/>
        <w:jc w:val="center"/>
        <w:textAlignment w:val="baseline"/>
        <w:rPr>
          <w:rFonts w:ascii="Bookman Old Style" w:hAnsi="Bookman Old Style"/>
          <w:b/>
          <w:color w:val="000000" w:themeColor="text1"/>
          <w:lang w:val="es-CO"/>
        </w:rPr>
      </w:pPr>
      <w:bookmarkStart w:id="164" w:name="_Ref361822776"/>
    </w:p>
    <w:p w14:paraId="18A824B0" w14:textId="1ADB4B6C" w:rsidR="0006302B" w:rsidRPr="0013707D" w:rsidRDefault="0006302B" w:rsidP="0006302B">
      <w:pPr>
        <w:keepNext/>
        <w:adjustRightInd w:val="0"/>
        <w:ind w:left="1701"/>
        <w:jc w:val="center"/>
        <w:textAlignment w:val="baseline"/>
        <w:rPr>
          <w:rFonts w:ascii="Bookman Old Style" w:hAnsi="Bookman Old Style"/>
          <w:b/>
          <w:bCs/>
          <w:color w:val="000000" w:themeColor="text1"/>
          <w:lang w:val="es-CO" w:eastAsia="x-none"/>
        </w:rPr>
      </w:pPr>
      <w:r w:rsidRPr="0013707D">
        <w:rPr>
          <w:rFonts w:ascii="Bookman Old Style" w:hAnsi="Bookman Old Style"/>
          <w:b/>
          <w:color w:val="000000" w:themeColor="text1"/>
          <w:lang w:val="es-CO"/>
        </w:rPr>
        <w:t xml:space="preserve">Tabla </w:t>
      </w:r>
      <w:r w:rsidRPr="0013707D">
        <w:rPr>
          <w:rFonts w:ascii="Bookman Old Style" w:hAnsi="Bookman Old Style"/>
          <w:b/>
          <w:color w:val="000000" w:themeColor="text1"/>
          <w:lang w:val="es-CO"/>
        </w:rPr>
        <w:fldChar w:fldCharType="begin"/>
      </w:r>
      <w:r w:rsidRPr="0013707D">
        <w:rPr>
          <w:rFonts w:ascii="Bookman Old Style" w:hAnsi="Bookman Old Style"/>
          <w:b/>
          <w:color w:val="000000" w:themeColor="text1"/>
          <w:lang w:val="es-CO"/>
        </w:rPr>
        <w:instrText xml:space="preserve"> SEQ Tabla \* ARABIC </w:instrText>
      </w:r>
      <w:r w:rsidRPr="0013707D">
        <w:rPr>
          <w:rFonts w:ascii="Bookman Old Style" w:hAnsi="Bookman Old Style"/>
          <w:b/>
          <w:color w:val="000000" w:themeColor="text1"/>
          <w:lang w:val="es-CO"/>
        </w:rPr>
        <w:fldChar w:fldCharType="separate"/>
      </w:r>
      <w:r w:rsidR="00636B6A">
        <w:rPr>
          <w:rFonts w:ascii="Bookman Old Style" w:hAnsi="Bookman Old Style"/>
          <w:b/>
          <w:noProof/>
          <w:color w:val="000000" w:themeColor="text1"/>
          <w:lang w:val="es-CO"/>
        </w:rPr>
        <w:t>7</w:t>
      </w:r>
      <w:r w:rsidRPr="0013707D">
        <w:rPr>
          <w:rFonts w:ascii="Bookman Old Style" w:hAnsi="Bookman Old Style"/>
          <w:b/>
          <w:color w:val="000000" w:themeColor="text1"/>
          <w:lang w:val="es-CO"/>
        </w:rPr>
        <w:fldChar w:fldCharType="end"/>
      </w:r>
      <w:bookmarkEnd w:id="164"/>
      <w:r w:rsidRPr="0013707D">
        <w:rPr>
          <w:rFonts w:ascii="Bookman Old Style" w:hAnsi="Bookman Old Style"/>
          <w:b/>
          <w:color w:val="000000" w:themeColor="text1"/>
          <w:lang w:val="es-CO"/>
        </w:rPr>
        <w:t xml:space="preserve">. Oferta agregada del producto </w:t>
      </w:r>
      <m:oMath>
        <m:sSub>
          <m:sSubPr>
            <m:ctrlPr>
              <w:rPr>
                <w:rFonts w:ascii="Cambria Math" w:hAnsi="Cambria Math" w:cs="Arial"/>
                <w:b/>
                <w:i/>
                <w:color w:val="000000" w:themeColor="text1"/>
                <w:lang w:val="es-CO"/>
              </w:rPr>
            </m:ctrlPr>
          </m:sSubPr>
          <m:e>
            <m:r>
              <m:rPr>
                <m:sty m:val="bi"/>
              </m:rPr>
              <w:rPr>
                <w:rFonts w:ascii="Cambria Math" w:hAnsi="Cambria Math" w:cs="Arial"/>
                <w:color w:val="000000" w:themeColor="text1"/>
                <w:lang w:val="es-CO"/>
              </w:rPr>
              <m:t>E</m:t>
            </m:r>
          </m:e>
          <m:sub>
            <m:r>
              <m:rPr>
                <m:sty m:val="bi"/>
              </m:rPr>
              <w:rPr>
                <w:rFonts w:ascii="Cambria Math" w:hAnsi="Cambria Math" w:cs="Arial"/>
                <w:color w:val="000000" w:themeColor="text1"/>
                <w:lang w:val="es-CO"/>
              </w:rPr>
              <m:t>e</m:t>
            </m:r>
          </m:sub>
        </m:sSub>
      </m:oMath>
      <w:r w:rsidRPr="0013707D">
        <w:rPr>
          <w:rFonts w:ascii="Bookman Old Style" w:hAnsi="Bookman Old Style"/>
          <w:b/>
          <w:color w:val="000000" w:themeColor="text1"/>
          <w:lang w:val="es-CO"/>
        </w:rPr>
        <w:t>,</w:t>
      </w:r>
      <m:oMath>
        <m:r>
          <m:rPr>
            <m:sty m:val="bi"/>
          </m:rPr>
          <w:rPr>
            <w:rFonts w:ascii="Cambria Math" w:hAnsi="Cambria Math"/>
            <w:color w:val="000000" w:themeColor="text1"/>
            <w:lang w:val="es-CO"/>
          </w:rPr>
          <m:t xml:space="preserve"> </m:t>
        </m:r>
        <m:sSub>
          <m:sSubPr>
            <m:ctrlPr>
              <w:rPr>
                <w:rFonts w:ascii="Cambria Math" w:hAnsi="Cambria Math"/>
                <w:b/>
                <w:bCs/>
                <w:i/>
                <w:color w:val="000000" w:themeColor="text1"/>
                <w:lang w:val="es-CO" w:eastAsia="x-none"/>
              </w:rPr>
            </m:ctrlPr>
          </m:sSubPr>
          <m:e>
            <m:sSub>
              <m:sSubPr>
                <m:ctrlPr>
                  <w:rPr>
                    <w:rFonts w:ascii="Cambria Math" w:hAnsi="Cambria Math"/>
                    <w:b/>
                    <w:i/>
                    <w:color w:val="000000" w:themeColor="text1"/>
                    <w:lang w:val="es-CO" w:eastAsia="x-none"/>
                  </w:rPr>
                </m:ctrlPr>
              </m:sSubPr>
              <m:e>
                <m:r>
                  <m:rPr>
                    <m:sty m:val="bi"/>
                  </m:rPr>
                  <w:rPr>
                    <w:rFonts w:ascii="Cambria Math" w:hAnsi="Cambria Math"/>
                    <w:color w:val="000000" w:themeColor="text1"/>
                    <w:lang w:val="es-CO" w:eastAsia="x-none"/>
                  </w:rPr>
                  <m:t>OA</m:t>
                </m:r>
              </m:e>
              <m:sub>
                <m:r>
                  <m:rPr>
                    <m:sty m:val="bi"/>
                  </m:rPr>
                  <w:rPr>
                    <w:rFonts w:ascii="Cambria Math" w:hAnsi="Cambria Math"/>
                    <w:color w:val="000000" w:themeColor="text1"/>
                    <w:lang w:val="es-CO" w:eastAsia="x-none"/>
                  </w:rPr>
                  <m:t>E</m:t>
                </m:r>
              </m:sub>
            </m:sSub>
          </m:e>
          <m:sub>
            <m:r>
              <m:rPr>
                <m:sty m:val="bi"/>
              </m:rPr>
              <w:rPr>
                <w:rFonts w:ascii="Cambria Math" w:hAnsi="Cambria Math"/>
                <w:color w:val="000000" w:themeColor="text1"/>
                <w:lang w:val="es-CO" w:eastAsia="x-none"/>
              </w:rPr>
              <m:t>e</m:t>
            </m:r>
          </m:sub>
        </m:sSub>
      </m:oMath>
    </w:p>
    <w:tbl>
      <w:tblPr>
        <w:tblW w:w="7055"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7"/>
        <w:gridCol w:w="3528"/>
      </w:tblGrid>
      <w:tr w:rsidR="0006302B" w:rsidRPr="0013707D" w14:paraId="45202AF0" w14:textId="77777777" w:rsidTr="00341DAD">
        <w:trPr>
          <w:trHeight w:val="489"/>
        </w:trPr>
        <w:tc>
          <w:tcPr>
            <w:tcW w:w="3527" w:type="dxa"/>
            <w:shd w:val="clear" w:color="auto" w:fill="auto"/>
            <w:vAlign w:val="center"/>
          </w:tcPr>
          <w:p w14:paraId="059437FA"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Oferta agregada, </w:t>
            </w:r>
            <m:oMath>
              <m:sSub>
                <m:sSubPr>
                  <m:ctrlPr>
                    <w:rPr>
                      <w:rFonts w:ascii="Cambria Math" w:hAnsi="Cambria Math"/>
                      <w:b/>
                      <w:bCs/>
                      <w:i/>
                      <w:color w:val="000000" w:themeColor="text1"/>
                      <w:lang w:val="es-CO" w:eastAsia="x-none"/>
                    </w:rPr>
                  </m:ctrlPr>
                </m:sSubPr>
                <m:e>
                  <m:sSub>
                    <m:sSubPr>
                      <m:ctrlPr>
                        <w:rPr>
                          <w:rFonts w:ascii="Cambria Math" w:hAnsi="Cambria Math"/>
                          <w:b/>
                          <w:i/>
                          <w:color w:val="000000" w:themeColor="text1"/>
                          <w:lang w:val="es-CO" w:eastAsia="x-none"/>
                        </w:rPr>
                      </m:ctrlPr>
                    </m:sSubPr>
                    <m:e>
                      <m:r>
                        <m:rPr>
                          <m:sty m:val="bi"/>
                        </m:rPr>
                        <w:rPr>
                          <w:rFonts w:ascii="Cambria Math" w:hAnsi="Cambria Math"/>
                          <w:color w:val="000000" w:themeColor="text1"/>
                          <w:lang w:val="es-CO" w:eastAsia="x-none"/>
                        </w:rPr>
                        <m:t>OA</m:t>
                      </m:r>
                    </m:e>
                    <m:sub>
                      <m:r>
                        <m:rPr>
                          <m:sty m:val="bi"/>
                        </m:rPr>
                        <w:rPr>
                          <w:rFonts w:ascii="Cambria Math" w:hAnsi="Cambria Math"/>
                          <w:color w:val="000000" w:themeColor="text1"/>
                          <w:lang w:val="es-CO" w:eastAsia="x-none"/>
                        </w:rPr>
                        <m:t>E</m:t>
                      </m:r>
                    </m:sub>
                  </m:sSub>
                </m:e>
                <m:sub>
                  <m:r>
                    <m:rPr>
                      <m:sty m:val="bi"/>
                    </m:rPr>
                    <w:rPr>
                      <w:rFonts w:ascii="Cambria Math" w:hAnsi="Cambria Math"/>
                      <w:color w:val="000000" w:themeColor="text1"/>
                      <w:lang w:val="es-CO" w:eastAsia="x-none"/>
                    </w:rPr>
                    <m:t>e</m:t>
                  </m:r>
                </m:sub>
              </m:sSub>
            </m:oMath>
          </w:p>
        </w:tc>
        <w:tc>
          <w:tcPr>
            <w:tcW w:w="3528" w:type="dxa"/>
            <w:shd w:val="clear" w:color="auto" w:fill="auto"/>
            <w:vAlign w:val="center"/>
          </w:tcPr>
          <w:p w14:paraId="2234229A" w14:textId="77777777" w:rsidR="0006302B" w:rsidRPr="0013707D" w:rsidRDefault="0006302B" w:rsidP="00341DAD">
            <w:pPr>
              <w:keepNext/>
              <w:ind w:left="0"/>
              <w:jc w:val="center"/>
              <w:rPr>
                <w:rFonts w:ascii="Bookman Old Style" w:hAnsi="Bookman Old Style" w:cs="Arial"/>
                <w:b/>
                <w:bCs/>
                <w:color w:val="000000" w:themeColor="text1"/>
                <w:lang w:val="es-CO" w:eastAsia="x-none"/>
              </w:rPr>
            </w:pPr>
            <w:r w:rsidRPr="0013707D">
              <w:rPr>
                <w:rFonts w:ascii="Bookman Old Style" w:hAnsi="Bookman Old Style" w:cs="Arial"/>
                <w:b/>
                <w:bCs/>
                <w:color w:val="000000" w:themeColor="text1"/>
                <w:lang w:val="es-CO" w:eastAsia="x-none"/>
              </w:rPr>
              <w:t xml:space="preserve">Precio, </w:t>
            </w:r>
            <m:oMath>
              <m:sSub>
                <m:sSubPr>
                  <m:ctrlPr>
                    <w:rPr>
                      <w:rFonts w:ascii="Cambria Math" w:hAnsi="Cambria Math"/>
                      <w:b/>
                      <w:bCs/>
                      <w:i/>
                      <w:color w:val="000000" w:themeColor="text1"/>
                      <w:lang w:val="es-CO" w:eastAsia="x-none"/>
                    </w:rPr>
                  </m:ctrlPr>
                </m:sSubPr>
                <m:e>
                  <m:sSub>
                    <m:sSubPr>
                      <m:ctrlPr>
                        <w:rPr>
                          <w:rFonts w:ascii="Cambria Math" w:hAnsi="Cambria Math"/>
                          <w:b/>
                          <w:i/>
                          <w:color w:val="000000" w:themeColor="text1"/>
                          <w:lang w:val="es-CO" w:eastAsia="x-none"/>
                        </w:rPr>
                      </m:ctrlPr>
                    </m:sSubPr>
                    <m:e>
                      <m:r>
                        <m:rPr>
                          <m:sty m:val="bi"/>
                        </m:rPr>
                        <w:rPr>
                          <w:rFonts w:ascii="Cambria Math" w:hAnsi="Cambria Math"/>
                          <w:color w:val="000000" w:themeColor="text1"/>
                          <w:lang w:val="es-CO" w:eastAsia="x-none"/>
                        </w:rPr>
                        <m:t>po</m:t>
                      </m:r>
                    </m:e>
                    <m:sub>
                      <m:r>
                        <m:rPr>
                          <m:sty m:val="bi"/>
                        </m:rPr>
                        <w:rPr>
                          <w:rFonts w:ascii="Cambria Math" w:hAnsi="Cambria Math"/>
                          <w:color w:val="000000" w:themeColor="text1"/>
                          <w:lang w:val="es-CO" w:eastAsia="x-none"/>
                        </w:rPr>
                        <m:t>E</m:t>
                      </m:r>
                    </m:sub>
                  </m:sSub>
                </m:e>
                <m:sub>
                  <m:r>
                    <m:rPr>
                      <m:sty m:val="bi"/>
                    </m:rPr>
                    <w:rPr>
                      <w:rFonts w:ascii="Cambria Math" w:hAnsi="Cambria Math"/>
                      <w:color w:val="000000" w:themeColor="text1"/>
                      <w:lang w:val="es-CO" w:eastAsia="x-none"/>
                    </w:rPr>
                    <m:t>e</m:t>
                  </m:r>
                </m:sub>
              </m:sSub>
            </m:oMath>
          </w:p>
        </w:tc>
      </w:tr>
      <w:tr w:rsidR="0006302B" w:rsidRPr="0013707D" w14:paraId="08CA0C77" w14:textId="77777777" w:rsidTr="00341DAD">
        <w:trPr>
          <w:trHeight w:val="794"/>
        </w:trPr>
        <w:tc>
          <w:tcPr>
            <w:tcW w:w="3527" w:type="dxa"/>
            <w:shd w:val="clear" w:color="auto" w:fill="auto"/>
            <w:vAlign w:val="center"/>
          </w:tcPr>
          <w:p w14:paraId="7E1C0D7A"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e,s</m:t>
                        </m:r>
                      </m:sub>
                    </m:sSub>
                    <m:r>
                      <w:rPr>
                        <w:rFonts w:ascii="Cambria Math" w:eastAsia="Calibri" w:hAnsi="Cambria Math"/>
                        <w:color w:val="000000" w:themeColor="text1"/>
                        <w:lang w:val="es-CO" w:eastAsia="en-US"/>
                      </w:rPr>
                      <m:t>(</m:t>
                    </m:r>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m:t>
                        </m:r>
                      </m:sub>
                    </m:sSub>
                    <m:r>
                      <w:rPr>
                        <w:rFonts w:ascii="Cambria Math" w:eastAsia="Calibri" w:hAnsi="Cambria Math"/>
                        <w:color w:val="000000" w:themeColor="text1"/>
                        <w:lang w:val="es-CO" w:eastAsia="en-US"/>
                      </w:rPr>
                      <m:t>)</m:t>
                    </m:r>
                  </m:e>
                </m:nary>
              </m:oMath>
            </m:oMathPara>
          </w:p>
        </w:tc>
        <w:tc>
          <w:tcPr>
            <w:tcW w:w="3528" w:type="dxa"/>
            <w:shd w:val="clear" w:color="auto" w:fill="auto"/>
            <w:vAlign w:val="center"/>
          </w:tcPr>
          <w:p w14:paraId="153E0ECA" w14:textId="77777777" w:rsidR="0006302B" w:rsidRPr="0013707D" w:rsidRDefault="00FB7B28" w:rsidP="00341DAD">
            <w:pPr>
              <w:ind w:left="0"/>
              <w:rPr>
                <w:rFonts w:ascii="Bookman Old Style" w:hAnsi="Bookman Old Style" w:cs="Arial"/>
                <w:color w:val="000000" w:themeColor="text1"/>
                <w:lang w:val="es-CO"/>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m:t>
                    </m:r>
                  </m:sub>
                </m:sSub>
              </m:oMath>
            </m:oMathPara>
          </w:p>
        </w:tc>
      </w:tr>
      <w:tr w:rsidR="0006302B" w:rsidRPr="0013707D" w14:paraId="03855F6A" w14:textId="77777777" w:rsidTr="00341DAD">
        <w:trPr>
          <w:trHeight w:val="794"/>
        </w:trPr>
        <w:tc>
          <w:tcPr>
            <w:tcW w:w="3527" w:type="dxa"/>
            <w:shd w:val="clear" w:color="auto" w:fill="auto"/>
            <w:vAlign w:val="center"/>
          </w:tcPr>
          <w:p w14:paraId="4A4CE3BB"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e,s</m:t>
                        </m:r>
                      </m:sub>
                    </m:sSub>
                    <m:r>
                      <w:rPr>
                        <w:rFonts w:ascii="Cambria Math" w:eastAsia="Calibri" w:hAnsi="Cambria Math"/>
                        <w:color w:val="000000" w:themeColor="text1"/>
                        <w:lang w:val="es-CO" w:eastAsia="en-US"/>
                      </w:rPr>
                      <m:t>(</m:t>
                    </m:r>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mín+1</m:t>
                        </m:r>
                      </m:sub>
                    </m:sSub>
                    <m:r>
                      <w:rPr>
                        <w:rFonts w:ascii="Cambria Math" w:eastAsia="Calibri" w:hAnsi="Cambria Math"/>
                        <w:color w:val="000000" w:themeColor="text1"/>
                        <w:lang w:val="es-CO" w:eastAsia="en-US"/>
                      </w:rPr>
                      <m:t>)</m:t>
                    </m:r>
                  </m:e>
                </m:nary>
              </m:oMath>
            </m:oMathPara>
          </w:p>
        </w:tc>
        <w:tc>
          <w:tcPr>
            <w:tcW w:w="3528" w:type="dxa"/>
            <w:shd w:val="clear" w:color="auto" w:fill="auto"/>
            <w:vAlign w:val="center"/>
          </w:tcPr>
          <w:p w14:paraId="02C9671C" w14:textId="77777777" w:rsidR="0006302B" w:rsidRPr="0013707D" w:rsidRDefault="00FB7B28" w:rsidP="00341DAD">
            <w:pPr>
              <w:ind w:left="0"/>
              <w:rPr>
                <w:rFonts w:ascii="Bookman Old Style" w:hAnsi="Bookman Old Style"/>
                <w:bCs/>
                <w:i/>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mín+1</m:t>
                    </m:r>
                  </m:sub>
                </m:sSub>
              </m:oMath>
            </m:oMathPara>
          </w:p>
        </w:tc>
      </w:tr>
      <w:tr w:rsidR="0006302B" w:rsidRPr="0013707D" w14:paraId="5CC7531C" w14:textId="77777777" w:rsidTr="00341DAD">
        <w:trPr>
          <w:trHeight w:val="794"/>
        </w:trPr>
        <w:tc>
          <w:tcPr>
            <w:tcW w:w="3527" w:type="dxa"/>
            <w:shd w:val="clear" w:color="auto" w:fill="auto"/>
            <w:vAlign w:val="center"/>
          </w:tcPr>
          <w:p w14:paraId="2EAA0881"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e,s</m:t>
                        </m:r>
                      </m:sub>
                    </m:sSub>
                    <m:r>
                      <w:rPr>
                        <w:rFonts w:ascii="Cambria Math" w:eastAsia="Calibri" w:hAnsi="Cambria Math"/>
                        <w:color w:val="000000" w:themeColor="text1"/>
                        <w:lang w:val="es-CO" w:eastAsia="en-US"/>
                      </w:rPr>
                      <m:t>(</m:t>
                    </m:r>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mín+2</m:t>
                        </m:r>
                      </m:sub>
                    </m:sSub>
                    <m:r>
                      <w:rPr>
                        <w:rFonts w:ascii="Cambria Math" w:eastAsia="Calibri" w:hAnsi="Cambria Math"/>
                        <w:color w:val="000000" w:themeColor="text1"/>
                        <w:lang w:val="es-CO" w:eastAsia="en-US"/>
                      </w:rPr>
                      <m:t>)</m:t>
                    </m:r>
                  </m:e>
                </m:nary>
              </m:oMath>
            </m:oMathPara>
          </w:p>
        </w:tc>
        <w:tc>
          <w:tcPr>
            <w:tcW w:w="3528" w:type="dxa"/>
            <w:shd w:val="clear" w:color="auto" w:fill="auto"/>
            <w:vAlign w:val="center"/>
          </w:tcPr>
          <w:p w14:paraId="4C1500AA" w14:textId="77777777" w:rsidR="0006302B" w:rsidRPr="0013707D" w:rsidRDefault="00FB7B28" w:rsidP="00341DAD">
            <w:pPr>
              <w:ind w:left="0"/>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mín+2</m:t>
                    </m:r>
                  </m:sub>
                </m:sSub>
              </m:oMath>
            </m:oMathPara>
          </w:p>
        </w:tc>
      </w:tr>
      <w:tr w:rsidR="0006302B" w:rsidRPr="0013707D" w14:paraId="542F9137" w14:textId="77777777" w:rsidTr="00341DAD">
        <w:trPr>
          <w:trHeight w:val="794"/>
        </w:trPr>
        <w:tc>
          <w:tcPr>
            <w:tcW w:w="3527" w:type="dxa"/>
            <w:shd w:val="clear" w:color="auto" w:fill="auto"/>
            <w:vAlign w:val="center"/>
          </w:tcPr>
          <w:p w14:paraId="65CC3721" w14:textId="77777777" w:rsidR="0006302B" w:rsidRPr="0013707D" w:rsidRDefault="0006302B" w:rsidP="00341DAD">
            <w:pPr>
              <w:ind w:left="0"/>
              <w:jc w:val="center"/>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w:t>
            </w:r>
          </w:p>
        </w:tc>
        <w:tc>
          <w:tcPr>
            <w:tcW w:w="3528" w:type="dxa"/>
            <w:shd w:val="clear" w:color="auto" w:fill="auto"/>
            <w:vAlign w:val="center"/>
          </w:tcPr>
          <w:p w14:paraId="666BE4A6" w14:textId="77777777" w:rsidR="0006302B" w:rsidRPr="0013707D" w:rsidRDefault="0006302B" w:rsidP="00341DAD">
            <w:pPr>
              <w:ind w:left="0"/>
              <w:jc w:val="center"/>
              <w:rPr>
                <w:rFonts w:ascii="Bookman Old Style" w:hAnsi="Bookman Old Style"/>
                <w:bCs/>
                <w:color w:val="000000" w:themeColor="text1"/>
                <w:lang w:val="es-CO" w:eastAsia="x-none"/>
              </w:rPr>
            </w:pPr>
            <w:r w:rsidRPr="0013707D">
              <w:rPr>
                <w:rFonts w:ascii="Bookman Old Style" w:hAnsi="Bookman Old Style"/>
                <w:bCs/>
                <w:color w:val="000000" w:themeColor="text1"/>
                <w:lang w:val="es-CO" w:eastAsia="x-none"/>
              </w:rPr>
              <w:t>(…)</w:t>
            </w:r>
          </w:p>
        </w:tc>
      </w:tr>
      <w:tr w:rsidR="0006302B" w:rsidRPr="0013707D" w14:paraId="0DDFC2A4" w14:textId="77777777" w:rsidTr="00341DAD">
        <w:trPr>
          <w:trHeight w:val="794"/>
        </w:trPr>
        <w:tc>
          <w:tcPr>
            <w:tcW w:w="3527" w:type="dxa"/>
            <w:shd w:val="clear" w:color="auto" w:fill="auto"/>
            <w:vAlign w:val="center"/>
          </w:tcPr>
          <w:p w14:paraId="3FE2CDD0"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e,s</m:t>
                        </m:r>
                      </m:sub>
                    </m:sSub>
                    <m:r>
                      <w:rPr>
                        <w:rFonts w:ascii="Cambria Math" w:eastAsia="Calibri" w:hAnsi="Cambria Math"/>
                        <w:color w:val="000000" w:themeColor="text1"/>
                        <w:lang w:val="es-CO" w:eastAsia="en-US"/>
                      </w:rPr>
                      <m:t>(</m:t>
                    </m:r>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máx-1</m:t>
                        </m:r>
                      </m:sub>
                    </m:sSub>
                    <m:r>
                      <w:rPr>
                        <w:rFonts w:ascii="Cambria Math" w:eastAsia="Calibri" w:hAnsi="Cambria Math"/>
                        <w:color w:val="000000" w:themeColor="text1"/>
                        <w:lang w:val="es-CO" w:eastAsia="en-US"/>
                      </w:rPr>
                      <m:t>)</m:t>
                    </m:r>
                  </m:e>
                </m:nary>
              </m:oMath>
            </m:oMathPara>
          </w:p>
        </w:tc>
        <w:tc>
          <w:tcPr>
            <w:tcW w:w="3528" w:type="dxa"/>
            <w:shd w:val="clear" w:color="auto" w:fill="auto"/>
            <w:vAlign w:val="center"/>
          </w:tcPr>
          <w:p w14:paraId="7AFE6E70" w14:textId="77777777" w:rsidR="0006302B" w:rsidRPr="0013707D" w:rsidRDefault="00FB7B28" w:rsidP="00341DAD">
            <w:pPr>
              <w:ind w:left="0"/>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máx-1</m:t>
                    </m:r>
                  </m:sub>
                </m:sSub>
              </m:oMath>
            </m:oMathPara>
          </w:p>
        </w:tc>
      </w:tr>
      <w:tr w:rsidR="0006302B" w:rsidRPr="0013707D" w14:paraId="01C82A16" w14:textId="77777777" w:rsidTr="00341DAD">
        <w:trPr>
          <w:trHeight w:val="794"/>
        </w:trPr>
        <w:tc>
          <w:tcPr>
            <w:tcW w:w="3527" w:type="dxa"/>
            <w:shd w:val="clear" w:color="auto" w:fill="auto"/>
            <w:vAlign w:val="center"/>
          </w:tcPr>
          <w:p w14:paraId="5C3ABC1B" w14:textId="77777777" w:rsidR="0006302B" w:rsidRPr="0013707D" w:rsidRDefault="00FB7B28" w:rsidP="00341DAD">
            <w:pPr>
              <w:ind w:left="0"/>
              <w:jc w:val="center"/>
              <w:rPr>
                <w:rFonts w:ascii="Bookman Old Style" w:hAnsi="Bookman Old Style"/>
                <w:bCs/>
                <w:color w:val="000000" w:themeColor="text1"/>
                <w:lang w:val="es-CO" w:eastAsia="x-none"/>
              </w:rPr>
            </w:pPr>
            <m:oMathPara>
              <m:oMath>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e,s</m:t>
                        </m:r>
                      </m:sub>
                    </m:sSub>
                    <m:r>
                      <w:rPr>
                        <w:rFonts w:ascii="Cambria Math" w:eastAsia="Calibri" w:hAnsi="Cambria Math"/>
                        <w:color w:val="000000" w:themeColor="text1"/>
                        <w:lang w:val="es-CO" w:eastAsia="en-US"/>
                      </w:rPr>
                      <m:t>(</m:t>
                    </m:r>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m:t>
                        </m:r>
                      </m:sub>
                    </m:sSub>
                    <m:r>
                      <w:rPr>
                        <w:rFonts w:ascii="Cambria Math" w:eastAsia="Calibri" w:hAnsi="Cambria Math"/>
                        <w:color w:val="000000" w:themeColor="text1"/>
                        <w:lang w:val="es-CO" w:eastAsia="en-US"/>
                      </w:rPr>
                      <m:t>)</m:t>
                    </m:r>
                  </m:e>
                </m:nary>
              </m:oMath>
            </m:oMathPara>
          </w:p>
        </w:tc>
        <w:tc>
          <w:tcPr>
            <w:tcW w:w="3528" w:type="dxa"/>
            <w:shd w:val="clear" w:color="auto" w:fill="auto"/>
            <w:vAlign w:val="center"/>
          </w:tcPr>
          <w:p w14:paraId="544F504B" w14:textId="77777777" w:rsidR="0006302B" w:rsidRPr="0013707D" w:rsidRDefault="00FB7B28" w:rsidP="00341DAD">
            <w:pPr>
              <w:ind w:left="0"/>
              <w:rPr>
                <w:rFonts w:ascii="Bookman Old Style" w:hAnsi="Bookman Old Style"/>
                <w:bCs/>
                <w:color w:val="000000" w:themeColor="text1"/>
                <w:lang w:val="es-CO" w:eastAsia="x-none"/>
              </w:rPr>
            </w:pPr>
            <m:oMathPara>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m:t>
                    </m:r>
                  </m:sub>
                </m:sSub>
              </m:oMath>
            </m:oMathPara>
          </w:p>
        </w:tc>
      </w:tr>
    </w:tbl>
    <w:p w14:paraId="7703437D" w14:textId="77777777" w:rsidR="0006302B" w:rsidRPr="0013707D" w:rsidRDefault="0006302B" w:rsidP="0006302B">
      <w:pPr>
        <w:keepNext/>
        <w:widowControl w:val="0"/>
        <w:adjustRightInd w:val="0"/>
        <w:ind w:left="1701"/>
        <w:jc w:val="center"/>
        <w:textAlignment w:val="baseline"/>
        <w:rPr>
          <w:rFonts w:ascii="Bookman Old Style" w:hAnsi="Bookman Old Style"/>
          <w:b/>
          <w:bCs/>
          <w:color w:val="000000" w:themeColor="text1"/>
          <w:lang w:val="es-CO" w:eastAsia="x-none"/>
        </w:rPr>
      </w:pPr>
    </w:p>
    <w:p w14:paraId="534106C6" w14:textId="77777777" w:rsidR="0006302B" w:rsidRPr="0013707D" w:rsidRDefault="0006302B" w:rsidP="0006302B">
      <w:pPr>
        <w:ind w:left="1701"/>
        <w:jc w:val="both"/>
        <w:rPr>
          <w:rFonts w:ascii="Bookman Old Style" w:hAnsi="Bookman Old Style" w:cs="Arial"/>
          <w:bCs/>
          <w:color w:val="000000" w:themeColor="text1"/>
          <w:lang w:val="es-CO" w:eastAsia="x-none"/>
        </w:rPr>
      </w:pPr>
      <w:r w:rsidRPr="0013707D">
        <w:rPr>
          <w:rFonts w:ascii="Bookman Old Style" w:hAnsi="Bookman Old Style" w:cs="Arial"/>
          <w:bCs/>
          <w:color w:val="000000" w:themeColor="text1"/>
          <w:lang w:val="es-CO" w:eastAsia="x-none"/>
        </w:rPr>
        <w:t>Donde:</w:t>
      </w:r>
    </w:p>
    <w:p w14:paraId="00ADCE26" w14:textId="77777777" w:rsidR="0006302B" w:rsidRPr="0013707D" w:rsidRDefault="0006302B" w:rsidP="0006302B">
      <w:pPr>
        <w:ind w:left="1134"/>
        <w:jc w:val="both"/>
        <w:rPr>
          <w:rFonts w:ascii="Bookman Old Style" w:hAnsi="Bookman Old Style" w:cs="Arial"/>
          <w:bCs/>
          <w:color w:val="000000" w:themeColor="text1"/>
          <w:lang w:val="es-CO" w:eastAsia="x-none"/>
        </w:rPr>
      </w:pPr>
    </w:p>
    <w:p w14:paraId="26CA30B8" w14:textId="3AAC55A2" w:rsidR="0006302B" w:rsidRPr="0013707D" w:rsidRDefault="00FB7B28" w:rsidP="0006302B">
      <w:pPr>
        <w:ind w:left="4395" w:hanging="2694"/>
        <w:jc w:val="both"/>
        <w:rPr>
          <w:rFonts w:ascii="Bookman Old Style" w:hAnsi="Bookman Old Style"/>
          <w:lang w:val="es-CO"/>
        </w:rPr>
      </w:pPr>
      <m:oMath>
        <m:sSub>
          <m:sSubPr>
            <m:ctrlPr>
              <w:rPr>
                <w:rFonts w:ascii="Cambria Math" w:hAnsi="Cambria Math"/>
                <w:bCs/>
                <w:i/>
                <w:lang w:val="es-CO" w:eastAsia="x-none"/>
              </w:rPr>
            </m:ctrlPr>
          </m:sSubPr>
          <m:e>
            <m:sSub>
              <m:sSubPr>
                <m:ctrlPr>
                  <w:rPr>
                    <w:rFonts w:ascii="Cambria Math" w:hAnsi="Cambria Math"/>
                    <w:i/>
                    <w:lang w:val="es-CO" w:eastAsia="x-none"/>
                  </w:rPr>
                </m:ctrlPr>
              </m:sSubPr>
              <m:e>
                <m:r>
                  <w:rPr>
                    <w:rFonts w:ascii="Cambria Math" w:hAnsi="Cambria Math"/>
                    <w:lang w:val="es-CO" w:eastAsia="x-none"/>
                  </w:rPr>
                  <m:t>O</m:t>
                </m:r>
              </m:e>
              <m:sub>
                <m:r>
                  <w:rPr>
                    <w:rFonts w:ascii="Cambria Math" w:hAnsi="Cambria Math"/>
                    <w:lang w:val="es-CO" w:eastAsia="x-none"/>
                  </w:rPr>
                  <m:t>E</m:t>
                </m:r>
              </m:sub>
            </m:sSub>
          </m:e>
          <m:sub>
            <m:r>
              <w:rPr>
                <w:rFonts w:ascii="Cambria Math" w:hAnsi="Cambria Math"/>
                <w:lang w:val="es-CO" w:eastAsia="x-none"/>
              </w:rPr>
              <m:t>e,s</m:t>
            </m:r>
          </m:sub>
        </m:sSub>
        <m:r>
          <w:rPr>
            <w:rFonts w:ascii="Cambria Math" w:eastAsia="Calibri" w:hAnsi="Cambria Math"/>
            <w:lang w:val="es-CO" w:eastAsia="en-US"/>
          </w:rPr>
          <m:t>(</m:t>
        </m:r>
        <m:sSub>
          <m:sSubPr>
            <m:ctrlPr>
              <w:rPr>
                <w:rFonts w:ascii="Cambria Math" w:hAnsi="Cambria Math"/>
                <w:bCs/>
                <w:i/>
                <w:lang w:val="es-CO" w:eastAsia="x-none"/>
              </w:rPr>
            </m:ctrlPr>
          </m:sSubPr>
          <m:e>
            <m:sSub>
              <m:sSubPr>
                <m:ctrlPr>
                  <w:rPr>
                    <w:rFonts w:ascii="Cambria Math" w:hAnsi="Cambria Math"/>
                    <w:i/>
                    <w:lang w:val="es-CO" w:eastAsia="x-none"/>
                  </w:rPr>
                </m:ctrlPr>
              </m:sSubPr>
              <m:e>
                <m:r>
                  <w:rPr>
                    <w:rFonts w:ascii="Cambria Math" w:hAnsi="Cambria Math"/>
                    <w:lang w:val="es-CO" w:eastAsia="x-none"/>
                  </w:rPr>
                  <m:t>po</m:t>
                </m:r>
              </m:e>
              <m:sub>
                <m:r>
                  <w:rPr>
                    <w:rFonts w:ascii="Cambria Math" w:hAnsi="Cambria Math"/>
                    <w:lang w:val="es-CO" w:eastAsia="x-none"/>
                  </w:rPr>
                  <m:t>E</m:t>
                </m:r>
              </m:sub>
            </m:sSub>
          </m:e>
          <m:sub>
            <m:r>
              <w:rPr>
                <w:rFonts w:ascii="Cambria Math" w:hAnsi="Cambria Math"/>
                <w:lang w:val="es-CO" w:eastAsia="x-none"/>
              </w:rPr>
              <m:t>e</m:t>
            </m:r>
          </m:sub>
        </m:sSub>
        <m:r>
          <w:rPr>
            <w:rFonts w:ascii="Cambria Math" w:eastAsia="Calibri" w:hAnsi="Cambria Math"/>
            <w:lang w:val="es-CO" w:eastAsia="en-US"/>
          </w:rPr>
          <m:t>)</m:t>
        </m:r>
      </m:oMath>
      <w:r w:rsidR="0006302B" w:rsidRPr="0013707D">
        <w:rPr>
          <w:rFonts w:ascii="Bookman Old Style" w:hAnsi="Bookman Old Style"/>
          <w:lang w:val="es-CO"/>
        </w:rPr>
        <w:t>:</w:t>
      </w:r>
      <w:r w:rsidR="0006302B" w:rsidRPr="0013707D">
        <w:rPr>
          <w:rFonts w:ascii="Bookman Old Style" w:hAnsi="Bookman Old Style"/>
          <w:lang w:val="es-CO"/>
        </w:rPr>
        <w:tab/>
        <w:t xml:space="preserve">Cantidad de energía del producto </w:t>
      </w:r>
      <m:oMath>
        <m:sSub>
          <m:sSubPr>
            <m:ctrlPr>
              <w:rPr>
                <w:rFonts w:ascii="Cambria Math" w:hAnsi="Cambria Math"/>
                <w:i/>
                <w:lang w:val="es-CO"/>
              </w:rPr>
            </m:ctrlPr>
          </m:sSubPr>
          <m:e>
            <m:r>
              <w:rPr>
                <w:rFonts w:ascii="Cambria Math" w:hAnsi="Cambria Math"/>
                <w:lang w:val="es-CO"/>
              </w:rPr>
              <m:t>E</m:t>
            </m:r>
          </m:e>
          <m:sub>
            <m:r>
              <w:rPr>
                <w:rFonts w:ascii="Cambria Math" w:hAnsi="Cambria Math"/>
                <w:lang w:val="es-CO"/>
              </w:rPr>
              <m:t>e</m:t>
            </m:r>
          </m:sub>
        </m:sSub>
      </m:oMath>
      <w:r w:rsidR="0006302B" w:rsidRPr="0013707D">
        <w:rPr>
          <w:rFonts w:ascii="Bookman Old Style" w:hAnsi="Bookman Old Style"/>
          <w:bCs/>
          <w:lang w:val="es-CO" w:eastAsia="x-none"/>
        </w:rPr>
        <w:t xml:space="preserve"> que </w:t>
      </w:r>
      <w:r w:rsidR="0006302B" w:rsidRPr="0013707D">
        <w:rPr>
          <w:rFonts w:ascii="Bookman Old Style" w:hAnsi="Bookman Old Style"/>
          <w:lang w:val="es-CO"/>
        </w:rPr>
        <w:t xml:space="preserve">el vendedor </w:t>
      </w:r>
      <m:oMath>
        <m:r>
          <w:rPr>
            <w:rFonts w:ascii="Cambria Math" w:hAnsi="Cambria Math"/>
            <w:lang w:val="es-CO"/>
          </w:rPr>
          <m:t>s</m:t>
        </m:r>
      </m:oMath>
      <w:r w:rsidR="0006302B" w:rsidRPr="0013707D">
        <w:rPr>
          <w:rFonts w:ascii="Bookman Old Style" w:hAnsi="Bookman Old Style"/>
          <w:lang w:val="es-CO"/>
        </w:rPr>
        <w:t xml:space="preserve"> está dispuesto a vender al precio </w:t>
      </w:r>
      <m:oMath>
        <m:sSub>
          <m:sSubPr>
            <m:ctrlPr>
              <w:rPr>
                <w:rFonts w:ascii="Cambria Math" w:hAnsi="Cambria Math"/>
                <w:bCs/>
                <w:i/>
                <w:lang w:val="es-CO" w:eastAsia="x-none"/>
              </w:rPr>
            </m:ctrlPr>
          </m:sSubPr>
          <m:e>
            <m:sSub>
              <m:sSubPr>
                <m:ctrlPr>
                  <w:rPr>
                    <w:rFonts w:ascii="Cambria Math" w:hAnsi="Cambria Math"/>
                    <w:i/>
                    <w:lang w:val="es-CO" w:eastAsia="x-none"/>
                  </w:rPr>
                </m:ctrlPr>
              </m:sSubPr>
              <m:e>
                <m:r>
                  <w:rPr>
                    <w:rFonts w:ascii="Cambria Math" w:hAnsi="Cambria Math"/>
                    <w:lang w:val="es-CO" w:eastAsia="x-none"/>
                  </w:rPr>
                  <m:t>po</m:t>
                </m:r>
              </m:e>
              <m:sub>
                <m:r>
                  <w:rPr>
                    <w:rFonts w:ascii="Cambria Math" w:hAnsi="Cambria Math"/>
                    <w:lang w:val="es-CO" w:eastAsia="x-none"/>
                  </w:rPr>
                  <m:t>E</m:t>
                </m:r>
              </m:sub>
            </m:sSub>
          </m:e>
          <m:sub>
            <m:r>
              <w:rPr>
                <w:rFonts w:ascii="Cambria Math" w:hAnsi="Cambria Math"/>
                <w:lang w:val="es-CO" w:eastAsia="x-none"/>
              </w:rPr>
              <m:t>e</m:t>
            </m:r>
          </m:sub>
        </m:sSub>
      </m:oMath>
      <w:r w:rsidR="0006302B" w:rsidRPr="0013707D">
        <w:rPr>
          <w:rFonts w:ascii="Bookman Old Style" w:hAnsi="Bookman Old Style"/>
          <w:lang w:val="es-CO"/>
        </w:rPr>
        <w:t xml:space="preserve">. Esta cantidad de energía se determinará con base en la curva de oferta del vendedor </w:t>
      </w:r>
      <m:oMath>
        <m:r>
          <w:rPr>
            <w:rFonts w:ascii="Cambria Math" w:hAnsi="Cambria Math"/>
            <w:lang w:val="es-CO"/>
          </w:rPr>
          <m:t>s</m:t>
        </m:r>
      </m:oMath>
      <w:r w:rsidR="0006302B" w:rsidRPr="0013707D">
        <w:rPr>
          <w:rFonts w:ascii="Bookman Old Style" w:hAnsi="Bookman Old Style"/>
          <w:lang w:val="es-CO"/>
        </w:rPr>
        <w:t xml:space="preserve"> según la </w:t>
      </w:r>
      <w:r w:rsidR="0006302B" w:rsidRPr="0013707D">
        <w:rPr>
          <w:rFonts w:ascii="Bookman Old Style" w:hAnsi="Bookman Old Style"/>
          <w:bCs/>
          <w:lang w:val="es-CO" w:eastAsia="x-none"/>
        </w:rPr>
        <w:fldChar w:fldCharType="begin"/>
      </w:r>
      <w:r w:rsidR="0006302B" w:rsidRPr="0013707D">
        <w:rPr>
          <w:rFonts w:ascii="Bookman Old Style" w:hAnsi="Bookman Old Style"/>
          <w:bCs/>
          <w:lang w:val="es-CO" w:eastAsia="x-none"/>
        </w:rPr>
        <w:instrText xml:space="preserve"> REF _Ref361822728 \h  \* MERGEFORMAT </w:instrText>
      </w:r>
      <w:r w:rsidR="0006302B" w:rsidRPr="0013707D">
        <w:rPr>
          <w:rFonts w:ascii="Bookman Old Style" w:hAnsi="Bookman Old Style"/>
          <w:bCs/>
          <w:lang w:val="es-CO" w:eastAsia="x-none"/>
        </w:rPr>
      </w:r>
      <w:r w:rsidR="0006302B" w:rsidRPr="0013707D">
        <w:rPr>
          <w:rFonts w:ascii="Bookman Old Style" w:hAnsi="Bookman Old Style"/>
          <w:bCs/>
          <w:lang w:val="es-CO" w:eastAsia="x-none"/>
        </w:rPr>
        <w:fldChar w:fldCharType="separate"/>
      </w:r>
      <w:r w:rsidR="00636B6A" w:rsidRPr="00996A90">
        <w:rPr>
          <w:rFonts w:ascii="Bookman Old Style" w:hAnsi="Bookman Old Style"/>
          <w:lang w:val="es-CO"/>
        </w:rPr>
        <w:t xml:space="preserve">Tabla </w:t>
      </w:r>
      <w:r w:rsidR="00636B6A" w:rsidRPr="00996A90">
        <w:rPr>
          <w:rFonts w:ascii="Bookman Old Style" w:hAnsi="Bookman Old Style"/>
          <w:noProof/>
          <w:lang w:val="es-CO"/>
        </w:rPr>
        <w:t>6</w:t>
      </w:r>
      <w:r w:rsidR="0006302B" w:rsidRPr="0013707D">
        <w:rPr>
          <w:rFonts w:ascii="Bookman Old Style" w:hAnsi="Bookman Old Style"/>
          <w:bCs/>
          <w:lang w:val="es-CO" w:eastAsia="x-none"/>
        </w:rPr>
        <w:fldChar w:fldCharType="end"/>
      </w:r>
      <w:r w:rsidR="0006302B" w:rsidRPr="0013707D">
        <w:rPr>
          <w:rFonts w:ascii="Bookman Old Style" w:hAnsi="Bookman Old Style"/>
          <w:lang w:val="es-CO"/>
        </w:rPr>
        <w:t>. Este valor se expresará en MBTUD.</w:t>
      </w:r>
    </w:p>
    <w:p w14:paraId="35BBBD11" w14:textId="77777777" w:rsidR="0006302B" w:rsidRPr="0013707D" w:rsidRDefault="0006302B" w:rsidP="0006302B">
      <w:pPr>
        <w:ind w:left="4395" w:hanging="2693"/>
        <w:jc w:val="both"/>
        <w:rPr>
          <w:rFonts w:ascii="Bookman Old Style" w:hAnsi="Bookman Old Style" w:cs="Arial"/>
          <w:bCs/>
          <w:color w:val="000000" w:themeColor="text1"/>
          <w:lang w:val="es-CO" w:eastAsia="x-none"/>
        </w:rPr>
      </w:pPr>
    </w:p>
    <w:p w14:paraId="7E50F952" w14:textId="77777777" w:rsidR="0006302B" w:rsidRPr="0013707D" w:rsidRDefault="00FB7B28" w:rsidP="0006302B">
      <w:pPr>
        <w:ind w:left="4395" w:hanging="2694"/>
        <w:jc w:val="both"/>
        <w:rPr>
          <w:rFonts w:ascii="Bookman Old Style" w:hAnsi="Bookman Old Style" w:cs="Arial"/>
          <w:bCs/>
          <w:color w:val="000000" w:themeColor="text1"/>
          <w:lang w:val="es-CO" w:eastAsia="en-US"/>
        </w:rPr>
      </w:pP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po</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Precio al que un vendedor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xml:space="preserve"> está dispuesto a vender la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bCs/>
          <w:color w:val="000000" w:themeColor="text1"/>
          <w:lang w:val="es-CO" w:eastAsia="x-none"/>
        </w:rPr>
        <w:t xml:space="preserve">Esta variable </w:t>
      </w:r>
      <w:r w:rsidR="0006302B" w:rsidRPr="0013707D">
        <w:rPr>
          <w:rFonts w:ascii="Bookman Old Style" w:hAnsi="Bookman Old Style" w:cs="Arial"/>
          <w:color w:val="000000" w:themeColor="text1"/>
          <w:lang w:val="es-CO"/>
        </w:rPr>
        <w:t xml:space="preserve">tomará los valores ordenados en forma ascendente desde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mín</m:t>
            </m:r>
          </m:sub>
        </m:sSub>
      </m:oMath>
      <w:r w:rsidR="0006302B" w:rsidRPr="0013707D">
        <w:rPr>
          <w:rFonts w:ascii="Bookman Old Style" w:hAnsi="Bookman Old Style" w:cs="Arial"/>
          <w:bCs/>
          <w:color w:val="000000" w:themeColor="text1"/>
          <w:lang w:val="es-CO" w:eastAsia="en-US"/>
        </w:rPr>
        <w:t xml:space="preserve"> hasta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 máx</m:t>
            </m:r>
          </m:sub>
        </m:sSub>
      </m:oMath>
      <w:r w:rsidR="0006302B" w:rsidRPr="0013707D">
        <w:rPr>
          <w:rFonts w:ascii="Bookman Old Style" w:hAnsi="Bookman Old Style" w:cs="Arial"/>
          <w:bCs/>
          <w:color w:val="000000" w:themeColor="text1"/>
          <w:lang w:val="es-CO" w:eastAsia="en-US"/>
        </w:rPr>
        <w:t>.</w:t>
      </w:r>
    </w:p>
    <w:p w14:paraId="0379B388" w14:textId="77777777" w:rsidR="0006302B" w:rsidRPr="0013707D" w:rsidRDefault="0006302B" w:rsidP="0006302B">
      <w:pPr>
        <w:ind w:left="4395" w:hanging="2693"/>
        <w:jc w:val="both"/>
        <w:rPr>
          <w:rFonts w:ascii="Bookman Old Style" w:hAnsi="Bookman Old Style" w:cs="Arial"/>
          <w:bCs/>
          <w:color w:val="000000" w:themeColor="text1"/>
          <w:lang w:val="es-CO" w:eastAsia="x-none"/>
        </w:rPr>
      </w:pPr>
    </w:p>
    <w:p w14:paraId="6EE91BE1" w14:textId="005E0358" w:rsidR="0006302B" w:rsidRPr="0013707D" w:rsidRDefault="00FB7B28" w:rsidP="0006302B">
      <w:pPr>
        <w:ind w:left="4395" w:hanging="2694"/>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 xml:space="preserve">Es el menor de los precios de reserva </w:t>
      </w:r>
      <w:r w:rsidR="0006302B" w:rsidRPr="0013707D">
        <w:rPr>
          <w:rFonts w:ascii="Bookman Old Style" w:hAnsi="Bookman Old Style" w:cs="Arial"/>
          <w:color w:val="000000" w:themeColor="text1"/>
          <w:lang w:val="es-CO"/>
        </w:rPr>
        <w:t xml:space="preserve">declarados </w:t>
      </w:r>
      <w:r w:rsidR="0006302B" w:rsidRPr="0013707D">
        <w:rPr>
          <w:rFonts w:ascii="Bookman Old Style" w:hAnsi="Bookman Old Style" w:cs="Arial"/>
          <w:color w:val="000000" w:themeColor="text1"/>
          <w:lang w:val="es-CO" w:eastAsia="x-none"/>
        </w:rPr>
        <w:t xml:space="preserve">por todos los vendedores </w:t>
      </w:r>
      <m:oMath>
        <m:r>
          <w:rPr>
            <w:rFonts w:ascii="Cambria Math" w:hAnsi="Cambria Math"/>
            <w:color w:val="000000" w:themeColor="text1"/>
            <w:lang w:val="es-CO"/>
          </w:rPr>
          <m:t>s</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olor w:val="000000" w:themeColor="text1"/>
          <w:lang w:val="es-CO"/>
        </w:rPr>
        <w:fldChar w:fldCharType="begin"/>
      </w:r>
      <w:r w:rsidR="0006302B" w:rsidRPr="0013707D">
        <w:rPr>
          <w:rFonts w:ascii="Bookman Old Style" w:hAnsi="Bookman Old Style"/>
          <w:color w:val="000000" w:themeColor="text1"/>
          <w:lang w:val="es-CO"/>
        </w:rPr>
        <w:instrText xml:space="preserve"> REF _Ref361818970 \h  \* MERGEFORMAT </w:instrText>
      </w:r>
      <w:r w:rsidR="0006302B" w:rsidRPr="0013707D">
        <w:rPr>
          <w:rFonts w:ascii="Bookman Old Style" w:hAnsi="Bookman Old Style"/>
          <w:color w:val="000000" w:themeColor="text1"/>
          <w:lang w:val="es-CO"/>
        </w:rPr>
      </w:r>
      <w:r w:rsidR="0006302B" w:rsidRPr="0013707D">
        <w:rPr>
          <w:rFonts w:ascii="Bookman Old Style" w:hAnsi="Bookman Old Style"/>
          <w:color w:val="000000" w:themeColor="text1"/>
          <w:lang w:val="es-CO"/>
        </w:rPr>
        <w:fldChar w:fldCharType="separate"/>
      </w:r>
      <w:r w:rsidR="00636B6A" w:rsidRPr="00996A90">
        <w:rPr>
          <w:rFonts w:ascii="Bookman Old Style" w:hAnsi="Bookman Old Style"/>
          <w:color w:val="000000" w:themeColor="text1"/>
          <w:lang w:val="es-CO"/>
        </w:rPr>
        <w:t>Tabla 2</w:t>
      </w:r>
      <w:r w:rsidR="0006302B" w:rsidRPr="0013707D">
        <w:rPr>
          <w:rFonts w:ascii="Bookman Old Style" w:hAnsi="Bookman Old Style"/>
          <w:color w:val="000000" w:themeColor="text1"/>
          <w:lang w:val="es-CO"/>
        </w:rPr>
        <w:fldChar w:fldCharType="end"/>
      </w:r>
      <w:r w:rsidR="0006302B" w:rsidRPr="0013707D">
        <w:rPr>
          <w:rFonts w:ascii="Bookman Old Style" w:hAnsi="Bookman Old Style" w:cs="Arial"/>
          <w:color w:val="000000" w:themeColor="text1"/>
          <w:lang w:val="es-CO"/>
        </w:rPr>
        <w:t>. Este valor se expresará en dólares de los Estados Unidos de América por MBTU.</w:t>
      </w:r>
    </w:p>
    <w:p w14:paraId="7FDF7EC5" w14:textId="77777777" w:rsidR="0006302B" w:rsidRPr="0013707D" w:rsidRDefault="0006302B" w:rsidP="0006302B">
      <w:pPr>
        <w:ind w:left="4395" w:hanging="2693"/>
        <w:jc w:val="both"/>
        <w:rPr>
          <w:rFonts w:ascii="Bookman Old Style" w:hAnsi="Bookman Old Style" w:cs="Arial"/>
          <w:bCs/>
          <w:color w:val="000000" w:themeColor="text1"/>
          <w:lang w:val="es-CO" w:eastAsia="x-none"/>
        </w:rPr>
      </w:pPr>
    </w:p>
    <w:p w14:paraId="3C0F4B78" w14:textId="31B2F221" w:rsidR="0006302B" w:rsidRPr="0013707D" w:rsidRDefault="00FB7B28" w:rsidP="0006302B">
      <w:pPr>
        <w:ind w:left="4395" w:hanging="2694"/>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 xml:space="preserve">Es el mayor de los precios de reserva </w:t>
      </w:r>
      <w:r w:rsidR="0006302B" w:rsidRPr="0013707D">
        <w:rPr>
          <w:rFonts w:ascii="Bookman Old Style" w:hAnsi="Bookman Old Style" w:cs="Arial"/>
          <w:color w:val="000000" w:themeColor="text1"/>
          <w:lang w:val="es-CO"/>
        </w:rPr>
        <w:t xml:space="preserve">declarados </w:t>
      </w:r>
      <w:r w:rsidR="0006302B" w:rsidRPr="0013707D">
        <w:rPr>
          <w:rFonts w:ascii="Bookman Old Style" w:hAnsi="Bookman Old Style" w:cs="Arial"/>
          <w:color w:val="000000" w:themeColor="text1"/>
          <w:lang w:val="es-CO" w:eastAsia="x-none"/>
        </w:rPr>
        <w:t xml:space="preserve">por todos los vendedores </w:t>
      </w:r>
      <m:oMath>
        <m:r>
          <w:rPr>
            <w:rFonts w:ascii="Cambria Math" w:hAnsi="Cambria Math"/>
            <w:color w:val="000000" w:themeColor="text1"/>
            <w:lang w:val="es-CO"/>
          </w:rPr>
          <m:t>s</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olor w:val="000000" w:themeColor="text1"/>
          <w:lang w:val="es-CO"/>
        </w:rPr>
        <w:fldChar w:fldCharType="begin"/>
      </w:r>
      <w:r w:rsidR="0006302B" w:rsidRPr="0013707D">
        <w:rPr>
          <w:rFonts w:ascii="Bookman Old Style" w:hAnsi="Bookman Old Style"/>
          <w:color w:val="000000" w:themeColor="text1"/>
          <w:lang w:val="es-CO"/>
        </w:rPr>
        <w:instrText xml:space="preserve"> REF _Ref361818970 \h  \* MERGEFORMAT </w:instrText>
      </w:r>
      <w:r w:rsidR="0006302B" w:rsidRPr="0013707D">
        <w:rPr>
          <w:rFonts w:ascii="Bookman Old Style" w:hAnsi="Bookman Old Style"/>
          <w:color w:val="000000" w:themeColor="text1"/>
          <w:lang w:val="es-CO"/>
        </w:rPr>
      </w:r>
      <w:r w:rsidR="0006302B" w:rsidRPr="0013707D">
        <w:rPr>
          <w:rFonts w:ascii="Bookman Old Style" w:hAnsi="Bookman Old Style"/>
          <w:color w:val="000000" w:themeColor="text1"/>
          <w:lang w:val="es-CO"/>
        </w:rPr>
        <w:fldChar w:fldCharType="separate"/>
      </w:r>
      <w:r w:rsidR="00636B6A" w:rsidRPr="00996A90">
        <w:rPr>
          <w:rFonts w:ascii="Bookman Old Style" w:hAnsi="Bookman Old Style"/>
          <w:color w:val="000000" w:themeColor="text1"/>
          <w:lang w:val="es-CO"/>
        </w:rPr>
        <w:t>Tabla 2</w:t>
      </w:r>
      <w:r w:rsidR="0006302B" w:rsidRPr="0013707D">
        <w:rPr>
          <w:rFonts w:ascii="Bookman Old Style" w:hAnsi="Bookman Old Style"/>
          <w:color w:val="000000" w:themeColor="text1"/>
          <w:lang w:val="es-CO"/>
        </w:rPr>
        <w:fldChar w:fldCharType="end"/>
      </w:r>
      <w:r w:rsidR="0006302B" w:rsidRPr="0013707D">
        <w:rPr>
          <w:rFonts w:ascii="Bookman Old Style" w:hAnsi="Bookman Old Style" w:cs="Arial"/>
          <w:color w:val="000000" w:themeColor="text1"/>
          <w:lang w:val="es-CO"/>
        </w:rPr>
        <w:t>. Este valor se expresará en dólares de los Estados Unidos de América por MBTU.</w:t>
      </w:r>
    </w:p>
    <w:p w14:paraId="31CF16D5" w14:textId="77777777" w:rsidR="0006302B" w:rsidRPr="0013707D" w:rsidRDefault="0006302B" w:rsidP="0006302B">
      <w:pPr>
        <w:ind w:left="4395" w:hanging="2693"/>
        <w:jc w:val="both"/>
        <w:rPr>
          <w:rFonts w:ascii="Bookman Old Style" w:hAnsi="Bookman Old Style" w:cs="Arial"/>
          <w:bCs/>
          <w:color w:val="000000" w:themeColor="text1"/>
          <w:lang w:val="es-CO" w:eastAsia="x-none"/>
        </w:rPr>
      </w:pPr>
    </w:p>
    <w:p w14:paraId="70ABB3DB" w14:textId="38FFA771" w:rsidR="0006302B" w:rsidRPr="0013707D" w:rsidRDefault="00FB7B28" w:rsidP="0006302B">
      <w:pPr>
        <w:ind w:left="4395" w:hanging="2694"/>
        <w:jc w:val="both"/>
        <w:rPr>
          <w:rFonts w:ascii="Bookman Old Style" w:hAnsi="Bookman Old Style" w:cs="Arial"/>
          <w:b/>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e,mín+1</m:t>
                </m:r>
              </m:sub>
            </m:sSub>
          </m:sub>
        </m:sSub>
      </m:oMath>
      <w:proofErr w:type="gramStart"/>
      <w:r w:rsidR="0006302B" w:rsidRPr="0013707D">
        <w:rPr>
          <w:rFonts w:ascii="Bookman Old Style" w:hAnsi="Bookman Old Style" w:cs="Arial"/>
          <w:bCs/>
          <w:color w:val="000000" w:themeColor="text1"/>
          <w:lang w:val="es-CO" w:eastAsia="en-US"/>
        </w:rPr>
        <w:t>,…</w:t>
      </w:r>
      <w:proofErr w:type="gramEnd"/>
      <w:r w:rsidR="0006302B" w:rsidRPr="0013707D">
        <w:rPr>
          <w:rFonts w:ascii="Bookman Old Style" w:hAnsi="Bookman Old Style" w:cs="Arial"/>
          <w:bCs/>
          <w:color w:val="000000" w:themeColor="text1"/>
          <w:lang w:val="es-CO" w:eastAsia="en-US"/>
        </w:rPr>
        <w:t>,</w:t>
      </w:r>
      <m:oMath>
        <m:r>
          <w:rPr>
            <w:rFonts w:ascii="Cambria Math" w:eastAsia="Calibri" w:hAnsi="Cambria Math"/>
            <w:color w:val="000000" w:themeColor="text1"/>
            <w:lang w:val="es-CO" w:eastAsia="en-US"/>
          </w:rPr>
          <m:t xml:space="preserve"> </m:t>
        </m:r>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e,máx-1</m:t>
                </m:r>
              </m:sub>
            </m:sSub>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r>
      <w:r w:rsidR="0006302B" w:rsidRPr="0013707D">
        <w:rPr>
          <w:rFonts w:ascii="Bookman Old Style" w:hAnsi="Bookman Old Style" w:cs="Arial"/>
          <w:color w:val="000000" w:themeColor="text1"/>
          <w:lang w:val="es-CO" w:eastAsia="x-none"/>
        </w:rPr>
        <w:t>Son</w:t>
      </w:r>
      <w:r w:rsidR="0006302B" w:rsidRPr="0013707D">
        <w:rPr>
          <w:rFonts w:ascii="Bookman Old Style" w:hAnsi="Bookman Old Style" w:cs="Arial"/>
          <w:color w:val="000000" w:themeColor="text1"/>
          <w:lang w:val="es-CO"/>
        </w:rPr>
        <w:t xml:space="preserve"> </w:t>
      </w:r>
      <w:r w:rsidR="0006302B" w:rsidRPr="0013707D">
        <w:rPr>
          <w:rFonts w:ascii="Bookman Old Style" w:hAnsi="Bookman Old Style" w:cs="Arial"/>
          <w:color w:val="000000" w:themeColor="text1"/>
          <w:lang w:val="es-CO" w:eastAsia="x-none"/>
        </w:rPr>
        <w:t xml:space="preserve">los precios de reserva </w:t>
      </w:r>
      <w:r w:rsidR="0006302B" w:rsidRPr="0013707D">
        <w:rPr>
          <w:rFonts w:ascii="Bookman Old Style" w:hAnsi="Bookman Old Style" w:cs="Arial"/>
          <w:color w:val="000000" w:themeColor="text1"/>
          <w:lang w:val="es-CO"/>
        </w:rPr>
        <w:t xml:space="preserve">declarados </w:t>
      </w:r>
      <w:r w:rsidR="0006302B" w:rsidRPr="0013707D">
        <w:rPr>
          <w:rFonts w:ascii="Bookman Old Style" w:hAnsi="Bookman Old Style" w:cs="Arial"/>
          <w:color w:val="000000" w:themeColor="text1"/>
          <w:lang w:val="es-CO" w:eastAsia="x-none"/>
        </w:rPr>
        <w:t xml:space="preserve">por todos los vendedores </w:t>
      </w:r>
      <m:oMath>
        <m:r>
          <w:rPr>
            <w:rFonts w:ascii="Cambria Math" w:hAnsi="Cambria Math"/>
            <w:color w:val="000000" w:themeColor="text1"/>
            <w:lang w:val="es-CO"/>
          </w:rPr>
          <m:t>s</m:t>
        </m:r>
      </m:oMath>
      <w:r w:rsidR="0006302B" w:rsidRPr="0013707D">
        <w:rPr>
          <w:rFonts w:ascii="Bookman Old Style" w:hAnsi="Bookman Old Style" w:cs="Arial"/>
          <w:color w:val="000000" w:themeColor="text1"/>
          <w:lang w:val="es-CO"/>
        </w:rPr>
        <w:t xml:space="preserve"> según la </w:t>
      </w:r>
      <w:r w:rsidR="0006302B" w:rsidRPr="0013707D">
        <w:rPr>
          <w:rFonts w:ascii="Bookman Old Style" w:hAnsi="Bookman Old Style"/>
          <w:color w:val="000000" w:themeColor="text1"/>
          <w:lang w:val="es-CO"/>
        </w:rPr>
        <w:fldChar w:fldCharType="begin"/>
      </w:r>
      <w:r w:rsidR="0006302B" w:rsidRPr="0013707D">
        <w:rPr>
          <w:rFonts w:ascii="Bookman Old Style" w:hAnsi="Bookman Old Style"/>
          <w:color w:val="000000" w:themeColor="text1"/>
          <w:lang w:val="es-CO"/>
        </w:rPr>
        <w:instrText xml:space="preserve"> REF _Ref361818970 \h  \* MERGEFORMAT </w:instrText>
      </w:r>
      <w:r w:rsidR="0006302B" w:rsidRPr="0013707D">
        <w:rPr>
          <w:rFonts w:ascii="Bookman Old Style" w:hAnsi="Bookman Old Style"/>
          <w:color w:val="000000" w:themeColor="text1"/>
          <w:lang w:val="es-CO"/>
        </w:rPr>
      </w:r>
      <w:r w:rsidR="0006302B" w:rsidRPr="0013707D">
        <w:rPr>
          <w:rFonts w:ascii="Bookman Old Style" w:hAnsi="Bookman Old Style"/>
          <w:color w:val="000000" w:themeColor="text1"/>
          <w:lang w:val="es-CO"/>
        </w:rPr>
        <w:fldChar w:fldCharType="separate"/>
      </w:r>
      <w:r w:rsidR="00636B6A" w:rsidRPr="00996A90">
        <w:rPr>
          <w:rFonts w:ascii="Bookman Old Style" w:hAnsi="Bookman Old Style"/>
          <w:color w:val="000000" w:themeColor="text1"/>
          <w:lang w:val="es-CO"/>
        </w:rPr>
        <w:t>Tabla 2</w:t>
      </w:r>
      <w:r w:rsidR="0006302B" w:rsidRPr="0013707D">
        <w:rPr>
          <w:rFonts w:ascii="Bookman Old Style" w:hAnsi="Bookman Old Style"/>
          <w:color w:val="000000" w:themeColor="text1"/>
          <w:lang w:val="es-CO"/>
        </w:rPr>
        <w:fldChar w:fldCharType="end"/>
      </w:r>
      <w:r w:rsidR="0006302B" w:rsidRPr="0013707D">
        <w:rPr>
          <w:rFonts w:ascii="Bookman Old Style" w:hAnsi="Bookman Old Style" w:cs="Arial"/>
          <w:color w:val="000000" w:themeColor="text1"/>
          <w:lang w:val="es-CO"/>
        </w:rPr>
        <w:t xml:space="preserve">, organizados de menor a mayor entre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e,mín</m:t>
                </m:r>
              </m:sub>
            </m:sSub>
          </m:sub>
        </m:sSub>
      </m:oMath>
      <w:r w:rsidR="0006302B" w:rsidRPr="0013707D">
        <w:rPr>
          <w:rFonts w:ascii="Bookman Old Style" w:hAnsi="Bookman Old Style" w:cs="Arial"/>
          <w:color w:val="000000" w:themeColor="text1"/>
          <w:lang w:val="es-CO"/>
        </w:rPr>
        <w:t xml:space="preserve"> y </w:t>
      </w: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PR</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e,máx</m:t>
                </m:r>
              </m:sub>
            </m:sSub>
          </m:sub>
        </m:sSub>
      </m:oMath>
      <w:r w:rsidR="0006302B" w:rsidRPr="0013707D">
        <w:rPr>
          <w:rFonts w:ascii="Bookman Old Style" w:hAnsi="Bookman Old Style" w:cs="Arial"/>
          <w:color w:val="000000" w:themeColor="text1"/>
          <w:lang w:val="es-CO"/>
        </w:rPr>
        <w:t>. Estos valores se expresarán en dólares de los Estados Unidos de América por MBTU.</w:t>
      </w:r>
    </w:p>
    <w:p w14:paraId="061FC788" w14:textId="77777777" w:rsidR="0006302B" w:rsidRPr="0013707D" w:rsidRDefault="0006302B" w:rsidP="0006302B">
      <w:pPr>
        <w:pStyle w:val="Textoindependiente"/>
        <w:ind w:left="1134" w:hanging="1559"/>
        <w:jc w:val="both"/>
        <w:rPr>
          <w:rFonts w:ascii="Bookman Old Style" w:hAnsi="Bookman Old Style"/>
          <w:b w:val="0"/>
          <w:color w:val="000000" w:themeColor="text1"/>
          <w:lang w:val="es-CO"/>
        </w:rPr>
      </w:pPr>
    </w:p>
    <w:p w14:paraId="0C366056" w14:textId="77777777" w:rsidR="0006302B" w:rsidRPr="0013707D" w:rsidRDefault="0006302B" w:rsidP="00A4790E">
      <w:pPr>
        <w:numPr>
          <w:ilvl w:val="0"/>
          <w:numId w:val="47"/>
        </w:numPr>
        <w:autoSpaceDE w:val="0"/>
        <w:autoSpaceDN w:val="0"/>
        <w:adjustRightInd w:val="0"/>
        <w:ind w:left="1134" w:hanging="567"/>
        <w:jc w:val="both"/>
        <w:rPr>
          <w:rFonts w:ascii="Bookman Old Style" w:hAnsi="Bookman Old Style" w:cs="Arial"/>
          <w:color w:val="000000" w:themeColor="text1"/>
          <w:lang w:val="es-CO"/>
        </w:rPr>
      </w:pPr>
      <w:bookmarkStart w:id="165" w:name="_Ref361912253"/>
      <w:r w:rsidRPr="0013707D">
        <w:rPr>
          <w:rFonts w:ascii="Bookman Old Style" w:hAnsi="Bookman Old Style" w:cs="Arial"/>
          <w:color w:val="000000" w:themeColor="text1"/>
          <w:lang w:val="es-CO"/>
        </w:rPr>
        <w:t xml:space="preserve">El subastador superpondrá la curva de demanda agregada, </w:t>
      </w:r>
      <m:oMath>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DA</m:t>
            </m:r>
          </m:e>
          <m:sub>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E</m:t>
                </m:r>
              </m:e>
              <m:sub>
                <m:r>
                  <w:rPr>
                    <w:rFonts w:ascii="Cambria Math" w:hAnsi="Cambria Math"/>
                    <w:color w:val="000000" w:themeColor="text1"/>
                    <w:lang w:val="es-CO" w:eastAsia="x-none"/>
                  </w:rPr>
                  <m:t>e</m:t>
                </m:r>
              </m:sub>
            </m:sSub>
          </m:sub>
        </m:sSub>
      </m:oMath>
      <w:r w:rsidRPr="0013707D">
        <w:rPr>
          <w:rFonts w:ascii="Bookman Old Style" w:hAnsi="Bookman Old Style" w:cs="Arial"/>
          <w:bCs/>
          <w:color w:val="000000" w:themeColor="text1"/>
          <w:lang w:val="es-CO" w:eastAsia="x-none"/>
        </w:rPr>
        <w:t xml:space="preserve">, </w:t>
      </w:r>
      <w:r w:rsidRPr="0013707D">
        <w:rPr>
          <w:rFonts w:ascii="Bookman Old Style" w:hAnsi="Bookman Old Style" w:cs="Arial"/>
          <w:color w:val="000000" w:themeColor="text1"/>
          <w:lang w:val="es-CO"/>
        </w:rPr>
        <w:t xml:space="preserve">y la curva de oferta agregada,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OA</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m:t>
            </m:r>
          </m:sub>
        </m:sSub>
      </m:oMath>
      <w:r w:rsidRPr="0013707D">
        <w:rPr>
          <w:rFonts w:ascii="Bookman Old Style" w:hAnsi="Bookman Old Style" w:cs="Arial"/>
          <w:bCs/>
          <w:color w:val="000000" w:themeColor="text1"/>
          <w:lang w:val="es-CO" w:eastAsia="x-none"/>
        </w:rPr>
        <w:t>,</w:t>
      </w:r>
      <w:r w:rsidRPr="0013707D">
        <w:rPr>
          <w:rFonts w:ascii="Bookman Old Style" w:hAnsi="Bookman Old Style" w:cs="Arial"/>
          <w:color w:val="000000" w:themeColor="text1"/>
          <w:lang w:val="es-CO"/>
        </w:rPr>
        <w:t xml:space="preserve"> para establecer el resultado de la subasta de acuerdo con los siguientes tres (3) casos:</w:t>
      </w:r>
      <w:bookmarkEnd w:id="165"/>
    </w:p>
    <w:p w14:paraId="1D1A7200" w14:textId="77777777" w:rsidR="0006302B" w:rsidRPr="0013707D" w:rsidRDefault="0006302B" w:rsidP="0006302B">
      <w:pPr>
        <w:autoSpaceDE w:val="0"/>
        <w:autoSpaceDN w:val="0"/>
        <w:adjustRightInd w:val="0"/>
        <w:ind w:left="1134"/>
        <w:jc w:val="both"/>
        <w:rPr>
          <w:rFonts w:ascii="Bookman Old Style" w:hAnsi="Bookman Old Style" w:cs="Arial"/>
          <w:color w:val="000000" w:themeColor="text1"/>
          <w:lang w:val="es-CO"/>
        </w:rPr>
      </w:pPr>
    </w:p>
    <w:p w14:paraId="1A942AAA" w14:textId="77777777" w:rsidR="0006302B" w:rsidRPr="0013707D" w:rsidRDefault="0006302B" w:rsidP="00A4790E">
      <w:pPr>
        <w:numPr>
          <w:ilvl w:val="0"/>
          <w:numId w:val="55"/>
        </w:numPr>
        <w:ind w:left="1701" w:hanging="567"/>
        <w:contextualSpacing/>
        <w:jc w:val="both"/>
        <w:rPr>
          <w:rFonts w:ascii="Bookman Old Style" w:hAnsi="Bookman Old Style" w:cs="Arial"/>
          <w:color w:val="000000" w:themeColor="text1"/>
          <w:lang w:val="es-CO" w:eastAsia="x-none"/>
        </w:rPr>
      </w:pPr>
      <w:bookmarkStart w:id="166" w:name="_Ref361912232"/>
      <w:r w:rsidRPr="0013707D">
        <w:rPr>
          <w:rFonts w:ascii="Bookman Old Style" w:hAnsi="Bookman Old Style" w:cs="Arial"/>
          <w:color w:val="000000" w:themeColor="text1"/>
          <w:lang w:val="es-CO" w:eastAsia="x-none"/>
        </w:rPr>
        <w:t>Si las dos (2) curvas tienen un único punto en común (</w:t>
      </w: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Pr="0013707D">
        <w:rPr>
          <w:rFonts w:ascii="Bookman Old Style" w:hAnsi="Bookman Old Style" w:cs="Arial"/>
          <w:color w:val="000000" w:themeColor="text1"/>
          <w:lang w:val="es-CO" w:eastAsia="x-none"/>
        </w:rPr>
        <w:t xml:space="preserve">,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eastAsia="x-none"/>
        </w:rPr>
        <w:t xml:space="preserve">), éste determinará la cantidad total de energía adjudicada, </w:t>
      </w: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Pr="0013707D">
        <w:rPr>
          <w:rFonts w:ascii="Bookman Old Style" w:hAnsi="Bookman Old Style" w:cs="Arial"/>
          <w:color w:val="000000" w:themeColor="text1"/>
          <w:lang w:val="es-CO" w:eastAsia="x-none"/>
        </w:rPr>
        <w:t xml:space="preserve">, y el precio de adjudicación,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eastAsia="x-none"/>
        </w:rPr>
        <w:t>.</w:t>
      </w:r>
      <w:bookmarkEnd w:id="166"/>
    </w:p>
    <w:p w14:paraId="41358C3B" w14:textId="77777777" w:rsidR="0006302B" w:rsidRPr="0013707D" w:rsidRDefault="0006302B" w:rsidP="0006302B">
      <w:pPr>
        <w:ind w:left="1701"/>
        <w:contextualSpacing/>
        <w:jc w:val="both"/>
        <w:rPr>
          <w:rFonts w:ascii="Bookman Old Style" w:hAnsi="Bookman Old Style" w:cs="Arial"/>
          <w:color w:val="000000" w:themeColor="text1"/>
          <w:lang w:val="es-CO" w:eastAsia="x-none"/>
        </w:rPr>
      </w:pPr>
    </w:p>
    <w:p w14:paraId="3E51906C" w14:textId="42C77EE8" w:rsidR="0006302B" w:rsidRPr="00A323F1" w:rsidRDefault="0006302B" w:rsidP="0006302B">
      <w:pPr>
        <w:ind w:left="1701"/>
        <w:contextualSpacing/>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eastAsia="x-none"/>
        </w:rPr>
        <w:t xml:space="preserve">A cada </w:t>
      </w:r>
      <w:r w:rsidRPr="0013707D">
        <w:rPr>
          <w:rFonts w:ascii="Bookman Old Style" w:hAnsi="Bookman Old Style" w:cs="Arial"/>
          <w:color w:val="000000" w:themeColor="text1"/>
          <w:lang w:val="es-CO"/>
        </w:rPr>
        <w:t xml:space="preserve">comprador que haya declarado una disposición a pagar mayor a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 xml:space="preserve"> y no haya declarado una disposición a pagar igual a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 xml:space="preserve"> se le asignará, al precio de adjudicación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 la cantidad de energía que está dispuesto a comprar al prec</w:t>
      </w:r>
      <w:r w:rsidRPr="00A323F1">
        <w:rPr>
          <w:rFonts w:ascii="Bookman Old Style" w:hAnsi="Bookman Old Style" w:cs="Arial"/>
          <w:color w:val="000000" w:themeColor="text1"/>
          <w:lang w:val="es-CO"/>
        </w:rPr>
        <w:t xml:space="preserve">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A323F1">
        <w:rPr>
          <w:rFonts w:ascii="Bookman Old Style" w:hAnsi="Bookman Old Style" w:cs="Arial"/>
          <w:color w:val="000000" w:themeColor="text1"/>
          <w:lang w:val="es-CO"/>
        </w:rPr>
        <w:t xml:space="preserve">. Esto se determinará con base en la curva de demanda del comprador que se forma a partir de sus cinco (5) preferencias declaradas según la </w:t>
      </w:r>
      <w:r w:rsidRPr="00A323F1">
        <w:rPr>
          <w:rFonts w:ascii="Bookman Old Style" w:hAnsi="Bookman Old Style" w:cs="Arial"/>
          <w:color w:val="000000" w:themeColor="text1"/>
          <w:lang w:val="es-CO"/>
        </w:rPr>
        <w:fldChar w:fldCharType="begin"/>
      </w:r>
      <w:r w:rsidRPr="00A323F1">
        <w:rPr>
          <w:rFonts w:ascii="Bookman Old Style" w:hAnsi="Bookman Old Style" w:cs="Arial"/>
          <w:color w:val="000000" w:themeColor="text1"/>
          <w:lang w:val="es-CO"/>
        </w:rPr>
        <w:instrText xml:space="preserve"> REF _Ref336592874 \h  \* MERGEFORMAT </w:instrText>
      </w:r>
      <w:r w:rsidRPr="00A323F1">
        <w:rPr>
          <w:rFonts w:ascii="Bookman Old Style" w:hAnsi="Bookman Old Style" w:cs="Arial"/>
          <w:color w:val="000000" w:themeColor="text1"/>
          <w:lang w:val="es-CO"/>
        </w:rPr>
      </w:r>
      <w:r w:rsidRPr="00A323F1">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Pr="00A323F1">
        <w:rPr>
          <w:rFonts w:ascii="Bookman Old Style" w:hAnsi="Bookman Old Style" w:cs="Arial"/>
          <w:color w:val="000000" w:themeColor="text1"/>
          <w:lang w:val="es-CO"/>
        </w:rPr>
        <w:fldChar w:fldCharType="end"/>
      </w:r>
      <w:r w:rsidRPr="00A323F1">
        <w:rPr>
          <w:rFonts w:ascii="Bookman Old Style" w:hAnsi="Bookman Old Style" w:cs="Arial"/>
          <w:color w:val="000000" w:themeColor="text1"/>
          <w:lang w:val="es-CO"/>
        </w:rPr>
        <w:t>.</w:t>
      </w:r>
    </w:p>
    <w:p w14:paraId="5A1E42AB" w14:textId="77777777" w:rsidR="0006302B" w:rsidRPr="00A323F1" w:rsidRDefault="0006302B" w:rsidP="0006302B">
      <w:pPr>
        <w:ind w:left="1701"/>
        <w:contextualSpacing/>
        <w:jc w:val="both"/>
        <w:rPr>
          <w:rFonts w:ascii="Bookman Old Style" w:hAnsi="Bookman Old Style" w:cs="Arial"/>
          <w:color w:val="000000" w:themeColor="text1"/>
          <w:lang w:val="es-CO" w:eastAsia="x-none"/>
        </w:rPr>
      </w:pPr>
    </w:p>
    <w:p w14:paraId="55F0863E" w14:textId="4288ACD1" w:rsidR="0006302B" w:rsidRPr="00A323F1" w:rsidRDefault="0006302B" w:rsidP="0006302B">
      <w:pPr>
        <w:ind w:left="1701"/>
        <w:contextualSpacing/>
        <w:jc w:val="both"/>
        <w:rPr>
          <w:rFonts w:ascii="Bookman Old Style" w:hAnsi="Bookman Old Style" w:cs="Arial"/>
          <w:color w:val="000000" w:themeColor="text1"/>
          <w:lang w:val="es-CO"/>
        </w:rPr>
      </w:pPr>
      <w:r w:rsidRPr="00A323F1">
        <w:rPr>
          <w:rFonts w:ascii="Bookman Old Style" w:hAnsi="Bookman Old Style" w:cs="Arial"/>
          <w:color w:val="000000" w:themeColor="text1"/>
          <w:lang w:val="es-CO" w:eastAsia="x-none"/>
        </w:rPr>
        <w:t xml:space="preserve">A cada </w:t>
      </w:r>
      <w:r w:rsidRPr="00A323F1">
        <w:rPr>
          <w:rFonts w:ascii="Bookman Old Style" w:hAnsi="Bookman Old Style" w:cs="Arial"/>
          <w:color w:val="000000" w:themeColor="text1"/>
          <w:lang w:val="es-CO"/>
        </w:rPr>
        <w:t xml:space="preserve">comprador que haya declarado entre sus preferencias una disposición a pagar igual a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A323F1">
        <w:rPr>
          <w:rFonts w:ascii="Bookman Old Style" w:hAnsi="Bookman Old Style" w:cs="Arial"/>
          <w:color w:val="000000" w:themeColor="text1"/>
          <w:lang w:val="es-CO"/>
        </w:rPr>
        <w:t xml:space="preserve"> se le asignará la cantidad de energía que resulte de aplicar la </w:t>
      </w:r>
      <w:r w:rsidRPr="00A323F1">
        <w:rPr>
          <w:rFonts w:ascii="Bookman Old Style" w:hAnsi="Bookman Old Style" w:cs="Arial"/>
          <w:color w:val="000000" w:themeColor="text1"/>
          <w:lang w:val="es-CO"/>
        </w:rPr>
        <w:fldChar w:fldCharType="begin"/>
      </w:r>
      <w:r w:rsidRPr="00A323F1">
        <w:rPr>
          <w:rFonts w:ascii="Bookman Old Style" w:hAnsi="Bookman Old Style" w:cs="Arial"/>
          <w:color w:val="000000" w:themeColor="text1"/>
          <w:lang w:val="es-CO"/>
        </w:rPr>
        <w:instrText xml:space="preserve"> REF _Ref362269043 \h  \* MERGEFORMAT </w:instrText>
      </w:r>
      <w:r w:rsidRPr="00A323F1">
        <w:rPr>
          <w:rFonts w:ascii="Bookman Old Style" w:hAnsi="Bookman Old Style" w:cs="Arial"/>
          <w:color w:val="000000" w:themeColor="text1"/>
          <w:lang w:val="es-CO"/>
        </w:rPr>
      </w:r>
      <w:r w:rsidRPr="00A323F1">
        <w:rPr>
          <w:rFonts w:ascii="Bookman Old Style" w:hAnsi="Bookman Old Style" w:cs="Arial"/>
          <w:color w:val="000000" w:themeColor="text1"/>
          <w:lang w:val="es-CO"/>
        </w:rPr>
        <w:fldChar w:fldCharType="separate"/>
      </w:r>
      <w:r w:rsidR="00636B6A" w:rsidRPr="00A323F1">
        <w:rPr>
          <w:rFonts w:ascii="Bookman Old Style" w:hAnsi="Bookman Old Style"/>
          <w:color w:val="000000" w:themeColor="text1"/>
          <w:lang w:val="es-CO"/>
        </w:rPr>
        <w:t xml:space="preserve">Ecuación </w:t>
      </w:r>
      <w:r w:rsidR="00636B6A">
        <w:rPr>
          <w:rFonts w:ascii="Bookman Old Style" w:hAnsi="Bookman Old Style"/>
          <w:noProof/>
          <w:color w:val="000000" w:themeColor="text1"/>
          <w:lang w:val="es-CO"/>
        </w:rPr>
        <w:t>1</w:t>
      </w:r>
      <w:r w:rsidRPr="00A323F1">
        <w:rPr>
          <w:rFonts w:ascii="Bookman Old Style" w:hAnsi="Bookman Old Style" w:cs="Arial"/>
          <w:color w:val="000000" w:themeColor="text1"/>
          <w:lang w:val="es-CO"/>
        </w:rPr>
        <w:fldChar w:fldCharType="end"/>
      </w:r>
      <w:r w:rsidRPr="00A323F1">
        <w:rPr>
          <w:rFonts w:ascii="Bookman Old Style" w:hAnsi="Bookman Old Style" w:cs="Arial"/>
          <w:color w:val="000000" w:themeColor="text1"/>
          <w:lang w:val="es-CO"/>
        </w:rPr>
        <w:t>:</w:t>
      </w:r>
    </w:p>
    <w:p w14:paraId="075AD67D" w14:textId="77777777" w:rsidR="0006302B" w:rsidRPr="00A323F1" w:rsidRDefault="0006302B" w:rsidP="0006302B">
      <w:pPr>
        <w:ind w:left="1701"/>
        <w:contextualSpacing/>
        <w:jc w:val="both"/>
        <w:rPr>
          <w:rFonts w:ascii="Bookman Old Style" w:hAnsi="Bookman Old Style" w:cs="Arial"/>
          <w:color w:val="000000" w:themeColor="text1"/>
          <w:lang w:val="es-CO"/>
        </w:rPr>
      </w:pPr>
    </w:p>
    <w:p w14:paraId="42E32458" w14:textId="38777C22" w:rsidR="0006302B" w:rsidRPr="0013707D" w:rsidRDefault="0006302B" w:rsidP="0006302B">
      <w:pPr>
        <w:pStyle w:val="Descripcin"/>
        <w:spacing w:after="0"/>
        <w:ind w:left="1701"/>
        <w:rPr>
          <w:rFonts w:ascii="Bookman Old Style" w:hAnsi="Bookman Old Style"/>
          <w:color w:val="000000" w:themeColor="text1"/>
          <w:sz w:val="24"/>
          <w:szCs w:val="24"/>
          <w:lang w:val="es-CO"/>
        </w:rPr>
      </w:pPr>
      <w:bookmarkStart w:id="167" w:name="_Ref362269043"/>
      <w:r w:rsidRPr="00A323F1">
        <w:rPr>
          <w:rFonts w:ascii="Bookman Old Style" w:hAnsi="Bookman Old Style"/>
          <w:color w:val="000000" w:themeColor="text1"/>
          <w:sz w:val="24"/>
          <w:szCs w:val="24"/>
          <w:lang w:val="es-CO"/>
        </w:rPr>
        <w:t xml:space="preserve">Ecuación </w:t>
      </w:r>
      <w:r w:rsidRPr="00A323F1">
        <w:rPr>
          <w:rFonts w:ascii="Bookman Old Style" w:hAnsi="Bookman Old Style"/>
          <w:color w:val="000000" w:themeColor="text1"/>
          <w:sz w:val="24"/>
          <w:szCs w:val="24"/>
          <w:lang w:val="es-CO"/>
        </w:rPr>
        <w:fldChar w:fldCharType="begin"/>
      </w:r>
      <w:r w:rsidRPr="00A323F1">
        <w:rPr>
          <w:rFonts w:ascii="Bookman Old Style" w:hAnsi="Bookman Old Style"/>
          <w:color w:val="000000" w:themeColor="text1"/>
          <w:sz w:val="24"/>
          <w:szCs w:val="24"/>
          <w:lang w:val="es-CO"/>
        </w:rPr>
        <w:instrText xml:space="preserve"> SEQ Ecuación \* ARABIC </w:instrText>
      </w:r>
      <w:r w:rsidRPr="00A323F1">
        <w:rPr>
          <w:rFonts w:ascii="Bookman Old Style" w:hAnsi="Bookman Old Style"/>
          <w:color w:val="000000" w:themeColor="text1"/>
          <w:sz w:val="24"/>
          <w:szCs w:val="24"/>
          <w:lang w:val="es-CO"/>
        </w:rPr>
        <w:fldChar w:fldCharType="separate"/>
      </w:r>
      <w:r w:rsidR="00636B6A">
        <w:rPr>
          <w:rFonts w:ascii="Bookman Old Style" w:hAnsi="Bookman Old Style"/>
          <w:noProof/>
          <w:color w:val="000000" w:themeColor="text1"/>
          <w:sz w:val="24"/>
          <w:szCs w:val="24"/>
          <w:lang w:val="es-CO"/>
        </w:rPr>
        <w:t>1</w:t>
      </w:r>
      <w:r w:rsidRPr="00A323F1">
        <w:rPr>
          <w:rFonts w:ascii="Bookman Old Style" w:hAnsi="Bookman Old Style"/>
          <w:color w:val="000000" w:themeColor="text1"/>
          <w:sz w:val="24"/>
          <w:szCs w:val="24"/>
          <w:lang w:val="es-CO"/>
        </w:rPr>
        <w:fldChar w:fldCharType="end"/>
      </w:r>
      <w:bookmarkEnd w:id="167"/>
    </w:p>
    <w:p w14:paraId="1EF620E2" w14:textId="77777777" w:rsidR="0006302B" w:rsidRPr="0013707D" w:rsidRDefault="0006302B" w:rsidP="0006302B">
      <w:pPr>
        <w:ind w:left="1560"/>
        <w:rPr>
          <w:rFonts w:ascii="Bookman Old Style" w:hAnsi="Bookman Old Style"/>
          <w:color w:val="000000" w:themeColor="text1"/>
          <w:lang w:val="es-CO"/>
        </w:rPr>
      </w:pPr>
    </w:p>
    <w:p w14:paraId="63583A91" w14:textId="77777777" w:rsidR="0006302B" w:rsidRPr="0013707D" w:rsidRDefault="00FB7B28" w:rsidP="0006302B">
      <w:pPr>
        <w:ind w:left="1276"/>
        <w:contextualSpacing/>
        <w:jc w:val="both"/>
        <w:rPr>
          <w:rFonts w:ascii="Bookman Old Style" w:hAnsi="Bookman Old Style" w:cs="Arial"/>
          <w:color w:val="000000" w:themeColor="text1"/>
          <w:lang w:val="es-CO"/>
        </w:rPr>
      </w:pPr>
      <m:oMathPara>
        <m:oMathParaPr>
          <m:jc m:val="center"/>
        </m:oMathParaPr>
        <m:oMath>
          <m:sSub>
            <m:sSubPr>
              <m:ctrlPr>
                <w:rPr>
                  <w:rFonts w:ascii="Cambria Math" w:hAnsi="Cambria Math" w:cs="Arial"/>
                  <w:i/>
                  <w:color w:val="000000" w:themeColor="text1"/>
                  <w:lang w:val="es-CO"/>
                </w:rPr>
              </m:ctrlPr>
            </m:sSubPr>
            <m:e>
              <m:sSub>
                <m:sSubPr>
                  <m:ctrlPr>
                    <w:rPr>
                      <w:rFonts w:ascii="Cambria Math" w:hAnsi="Cambria Math" w:cs="Arial"/>
                      <w:i/>
                      <w:color w:val="000000" w:themeColor="text1"/>
                      <w:lang w:val="es-CO"/>
                    </w:rPr>
                  </m:ctrlPr>
                </m:sSubPr>
                <m:e>
                  <m:acc>
                    <m:accPr>
                      <m:ctrlPr>
                        <w:rPr>
                          <w:rFonts w:ascii="Cambria Math" w:hAnsi="Cambria Math" w:cs="Arial"/>
                          <w:i/>
                          <w:color w:val="000000" w:themeColor="text1"/>
                          <w:lang w:val="es-CO"/>
                        </w:rPr>
                      </m:ctrlPr>
                    </m:accPr>
                    <m:e>
                      <m:r>
                        <w:rPr>
                          <w:rFonts w:ascii="Cambria Math" w:hAnsi="Cambria Math" w:cs="Arial"/>
                          <w:color w:val="000000" w:themeColor="text1"/>
                          <w:lang w:val="es-CO"/>
                        </w:rPr>
                        <m:t>D</m:t>
                      </m:r>
                    </m:e>
                  </m:acc>
                </m:e>
                <m:sub>
                  <m:r>
                    <w:rPr>
                      <w:rFonts w:ascii="Cambria Math" w:hAnsi="Cambria Math" w:cs="Arial"/>
                      <w:color w:val="000000" w:themeColor="text1"/>
                      <w:lang w:val="es-CO"/>
                    </w:rPr>
                    <m:t>E</m:t>
                  </m:r>
                </m:sub>
              </m:sSub>
            </m:e>
            <m:sub>
              <m:r>
                <w:rPr>
                  <w:rFonts w:ascii="Cambria Math" w:hAnsi="Cambria Math" w:cs="Arial"/>
                  <w:color w:val="000000" w:themeColor="text1"/>
                  <w:lang w:val="es-CO"/>
                </w:rPr>
                <m:t>e,k</m:t>
              </m:r>
            </m:sub>
          </m:sSub>
          <m:r>
            <w:rPr>
              <w:rFonts w:ascii="Cambria Math" w:hAnsi="Cambria Math" w:cs="Arial"/>
              <w:color w:val="000000" w:themeColor="text1"/>
              <w:lang w:val="es-CO"/>
            </w:rPr>
            <m:t>=</m:t>
          </m:r>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e,k</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e,k</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r>
            <w:rPr>
              <w:rFonts w:ascii="Cambria Math" w:eastAsia="Calibri" w:hAnsi="Cambria Math"/>
              <w:color w:val="000000" w:themeColor="text1"/>
              <w:lang w:val="es-CO" w:eastAsia="en-US"/>
            </w:rPr>
            <m:t>-</m:t>
          </m:r>
          <m:d>
            <m:dPr>
              <m:begChr m:val="["/>
              <m:endChr m:val="]"/>
              <m:ctrlPr>
                <w:rPr>
                  <w:rFonts w:ascii="Cambria Math" w:eastAsia="Calibri" w:hAnsi="Cambria Math"/>
                  <w:i/>
                  <w:color w:val="000000" w:themeColor="text1"/>
                  <w:lang w:val="es-CO" w:eastAsia="en-US"/>
                </w:rPr>
              </m:ctrlPr>
            </m:dPr>
            <m:e>
              <m:d>
                <m:dPr>
                  <m:ctrlPr>
                    <w:rPr>
                      <w:rFonts w:ascii="Cambria Math" w:eastAsia="Calibri" w:hAnsi="Cambria Math"/>
                      <w:i/>
                      <w:color w:val="000000" w:themeColor="text1"/>
                      <w:lang w:val="es-CO" w:eastAsia="en-US"/>
                    </w:rPr>
                  </m:ctrlPr>
                </m:dPr>
                <m:e>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j</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r>
                        <w:rPr>
                          <w:rFonts w:ascii="Cambria Math" w:eastAsia="Calibri" w:hAnsi="Cambria Math"/>
                          <w:color w:val="000000" w:themeColor="text1"/>
                          <w:lang w:val="es-CO" w:eastAsia="en-US"/>
                        </w:rPr>
                        <m:t>)</m:t>
                      </m:r>
                    </m:e>
                  </m:nary>
                </m:e>
              </m:d>
              <m:r>
                <w:rPr>
                  <w:rFonts w:ascii="Cambria Math" w:eastAsia="Calibri" w:hAnsi="Cambria Math"/>
                  <w:color w:val="000000" w:themeColor="text1"/>
                  <w:lang w:val="es-CO" w:eastAsia="en-US"/>
                </w:rPr>
                <m:t>-</m:t>
              </m:r>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e>
          </m:d>
          <m:r>
            <w:rPr>
              <w:rFonts w:ascii="Cambria Math" w:eastAsia="Calibri" w:hAnsi="Cambria Math"/>
              <w:color w:val="000000" w:themeColor="text1"/>
              <w:lang w:val="es-CO" w:eastAsia="en-US"/>
            </w:rPr>
            <m:t>×</m:t>
          </m:r>
          <m:d>
            <m:dPr>
              <m:begChr m:val="["/>
              <m:endChr m:val="]"/>
              <m:ctrlPr>
                <w:rPr>
                  <w:rFonts w:ascii="Cambria Math" w:eastAsia="Calibri" w:hAnsi="Cambria Math"/>
                  <w:i/>
                  <w:color w:val="000000" w:themeColor="text1"/>
                  <w:lang w:val="es-CO" w:eastAsia="en-US"/>
                </w:rPr>
              </m:ctrlPr>
            </m:dPr>
            <m:e>
              <m:f>
                <m:fPr>
                  <m:ctrlPr>
                    <w:rPr>
                      <w:rFonts w:ascii="Cambria Math" w:eastAsia="Calibri" w:hAnsi="Cambria Math"/>
                      <w:i/>
                      <w:color w:val="000000" w:themeColor="text1"/>
                      <w:lang w:val="es-CO" w:eastAsia="en-US"/>
                    </w:rPr>
                  </m:ctrlPr>
                </m:fPr>
                <m:num>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e,k</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e,k</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num>
                <m:den>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k</m:t>
                      </m:r>
                    </m:sub>
                    <m:sup/>
                    <m:e>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e,k</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e,k</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e>
                  </m:nary>
                </m:den>
              </m:f>
            </m:e>
          </m:d>
        </m:oMath>
      </m:oMathPara>
    </w:p>
    <w:p w14:paraId="4ACBBCEB" w14:textId="77777777" w:rsidR="0006302B" w:rsidRPr="0013707D" w:rsidRDefault="0006302B" w:rsidP="0006302B">
      <w:pPr>
        <w:ind w:left="1560"/>
        <w:contextualSpacing/>
        <w:jc w:val="both"/>
        <w:rPr>
          <w:rFonts w:ascii="Bookman Old Style" w:hAnsi="Bookman Old Style" w:cs="Arial"/>
          <w:color w:val="000000" w:themeColor="text1"/>
          <w:lang w:val="es-CO"/>
        </w:rPr>
      </w:pPr>
    </w:p>
    <w:p w14:paraId="051B60F6" w14:textId="77777777" w:rsidR="0006302B" w:rsidRPr="0013707D" w:rsidRDefault="0006302B" w:rsidP="0006302B">
      <w:pPr>
        <w:autoSpaceDE w:val="0"/>
        <w:autoSpaceDN w:val="0"/>
        <w:adjustRightInd w:val="0"/>
        <w:ind w:left="3119" w:hanging="1418"/>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Donde:</w:t>
      </w:r>
    </w:p>
    <w:p w14:paraId="06636BD4" w14:textId="77777777" w:rsidR="0006302B" w:rsidRPr="0013707D" w:rsidRDefault="0006302B" w:rsidP="0006302B">
      <w:pPr>
        <w:autoSpaceDE w:val="0"/>
        <w:autoSpaceDN w:val="0"/>
        <w:adjustRightInd w:val="0"/>
        <w:ind w:left="3119" w:hanging="1418"/>
        <w:jc w:val="both"/>
        <w:rPr>
          <w:rFonts w:ascii="Bookman Old Style" w:hAnsi="Bookman Old Style" w:cs="Arial"/>
          <w:color w:val="000000" w:themeColor="text1"/>
          <w:lang w:val="es-CO"/>
        </w:rPr>
      </w:pPr>
    </w:p>
    <w:p w14:paraId="2F2C48CF" w14:textId="105AACDD" w:rsidR="0006302B" w:rsidRPr="0013707D" w:rsidRDefault="0006302B" w:rsidP="0006302B">
      <w:pPr>
        <w:ind w:left="3828" w:hanging="2127"/>
        <w:jc w:val="both"/>
        <w:rPr>
          <w:rFonts w:ascii="Bookman Old Style" w:hAnsi="Bookman Old Style"/>
          <w:lang w:val="es-CO"/>
        </w:rPr>
      </w:pPr>
      <m:oMath>
        <m:r>
          <w:rPr>
            <w:rFonts w:ascii="Cambria Math" w:hAnsi="Cambria Math"/>
            <w:lang w:val="es-CO"/>
          </w:rPr>
          <m:t>k</m:t>
        </m:r>
      </m:oMath>
      <w:r w:rsidRPr="0013707D">
        <w:rPr>
          <w:rFonts w:ascii="Bookman Old Style" w:hAnsi="Bookman Old Style"/>
          <w:lang w:val="es-CO"/>
        </w:rPr>
        <w:t>:</w:t>
      </w:r>
      <w:r w:rsidRPr="0013707D">
        <w:rPr>
          <w:rFonts w:ascii="Bookman Old Style" w:hAnsi="Bookman Old Style"/>
          <w:lang w:val="es-CO"/>
        </w:rPr>
        <w:tab/>
        <w:t xml:space="preserve">Comprador </w:t>
      </w:r>
      <m:oMath>
        <m:r>
          <w:rPr>
            <w:rFonts w:ascii="Cambria Math" w:hAnsi="Cambria Math"/>
            <w:lang w:val="es-CO"/>
          </w:rPr>
          <m:t>j</m:t>
        </m:r>
      </m:oMath>
      <w:r w:rsidRPr="0013707D">
        <w:rPr>
          <w:rFonts w:ascii="Bookman Old Style" w:hAnsi="Bookman Old Style"/>
          <w:lang w:val="es-CO"/>
        </w:rPr>
        <w:t xml:space="preserve"> que declaró entre sus preferencias, según la </w:t>
      </w:r>
      <w:r w:rsidRPr="0013707D">
        <w:rPr>
          <w:rFonts w:ascii="Bookman Old Style" w:hAnsi="Bookman Old Style"/>
          <w:lang w:val="es-CO"/>
        </w:rPr>
        <w:fldChar w:fldCharType="begin"/>
      </w:r>
      <w:r w:rsidRPr="0013707D">
        <w:rPr>
          <w:rFonts w:ascii="Bookman Old Style" w:hAnsi="Bookman Old Style"/>
          <w:lang w:val="es-CO"/>
        </w:rPr>
        <w:instrText xml:space="preserve"> REF _Ref336592874 \h  \* MERGEFORMAT </w:instrText>
      </w:r>
      <w:r w:rsidRPr="0013707D">
        <w:rPr>
          <w:rFonts w:ascii="Bookman Old Style" w:hAnsi="Bookman Old Style"/>
          <w:lang w:val="es-CO"/>
        </w:rPr>
      </w:r>
      <w:r w:rsidRPr="0013707D">
        <w:rPr>
          <w:rFonts w:ascii="Bookman Old Style" w:hAnsi="Bookman Old Style"/>
          <w:lang w:val="es-CO"/>
        </w:rPr>
        <w:fldChar w:fldCharType="separate"/>
      </w:r>
      <w:r w:rsidR="00636B6A" w:rsidRPr="00996A90">
        <w:rPr>
          <w:rFonts w:ascii="Bookman Old Style" w:hAnsi="Bookman Old Style"/>
          <w:lang w:val="es-CO"/>
        </w:rPr>
        <w:t>Tabla 4</w:t>
      </w:r>
      <w:r w:rsidRPr="0013707D">
        <w:rPr>
          <w:rFonts w:ascii="Bookman Old Style" w:hAnsi="Bookman Old Style"/>
          <w:lang w:val="es-CO"/>
        </w:rPr>
        <w:fldChar w:fldCharType="end"/>
      </w:r>
      <w:r w:rsidRPr="0013707D">
        <w:rPr>
          <w:rFonts w:ascii="Bookman Old Style" w:hAnsi="Bookman Old Style"/>
          <w:lang w:val="es-CO"/>
        </w:rPr>
        <w:t xml:space="preserve">, una disposición a pagar igual a </w:t>
      </w:r>
      <m:oMath>
        <m:sSup>
          <m:sSupPr>
            <m:ctrlPr>
              <w:rPr>
                <w:rFonts w:ascii="Cambria Math" w:hAnsi="Cambria Math"/>
                <w:i/>
                <w:lang w:val="es-CO"/>
              </w:rPr>
            </m:ctrlPr>
          </m:sSupPr>
          <m:e>
            <m:r>
              <w:rPr>
                <w:rFonts w:ascii="Cambria Math" w:hAnsi="Cambria Math"/>
                <w:lang w:val="es-CO"/>
              </w:rPr>
              <m:t>p</m:t>
            </m:r>
          </m:e>
          <m:sup>
            <m:r>
              <w:rPr>
                <w:rFonts w:ascii="Cambria Math" w:hAnsi="Cambria Math"/>
                <w:lang w:val="es-CO"/>
              </w:rPr>
              <m:t>*</m:t>
            </m:r>
          </m:sup>
        </m:sSup>
      </m:oMath>
      <w:r w:rsidRPr="0013707D">
        <w:rPr>
          <w:rFonts w:ascii="Bookman Old Style" w:hAnsi="Bookman Old Style"/>
          <w:lang w:val="es-CO"/>
        </w:rPr>
        <w:t>.</w:t>
      </w:r>
    </w:p>
    <w:p w14:paraId="50F1E7CB" w14:textId="77777777" w:rsidR="0006302B" w:rsidRPr="0013707D" w:rsidRDefault="0006302B" w:rsidP="0006302B">
      <w:pPr>
        <w:autoSpaceDE w:val="0"/>
        <w:autoSpaceDN w:val="0"/>
        <w:adjustRightInd w:val="0"/>
        <w:ind w:left="3828" w:hanging="2127"/>
        <w:jc w:val="both"/>
        <w:rPr>
          <w:rFonts w:ascii="Bookman Old Style" w:hAnsi="Bookman Old Style" w:cs="Arial"/>
          <w:color w:val="000000" w:themeColor="text1"/>
          <w:lang w:val="es-CO"/>
        </w:rPr>
      </w:pPr>
    </w:p>
    <w:p w14:paraId="6B56323B" w14:textId="77777777" w:rsidR="0006302B" w:rsidRPr="0013707D" w:rsidRDefault="00FB7B28" w:rsidP="0006302B">
      <w:pPr>
        <w:ind w:left="3828" w:hanging="2127"/>
        <w:jc w:val="both"/>
        <w:rPr>
          <w:rFonts w:ascii="Bookman Old Style" w:hAnsi="Bookman Old Style" w:cs="Arial"/>
          <w:color w:val="000000" w:themeColor="text1"/>
          <w:lang w:val="es-CO"/>
        </w:rPr>
      </w:pPr>
      <m:oMath>
        <m:sSub>
          <m:sSubPr>
            <m:ctrlPr>
              <w:rPr>
                <w:rFonts w:ascii="Cambria Math" w:hAnsi="Cambria Math" w:cs="Arial"/>
                <w:i/>
                <w:color w:val="000000" w:themeColor="text1"/>
                <w:lang w:val="es-CO"/>
              </w:rPr>
            </m:ctrlPr>
          </m:sSubPr>
          <m:e>
            <m:sSub>
              <m:sSubPr>
                <m:ctrlPr>
                  <w:rPr>
                    <w:rFonts w:ascii="Cambria Math" w:hAnsi="Cambria Math" w:cs="Arial"/>
                    <w:i/>
                    <w:color w:val="000000" w:themeColor="text1"/>
                    <w:lang w:val="es-CO"/>
                  </w:rPr>
                </m:ctrlPr>
              </m:sSubPr>
              <m:e>
                <m:acc>
                  <m:accPr>
                    <m:ctrlPr>
                      <w:rPr>
                        <w:rFonts w:ascii="Cambria Math" w:hAnsi="Cambria Math" w:cs="Arial"/>
                        <w:i/>
                        <w:color w:val="000000" w:themeColor="text1"/>
                        <w:lang w:val="es-CO"/>
                      </w:rPr>
                    </m:ctrlPr>
                  </m:accPr>
                  <m:e>
                    <m:r>
                      <w:rPr>
                        <w:rFonts w:ascii="Cambria Math" w:hAnsi="Cambria Math" w:cs="Arial"/>
                        <w:color w:val="000000" w:themeColor="text1"/>
                        <w:lang w:val="es-CO"/>
                      </w:rPr>
                      <m:t>D</m:t>
                    </m:r>
                  </m:e>
                </m:acc>
              </m:e>
              <m:sub>
                <m:r>
                  <w:rPr>
                    <w:rFonts w:ascii="Cambria Math" w:hAnsi="Cambria Math" w:cs="Arial"/>
                    <w:color w:val="000000" w:themeColor="text1"/>
                    <w:lang w:val="es-CO"/>
                  </w:rPr>
                  <m:t>E</m:t>
                </m:r>
              </m:sub>
            </m:sSub>
          </m:e>
          <m:sub>
            <m:r>
              <w:rPr>
                <w:rFonts w:ascii="Cambria Math" w:hAnsi="Cambria Math" w:cs="Arial"/>
                <w:color w:val="000000" w:themeColor="text1"/>
                <w:lang w:val="es-CO"/>
              </w:rPr>
              <m:t>e,k</m:t>
            </m:r>
          </m:sub>
        </m:sSub>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de energía del producto </w:t>
      </w: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oMath>
      <w:r w:rsidR="0006302B" w:rsidRPr="0013707D">
        <w:rPr>
          <w:rFonts w:ascii="Bookman Old Style" w:hAnsi="Bookman Old Style" w:cs="Arial"/>
          <w:color w:val="000000" w:themeColor="text1"/>
          <w:lang w:val="es-CO"/>
        </w:rPr>
        <w:t xml:space="preserve"> que se adjudica al comprador </w:t>
      </w:r>
      <m:oMath>
        <m:r>
          <w:rPr>
            <w:rFonts w:ascii="Cambria Math" w:hAnsi="Cambria Math" w:cs="Arial"/>
            <w:color w:val="000000" w:themeColor="text1"/>
            <w:lang w:val="es-CO"/>
          </w:rPr>
          <m:t>k</m:t>
        </m:r>
      </m:oMath>
      <w:r w:rsidR="0006302B" w:rsidRPr="0013707D">
        <w:rPr>
          <w:rFonts w:ascii="Bookman Old Style" w:hAnsi="Bookman Old Style" w:cs="Arial"/>
          <w:color w:val="000000" w:themeColor="text1"/>
          <w:lang w:val="es-CO"/>
        </w:rPr>
        <w:t>. Este valor se expresará en MBTUD.</w:t>
      </w:r>
    </w:p>
    <w:p w14:paraId="64D1F951" w14:textId="77777777" w:rsidR="0006302B" w:rsidRPr="0013707D" w:rsidRDefault="0006302B" w:rsidP="0006302B">
      <w:pPr>
        <w:autoSpaceDE w:val="0"/>
        <w:autoSpaceDN w:val="0"/>
        <w:adjustRightInd w:val="0"/>
        <w:ind w:left="3828" w:hanging="2127"/>
        <w:jc w:val="both"/>
        <w:rPr>
          <w:rFonts w:ascii="Bookman Old Style" w:hAnsi="Bookman Old Style" w:cs="Arial"/>
          <w:color w:val="000000" w:themeColor="text1"/>
          <w:lang w:val="es-CO"/>
        </w:rPr>
      </w:pPr>
    </w:p>
    <w:p w14:paraId="66568A3D" w14:textId="77777777" w:rsidR="0006302B" w:rsidRPr="0013707D" w:rsidRDefault="00FB7B28" w:rsidP="0006302B">
      <w:pPr>
        <w:ind w:left="3828" w:hanging="2127"/>
        <w:jc w:val="both"/>
        <w:rPr>
          <w:rFonts w:ascii="Bookman Old Style" w:hAnsi="Bookman Old Style" w:cs="Arial"/>
          <w:color w:val="000000" w:themeColor="text1"/>
          <w:lang w:val="es-CO"/>
        </w:rPr>
      </w:pP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e,k</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pi</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e,k</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oMath>
      <w:r w:rsidR="0006302B" w:rsidRPr="0013707D">
        <w:rPr>
          <w:rFonts w:ascii="Bookman Old Style" w:hAnsi="Bookman Old Style" w:cs="Arial"/>
          <w:color w:val="000000" w:themeColor="text1"/>
          <w:lang w:val="es-CO" w:eastAsia="en-US"/>
        </w:rPr>
        <w:t>:</w:t>
      </w:r>
      <w:r w:rsidR="0006302B" w:rsidRPr="0013707D">
        <w:rPr>
          <w:rFonts w:ascii="Bookman Old Style" w:hAnsi="Bookman Old Style" w:cs="Arial"/>
          <w:color w:val="000000" w:themeColor="text1"/>
          <w:lang w:val="es-CO" w:eastAsia="en-US"/>
        </w:rPr>
        <w:tab/>
        <w:t xml:space="preserve">Cantidad de </w:t>
      </w:r>
      <w:r w:rsidR="0006302B" w:rsidRPr="0013707D">
        <w:rPr>
          <w:rFonts w:ascii="Bookman Old Style" w:hAnsi="Bookman Old Style" w:cs="Arial"/>
          <w:color w:val="000000" w:themeColor="text1"/>
          <w:lang w:val="es-CO"/>
        </w:rPr>
        <w:t xml:space="preserve">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que </w:t>
      </w:r>
      <w:r w:rsidR="0006302B" w:rsidRPr="0013707D">
        <w:rPr>
          <w:rFonts w:ascii="Bookman Old Style" w:hAnsi="Bookman Old Style" w:cs="Arial"/>
          <w:color w:val="000000" w:themeColor="text1"/>
          <w:lang w:val="es-CO"/>
        </w:rPr>
        <w:t xml:space="preserve">el comprador </w:t>
      </w:r>
      <m:oMath>
        <m:r>
          <w:rPr>
            <w:rFonts w:ascii="Cambria Math" w:hAnsi="Cambria Math" w:cs="Arial"/>
            <w:color w:val="000000" w:themeColor="text1"/>
            <w:lang w:val="es-CO"/>
          </w:rPr>
          <m:t>k</m:t>
        </m:r>
      </m:oMath>
      <w:r w:rsidR="0006302B" w:rsidRPr="0013707D">
        <w:rPr>
          <w:rFonts w:ascii="Bookman Old Style" w:hAnsi="Bookman Old Style" w:cs="Arial"/>
          <w:color w:val="000000" w:themeColor="text1"/>
          <w:lang w:val="es-CO"/>
        </w:rPr>
        <w:t xml:space="preserve"> declaró estar dispuesto a comprar al precio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0006302B" w:rsidRPr="0013707D">
        <w:rPr>
          <w:rFonts w:ascii="Bookman Old Style" w:hAnsi="Bookman Old Style" w:cs="Arial"/>
          <w:color w:val="000000" w:themeColor="text1"/>
          <w:lang w:val="es-CO"/>
        </w:rPr>
        <w:t>. Este valor se expresará en MBTUD.</w:t>
      </w:r>
    </w:p>
    <w:p w14:paraId="210242FE" w14:textId="77777777" w:rsidR="0006302B" w:rsidRPr="0013707D" w:rsidRDefault="0006302B" w:rsidP="0006302B">
      <w:pPr>
        <w:rPr>
          <w:rFonts w:ascii="Bookman Old Style" w:hAnsi="Bookman Old Style"/>
          <w:lang w:val="es-CO"/>
        </w:rPr>
      </w:pPr>
    </w:p>
    <w:p w14:paraId="6ED0D546" w14:textId="01A65316" w:rsidR="0006302B" w:rsidRPr="0013707D" w:rsidRDefault="00FB7B28" w:rsidP="0006302B">
      <w:pPr>
        <w:ind w:left="3828" w:hanging="2127"/>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D</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e,j</m:t>
                </m:r>
              </m:sub>
            </m:sSub>
          </m:sub>
        </m:sSub>
        <m:r>
          <w:rPr>
            <w:rFonts w:ascii="Cambria Math" w:eastAsia="Calibri" w:hAnsi="Cambria Math"/>
            <w:color w:val="000000" w:themeColor="text1"/>
            <w:lang w:val="es-CO" w:eastAsia="en-US"/>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r>
          <w:rPr>
            <w:rFonts w:ascii="Cambria Math" w:eastAsia="Calibri" w:hAnsi="Cambria Math"/>
            <w:color w:val="000000" w:themeColor="text1"/>
            <w:lang w:val="es-CO" w:eastAsia="en-US"/>
          </w:rPr>
          <m:t>)</m:t>
        </m:r>
      </m:oMath>
      <w:r w:rsidR="0006302B" w:rsidRPr="0013707D">
        <w:rPr>
          <w:rFonts w:ascii="Bookman Old Style" w:hAnsi="Bookman Old Style" w:cs="Arial"/>
          <w:color w:val="000000" w:themeColor="text1"/>
          <w:lang w:val="es-CO" w:eastAsia="en-US"/>
        </w:rPr>
        <w:t>:</w:t>
      </w:r>
      <w:r w:rsidR="0006302B" w:rsidRPr="0013707D">
        <w:rPr>
          <w:rFonts w:ascii="Bookman Old Style" w:hAnsi="Bookman Old Style" w:cs="Arial"/>
          <w:color w:val="000000" w:themeColor="text1"/>
          <w:lang w:val="es-CO" w:eastAsia="en-US"/>
        </w:rPr>
        <w:tab/>
      </w:r>
      <w:r w:rsidR="0006302B" w:rsidRPr="0013707D">
        <w:rPr>
          <w:rFonts w:ascii="Bookman Old Style" w:hAnsi="Bookman Old Style" w:cs="Arial"/>
          <w:color w:val="000000" w:themeColor="text1"/>
          <w:lang w:val="es-CO"/>
        </w:rPr>
        <w:t xml:space="preserve">Cantidad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que </w:t>
      </w:r>
      <w:r w:rsidR="0006302B" w:rsidRPr="0013707D">
        <w:rPr>
          <w:rFonts w:ascii="Bookman Old Style" w:hAnsi="Bookman Old Style" w:cs="Arial"/>
          <w:color w:val="000000" w:themeColor="text1"/>
          <w:lang w:val="es-CO"/>
        </w:rPr>
        <w:t xml:space="preserve">el comprador </w:t>
      </w:r>
      <m:oMath>
        <m:r>
          <w:rPr>
            <w:rFonts w:ascii="Cambria Math" w:hAnsi="Cambria Math" w:cs="Arial"/>
            <w:color w:val="000000" w:themeColor="text1"/>
            <w:lang w:val="es-CO"/>
          </w:rPr>
          <m:t>j</m:t>
        </m:r>
      </m:oMath>
      <w:r w:rsidR="0006302B" w:rsidRPr="0013707D">
        <w:rPr>
          <w:rFonts w:ascii="Bookman Old Style" w:hAnsi="Bookman Old Style" w:cs="Arial"/>
          <w:color w:val="000000" w:themeColor="text1"/>
          <w:lang w:val="es-CO"/>
        </w:rPr>
        <w:t xml:space="preserve"> está dispuesto a comprar al precio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0006302B" w:rsidRPr="0013707D">
        <w:rPr>
          <w:rFonts w:ascii="Bookman Old Style" w:hAnsi="Bookman Old Style" w:cs="Arial"/>
          <w:color w:val="000000" w:themeColor="text1"/>
          <w:lang w:val="es-CO"/>
        </w:rPr>
        <w:t xml:space="preserve">. Esta cantidad de energía se determinará con base en la curva de demanda del comprador </w:t>
      </w:r>
      <m:oMath>
        <m:r>
          <w:rPr>
            <w:rFonts w:ascii="Cambria Math" w:hAnsi="Cambria Math" w:cs="Arial"/>
            <w:color w:val="000000" w:themeColor="text1"/>
            <w:lang w:val="es-CO"/>
          </w:rPr>
          <m:t>j</m:t>
        </m:r>
      </m:oMath>
      <w:r w:rsidR="0006302B" w:rsidRPr="0013707D">
        <w:rPr>
          <w:rFonts w:ascii="Bookman Old Style" w:hAnsi="Bookman Old Style" w:cs="Arial"/>
          <w:color w:val="000000" w:themeColor="text1"/>
          <w:lang w:val="es-CO"/>
        </w:rPr>
        <w:t xml:space="preserve"> que se forma a partir de sus cinco (5) preferencias declaradas según la </w:t>
      </w:r>
      <w:r w:rsidR="0006302B" w:rsidRPr="0013707D">
        <w:rPr>
          <w:rFonts w:ascii="Bookman Old Style" w:hAnsi="Bookman Old Style" w:cs="Arial"/>
          <w:color w:val="000000" w:themeColor="text1"/>
          <w:lang w:val="es-CO"/>
        </w:rPr>
        <w:fldChar w:fldCharType="begin"/>
      </w:r>
      <w:r w:rsidR="0006302B" w:rsidRPr="0013707D">
        <w:rPr>
          <w:rFonts w:ascii="Bookman Old Style" w:hAnsi="Bookman Old Style" w:cs="Arial"/>
          <w:color w:val="000000" w:themeColor="text1"/>
          <w:lang w:val="es-CO"/>
        </w:rPr>
        <w:instrText xml:space="preserve"> REF _Ref336592874 \h  \* MERGEFORMAT </w:instrText>
      </w:r>
      <w:r w:rsidR="0006302B" w:rsidRPr="0013707D">
        <w:rPr>
          <w:rFonts w:ascii="Bookman Old Style" w:hAnsi="Bookman Old Style" w:cs="Arial"/>
          <w:color w:val="000000" w:themeColor="text1"/>
          <w:lang w:val="es-CO"/>
        </w:rPr>
      </w:r>
      <w:r w:rsidR="0006302B" w:rsidRPr="0013707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Tabla 4</w:t>
      </w:r>
      <w:r w:rsidR="0006302B" w:rsidRPr="0013707D">
        <w:rPr>
          <w:rFonts w:ascii="Bookman Old Style" w:hAnsi="Bookman Old Style" w:cs="Arial"/>
          <w:color w:val="000000" w:themeColor="text1"/>
          <w:lang w:val="es-CO"/>
        </w:rPr>
        <w:fldChar w:fldCharType="end"/>
      </w:r>
      <w:r w:rsidR="0006302B" w:rsidRPr="0013707D">
        <w:rPr>
          <w:rFonts w:ascii="Bookman Old Style" w:hAnsi="Bookman Old Style" w:cs="Arial"/>
          <w:color w:val="000000" w:themeColor="text1"/>
          <w:lang w:val="es-CO"/>
        </w:rPr>
        <w:t>. Este valor se expresará en MBTUD.</w:t>
      </w:r>
    </w:p>
    <w:p w14:paraId="5C92D7D0" w14:textId="77777777" w:rsidR="0006302B" w:rsidRPr="0013707D" w:rsidRDefault="0006302B" w:rsidP="0006302B">
      <w:pPr>
        <w:rPr>
          <w:rFonts w:ascii="Bookman Old Style" w:hAnsi="Bookman Old Style"/>
          <w:lang w:val="es-CO"/>
        </w:rPr>
      </w:pPr>
    </w:p>
    <w:p w14:paraId="086E2A4C" w14:textId="77777777" w:rsidR="0006302B" w:rsidRPr="0013707D" w:rsidRDefault="00FB7B28" w:rsidP="0006302B">
      <w:pPr>
        <w:ind w:left="3828" w:hanging="2127"/>
        <w:jc w:val="both"/>
        <w:rPr>
          <w:rFonts w:ascii="Bookman Old Style" w:hAnsi="Bookman Old Style" w:cs="Arial"/>
          <w:color w:val="000000" w:themeColor="text1"/>
          <w:lang w:val="es-CO"/>
        </w:rPr>
      </w:pP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total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adjudicada en la subasta. Este valor se expresará en MBTUD.</w:t>
      </w:r>
    </w:p>
    <w:p w14:paraId="05595006" w14:textId="77777777" w:rsidR="0006302B" w:rsidRPr="0013707D" w:rsidRDefault="0006302B" w:rsidP="0006302B">
      <w:pPr>
        <w:ind w:left="1701"/>
        <w:contextualSpacing/>
        <w:jc w:val="both"/>
        <w:rPr>
          <w:rFonts w:ascii="Bookman Old Style" w:hAnsi="Bookman Old Style" w:cs="Arial"/>
          <w:color w:val="000000" w:themeColor="text1"/>
          <w:lang w:val="es-CO" w:eastAsia="x-none"/>
        </w:rPr>
      </w:pPr>
    </w:p>
    <w:p w14:paraId="4E5FA250" w14:textId="77777777" w:rsidR="0006302B" w:rsidRPr="0013707D" w:rsidRDefault="0006302B" w:rsidP="0006302B">
      <w:pPr>
        <w:ind w:left="1701"/>
        <w:contextualSpacing/>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eastAsia="x-none"/>
        </w:rPr>
        <w:lastRenderedPageBreak/>
        <w:t xml:space="preserve">A cada </w:t>
      </w:r>
      <w:r w:rsidRPr="0013707D">
        <w:rPr>
          <w:rFonts w:ascii="Bookman Old Style" w:hAnsi="Bookman Old Style" w:cs="Arial"/>
          <w:color w:val="000000" w:themeColor="text1"/>
          <w:lang w:val="es-CO"/>
        </w:rPr>
        <w:t>vendedor cuyo precio de reserva</w:t>
      </w:r>
      <w:r w:rsidRPr="0013707D">
        <w:rPr>
          <w:rFonts w:ascii="Bookman Old Style" w:hAnsi="Bookman Old Style" w:cs="Arial"/>
          <w:bCs/>
          <w:color w:val="000000" w:themeColor="text1"/>
          <w:lang w:val="es-CO" w:eastAsia="x-none"/>
        </w:rPr>
        <w:t xml:space="preserve"> </w:t>
      </w:r>
      <w:r w:rsidRPr="0013707D">
        <w:rPr>
          <w:rFonts w:ascii="Bookman Old Style" w:hAnsi="Bookman Old Style" w:cs="Arial"/>
          <w:color w:val="000000" w:themeColor="text1"/>
          <w:lang w:val="es-CO"/>
        </w:rPr>
        <w:t xml:space="preserve">es menor al precio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 xml:space="preserve"> se le asignará la totalidad de la cantidad de energía ofrecida en la subasta,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O</m:t>
                </m:r>
              </m:e>
              <m:sub>
                <m:r>
                  <w:rPr>
                    <w:rFonts w:ascii="Cambria Math" w:hAnsi="Cambria Math"/>
                    <w:color w:val="000000" w:themeColor="text1"/>
                    <w:lang w:val="es-CO" w:eastAsia="x-none"/>
                  </w:rPr>
                  <m:t>E</m:t>
                </m:r>
              </m:sub>
            </m:sSub>
          </m:e>
          <m:sub>
            <m:sSub>
              <m:sSubPr>
                <m:ctrlPr>
                  <w:rPr>
                    <w:rFonts w:ascii="Cambria Math" w:hAnsi="Cambria Math"/>
                    <w:bCs/>
                    <w:i/>
                    <w:color w:val="000000" w:themeColor="text1"/>
                    <w:lang w:val="es-CO" w:eastAsia="x-none"/>
                  </w:rPr>
                </m:ctrlPr>
              </m:sSubPr>
              <m:e>
                <m:r>
                  <w:rPr>
                    <w:rFonts w:ascii="Cambria Math" w:hAnsi="Cambria Math"/>
                    <w:color w:val="000000" w:themeColor="text1"/>
                    <w:lang w:val="es-CO" w:eastAsia="x-none"/>
                  </w:rPr>
                  <m:t>e,s</m:t>
                </m:r>
              </m:e>
              <m:sub>
                <m:r>
                  <w:rPr>
                    <w:rFonts w:ascii="Cambria Math" w:hAnsi="Cambria Math"/>
                    <w:color w:val="000000" w:themeColor="text1"/>
                    <w:lang w:val="es-CO" w:eastAsia="x-none"/>
                  </w:rPr>
                  <m:t xml:space="preserve"> </m:t>
                </m:r>
              </m:sub>
            </m:sSub>
          </m:sub>
        </m:sSub>
      </m:oMath>
      <w:r w:rsidRPr="0013707D">
        <w:rPr>
          <w:rFonts w:ascii="Bookman Old Style" w:hAnsi="Bookman Old Style" w:cs="Arial"/>
          <w:color w:val="000000" w:themeColor="text1"/>
          <w:lang w:val="es-CO"/>
        </w:rPr>
        <w:t>.</w:t>
      </w:r>
    </w:p>
    <w:p w14:paraId="45E2B061" w14:textId="77777777" w:rsidR="0006302B" w:rsidRPr="0013707D" w:rsidRDefault="0006302B" w:rsidP="0006302B">
      <w:pPr>
        <w:ind w:left="3402" w:hanging="1701"/>
        <w:contextualSpacing/>
        <w:jc w:val="both"/>
        <w:rPr>
          <w:rFonts w:ascii="Bookman Old Style" w:hAnsi="Bookman Old Style" w:cs="Arial"/>
          <w:color w:val="000000" w:themeColor="text1"/>
          <w:lang w:val="es-CO"/>
        </w:rPr>
      </w:pPr>
    </w:p>
    <w:p w14:paraId="2495407F" w14:textId="51D4F037" w:rsidR="0006302B" w:rsidRPr="00A323F1" w:rsidRDefault="0006302B" w:rsidP="0006302B">
      <w:pPr>
        <w:ind w:left="1701"/>
        <w:contextualSpacing/>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eastAsia="x-none"/>
        </w:rPr>
        <w:t xml:space="preserve">A cada </w:t>
      </w:r>
      <w:r w:rsidRPr="0013707D">
        <w:rPr>
          <w:rFonts w:ascii="Bookman Old Style" w:hAnsi="Bookman Old Style" w:cs="Arial"/>
          <w:color w:val="000000" w:themeColor="text1"/>
          <w:lang w:val="es-CO"/>
        </w:rPr>
        <w:t>vendedor cuyo precio de reserv</w:t>
      </w:r>
      <w:r w:rsidRPr="00A323F1">
        <w:rPr>
          <w:rFonts w:ascii="Bookman Old Style" w:hAnsi="Bookman Old Style" w:cs="Arial"/>
          <w:color w:val="000000" w:themeColor="text1"/>
          <w:lang w:val="es-CO"/>
        </w:rPr>
        <w:t>a</w:t>
      </w:r>
      <w:r w:rsidRPr="00A323F1">
        <w:rPr>
          <w:rFonts w:ascii="Bookman Old Style" w:hAnsi="Bookman Old Style" w:cs="Arial"/>
          <w:bCs/>
          <w:color w:val="000000" w:themeColor="text1"/>
          <w:lang w:val="es-CO" w:eastAsia="x-none"/>
        </w:rPr>
        <w:t xml:space="preserve"> </w:t>
      </w:r>
      <w:r w:rsidRPr="00A323F1">
        <w:rPr>
          <w:rFonts w:ascii="Bookman Old Style" w:hAnsi="Bookman Old Style" w:cs="Arial"/>
          <w:color w:val="000000" w:themeColor="text1"/>
          <w:lang w:val="es-CO"/>
        </w:rPr>
        <w:t xml:space="preserve">es igual al precio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A323F1">
        <w:rPr>
          <w:rFonts w:ascii="Bookman Old Style" w:hAnsi="Bookman Old Style" w:cs="Arial"/>
          <w:color w:val="000000" w:themeColor="text1"/>
          <w:lang w:val="es-CO"/>
        </w:rPr>
        <w:t xml:space="preserve"> se le asignará la cantidad de energía resultante de aplicar la </w:t>
      </w:r>
      <w:r w:rsidRPr="00A323F1">
        <w:rPr>
          <w:rFonts w:ascii="Bookman Old Style" w:hAnsi="Bookman Old Style" w:cs="Arial"/>
          <w:color w:val="000000" w:themeColor="text1"/>
          <w:lang w:val="es-CO"/>
        </w:rPr>
        <w:fldChar w:fldCharType="begin"/>
      </w:r>
      <w:r w:rsidRPr="00A323F1">
        <w:rPr>
          <w:rFonts w:ascii="Bookman Old Style" w:hAnsi="Bookman Old Style" w:cs="Arial"/>
          <w:color w:val="000000" w:themeColor="text1"/>
          <w:lang w:val="es-CO"/>
        </w:rPr>
        <w:instrText xml:space="preserve"> REF _Ref362269486 \h  \* MERGEFORMAT </w:instrText>
      </w:r>
      <w:r w:rsidRPr="00A323F1">
        <w:rPr>
          <w:rFonts w:ascii="Bookman Old Style" w:hAnsi="Bookman Old Style" w:cs="Arial"/>
          <w:color w:val="000000" w:themeColor="text1"/>
          <w:lang w:val="es-CO"/>
        </w:rPr>
      </w:r>
      <w:r w:rsidRPr="00A323F1">
        <w:rPr>
          <w:rFonts w:ascii="Bookman Old Style" w:hAnsi="Bookman Old Style" w:cs="Arial"/>
          <w:color w:val="000000" w:themeColor="text1"/>
          <w:lang w:val="es-CO"/>
        </w:rPr>
        <w:fldChar w:fldCharType="separate"/>
      </w:r>
      <w:r w:rsidR="00636B6A" w:rsidRPr="00A323F1">
        <w:rPr>
          <w:rFonts w:ascii="Bookman Old Style" w:hAnsi="Bookman Old Style"/>
          <w:color w:val="000000" w:themeColor="text1"/>
          <w:lang w:val="es-CO"/>
        </w:rPr>
        <w:t xml:space="preserve">Ecuación </w:t>
      </w:r>
      <w:r w:rsidR="00636B6A">
        <w:rPr>
          <w:rFonts w:ascii="Bookman Old Style" w:hAnsi="Bookman Old Style"/>
          <w:noProof/>
          <w:color w:val="000000" w:themeColor="text1"/>
          <w:lang w:val="es-CO"/>
        </w:rPr>
        <w:t>2</w:t>
      </w:r>
      <w:r w:rsidRPr="00A323F1">
        <w:rPr>
          <w:rFonts w:ascii="Bookman Old Style" w:hAnsi="Bookman Old Style" w:cs="Arial"/>
          <w:color w:val="000000" w:themeColor="text1"/>
          <w:lang w:val="es-CO"/>
        </w:rPr>
        <w:fldChar w:fldCharType="end"/>
      </w:r>
      <w:r w:rsidRPr="00A323F1">
        <w:rPr>
          <w:rFonts w:ascii="Bookman Old Style" w:hAnsi="Bookman Old Style" w:cs="Arial"/>
          <w:color w:val="000000" w:themeColor="text1"/>
          <w:lang w:val="es-CO"/>
        </w:rPr>
        <w:t>:</w:t>
      </w:r>
    </w:p>
    <w:p w14:paraId="0CD81804" w14:textId="77777777" w:rsidR="0006302B" w:rsidRPr="00A323F1" w:rsidRDefault="0006302B" w:rsidP="0006302B">
      <w:pPr>
        <w:tabs>
          <w:tab w:val="left" w:pos="5387"/>
        </w:tabs>
        <w:ind w:left="1701"/>
        <w:contextualSpacing/>
        <w:jc w:val="both"/>
        <w:rPr>
          <w:rFonts w:ascii="Bookman Old Style" w:hAnsi="Bookman Old Style" w:cs="Arial"/>
          <w:color w:val="000000" w:themeColor="text1"/>
          <w:lang w:val="es-CO"/>
        </w:rPr>
      </w:pPr>
    </w:p>
    <w:p w14:paraId="591DF6B1" w14:textId="24D79726" w:rsidR="0006302B" w:rsidRPr="0013707D" w:rsidRDefault="0006302B" w:rsidP="0006302B">
      <w:pPr>
        <w:pStyle w:val="Descripcin"/>
        <w:keepNext/>
        <w:spacing w:after="0"/>
        <w:ind w:left="1701"/>
        <w:rPr>
          <w:rFonts w:ascii="Bookman Old Style" w:hAnsi="Bookman Old Style" w:cs="Arial"/>
          <w:color w:val="000000" w:themeColor="text1"/>
          <w:sz w:val="24"/>
          <w:szCs w:val="24"/>
          <w:lang w:val="es-CO"/>
        </w:rPr>
      </w:pPr>
      <w:bookmarkStart w:id="168" w:name="_Ref362269486"/>
      <w:r w:rsidRPr="00A323F1">
        <w:rPr>
          <w:rFonts w:ascii="Bookman Old Style" w:hAnsi="Bookman Old Style"/>
          <w:color w:val="000000" w:themeColor="text1"/>
          <w:sz w:val="24"/>
          <w:szCs w:val="24"/>
          <w:lang w:val="es-CO"/>
        </w:rPr>
        <w:t xml:space="preserve">Ecuación </w:t>
      </w:r>
      <w:r w:rsidRPr="00A323F1">
        <w:rPr>
          <w:rFonts w:ascii="Bookman Old Style" w:hAnsi="Bookman Old Style"/>
          <w:color w:val="000000" w:themeColor="text1"/>
          <w:sz w:val="24"/>
          <w:szCs w:val="24"/>
          <w:lang w:val="es-CO"/>
        </w:rPr>
        <w:fldChar w:fldCharType="begin"/>
      </w:r>
      <w:r w:rsidRPr="00A323F1">
        <w:rPr>
          <w:rFonts w:ascii="Bookman Old Style" w:hAnsi="Bookman Old Style"/>
          <w:color w:val="000000" w:themeColor="text1"/>
          <w:sz w:val="24"/>
          <w:szCs w:val="24"/>
          <w:lang w:val="es-CO"/>
        </w:rPr>
        <w:instrText xml:space="preserve"> SEQ Ecuación \* ARABIC </w:instrText>
      </w:r>
      <w:r w:rsidRPr="00A323F1">
        <w:rPr>
          <w:rFonts w:ascii="Bookman Old Style" w:hAnsi="Bookman Old Style"/>
          <w:color w:val="000000" w:themeColor="text1"/>
          <w:sz w:val="24"/>
          <w:szCs w:val="24"/>
          <w:lang w:val="es-CO"/>
        </w:rPr>
        <w:fldChar w:fldCharType="separate"/>
      </w:r>
      <w:r w:rsidR="00636B6A">
        <w:rPr>
          <w:rFonts w:ascii="Bookman Old Style" w:hAnsi="Bookman Old Style"/>
          <w:noProof/>
          <w:color w:val="000000" w:themeColor="text1"/>
          <w:sz w:val="24"/>
          <w:szCs w:val="24"/>
          <w:lang w:val="es-CO"/>
        </w:rPr>
        <w:t>2</w:t>
      </w:r>
      <w:r w:rsidRPr="00A323F1">
        <w:rPr>
          <w:rFonts w:ascii="Bookman Old Style" w:hAnsi="Bookman Old Style"/>
          <w:color w:val="000000" w:themeColor="text1"/>
          <w:sz w:val="24"/>
          <w:szCs w:val="24"/>
          <w:lang w:val="es-CO"/>
        </w:rPr>
        <w:fldChar w:fldCharType="end"/>
      </w:r>
      <w:bookmarkEnd w:id="168"/>
    </w:p>
    <w:p w14:paraId="6D8DC8B4" w14:textId="77777777" w:rsidR="0006302B" w:rsidRPr="0013707D" w:rsidRDefault="0006302B" w:rsidP="0006302B">
      <w:pPr>
        <w:keepNext/>
        <w:ind w:left="1701"/>
        <w:contextualSpacing/>
        <w:jc w:val="both"/>
        <w:rPr>
          <w:rFonts w:ascii="Bookman Old Style" w:hAnsi="Bookman Old Style" w:cs="Arial"/>
          <w:color w:val="000000" w:themeColor="text1"/>
          <w:lang w:val="es-CO"/>
        </w:rPr>
      </w:pPr>
    </w:p>
    <w:p w14:paraId="73598A83" w14:textId="77777777" w:rsidR="0006302B" w:rsidRPr="0013707D" w:rsidRDefault="00FB7B28" w:rsidP="0006302B">
      <w:pPr>
        <w:ind w:left="1276"/>
        <w:contextualSpacing/>
        <w:jc w:val="both"/>
        <w:rPr>
          <w:rFonts w:ascii="Bookman Old Style" w:hAnsi="Bookman Old Style" w:cs="Arial"/>
          <w:color w:val="000000" w:themeColor="text1"/>
          <w:lang w:val="es-CO"/>
        </w:rPr>
      </w:pPr>
      <m:oMathPara>
        <m:oMathParaPr>
          <m:jc m:val="center"/>
        </m:oMathParaPr>
        <m:oMath>
          <m:sSub>
            <m:sSubPr>
              <m:ctrlPr>
                <w:rPr>
                  <w:rFonts w:ascii="Cambria Math" w:hAnsi="Cambria Math" w:cs="Arial"/>
                  <w:i/>
                  <w:color w:val="000000" w:themeColor="text1"/>
                  <w:lang w:val="es-CO"/>
                </w:rPr>
              </m:ctrlPr>
            </m:sSubPr>
            <m:e>
              <m:sSub>
                <m:sSubPr>
                  <m:ctrlPr>
                    <w:rPr>
                      <w:rFonts w:ascii="Cambria Math" w:hAnsi="Cambria Math" w:cs="Arial"/>
                      <w:i/>
                      <w:color w:val="000000" w:themeColor="text1"/>
                      <w:lang w:val="es-CO"/>
                    </w:rPr>
                  </m:ctrlPr>
                </m:sSubPr>
                <m:e>
                  <m:acc>
                    <m:accPr>
                      <m:ctrlPr>
                        <w:rPr>
                          <w:rFonts w:ascii="Cambria Math" w:hAnsi="Cambria Math" w:cs="Arial"/>
                          <w:i/>
                          <w:color w:val="000000" w:themeColor="text1"/>
                          <w:lang w:val="es-CO"/>
                        </w:rPr>
                      </m:ctrlPr>
                    </m:accPr>
                    <m:e>
                      <m:r>
                        <w:rPr>
                          <w:rFonts w:ascii="Cambria Math" w:hAnsi="Cambria Math" w:cs="Arial"/>
                          <w:color w:val="000000" w:themeColor="text1"/>
                          <w:lang w:val="es-CO"/>
                        </w:rPr>
                        <m:t>O</m:t>
                      </m:r>
                    </m:e>
                  </m:acc>
                </m:e>
                <m:sub>
                  <m:r>
                    <w:rPr>
                      <w:rFonts w:ascii="Cambria Math" w:hAnsi="Cambria Math" w:cs="Arial"/>
                      <w:color w:val="000000" w:themeColor="text1"/>
                      <w:lang w:val="es-CO"/>
                    </w:rPr>
                    <m:t>E</m:t>
                  </m:r>
                </m:sub>
              </m:sSub>
            </m:e>
            <m:sub>
              <m:r>
                <w:rPr>
                  <w:rFonts w:ascii="Cambria Math" w:hAnsi="Cambria Math" w:cs="Arial"/>
                  <w:color w:val="000000" w:themeColor="text1"/>
                  <w:lang w:val="es-CO"/>
                </w:rPr>
                <m:t>e,z</m:t>
              </m:r>
            </m:sub>
          </m:sSub>
          <m:r>
            <w:rPr>
              <w:rFonts w:ascii="Cambria Math" w:hAnsi="Cambria Math" w:cs="Arial"/>
              <w:color w:val="000000" w:themeColor="text1"/>
              <w:lang w:val="es-CO"/>
            </w:rPr>
            <m:t>=</m:t>
          </m:r>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e,z</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PR</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e,z</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r>
            <w:rPr>
              <w:rFonts w:ascii="Cambria Math" w:eastAsia="Calibri" w:hAnsi="Cambria Math"/>
              <w:color w:val="000000" w:themeColor="text1"/>
              <w:lang w:val="es-CO" w:eastAsia="en-US"/>
            </w:rPr>
            <m:t>-</m:t>
          </m:r>
          <m:d>
            <m:dPr>
              <m:begChr m:val="["/>
              <m:endChr m:val="]"/>
              <m:ctrlPr>
                <w:rPr>
                  <w:rFonts w:ascii="Cambria Math" w:eastAsia="Calibri" w:hAnsi="Cambria Math"/>
                  <w:i/>
                  <w:color w:val="000000" w:themeColor="text1"/>
                  <w:lang w:val="es-CO" w:eastAsia="en-US"/>
                </w:rPr>
              </m:ctrlPr>
            </m:dPr>
            <m:e>
              <m:d>
                <m:dPr>
                  <m:ctrlPr>
                    <w:rPr>
                      <w:rFonts w:ascii="Cambria Math" w:eastAsia="Calibri" w:hAnsi="Cambria Math"/>
                      <w:i/>
                      <w:color w:val="000000" w:themeColor="text1"/>
                      <w:lang w:val="es-CO" w:eastAsia="en-US"/>
                    </w:rPr>
                  </m:ctrlPr>
                </m:dPr>
                <m:e>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s</m:t>
                      </m:r>
                    </m:sub>
                    <m:sup/>
                    <m:e>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e,s</m:t>
                              </m:r>
                            </m:sub>
                          </m:sSub>
                        </m:sub>
                      </m:sSub>
                      <m:r>
                        <w:rPr>
                          <w:rFonts w:ascii="Cambria Math" w:eastAsia="Calibri" w:hAnsi="Cambria Math"/>
                          <w:color w:val="000000" w:themeColor="text1"/>
                          <w:lang w:val="es-CO" w:eastAsia="en-US"/>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r>
                        <w:rPr>
                          <w:rFonts w:ascii="Cambria Math" w:eastAsia="Calibri" w:hAnsi="Cambria Math"/>
                          <w:color w:val="000000" w:themeColor="text1"/>
                          <w:lang w:val="es-CO" w:eastAsia="en-US"/>
                        </w:rPr>
                        <m:t>)</m:t>
                      </m:r>
                    </m:e>
                  </m:nary>
                </m:e>
              </m:d>
              <m:r>
                <w:rPr>
                  <w:rFonts w:ascii="Cambria Math" w:eastAsia="Calibri" w:hAnsi="Cambria Math"/>
                  <w:color w:val="000000" w:themeColor="text1"/>
                  <w:lang w:val="es-CO" w:eastAsia="en-US"/>
                </w:rPr>
                <m:t>-</m:t>
              </m:r>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e>
          </m:d>
          <m:r>
            <w:rPr>
              <w:rFonts w:ascii="Cambria Math" w:eastAsia="Calibri" w:hAnsi="Cambria Math"/>
              <w:color w:val="000000" w:themeColor="text1"/>
              <w:lang w:val="es-CO" w:eastAsia="en-US"/>
            </w:rPr>
            <m:t>×</m:t>
          </m:r>
          <m:d>
            <m:dPr>
              <m:begChr m:val="["/>
              <m:endChr m:val="]"/>
              <m:ctrlPr>
                <w:rPr>
                  <w:rFonts w:ascii="Cambria Math" w:eastAsia="Calibri" w:hAnsi="Cambria Math"/>
                  <w:i/>
                  <w:color w:val="000000" w:themeColor="text1"/>
                  <w:lang w:val="es-CO" w:eastAsia="en-US"/>
                </w:rPr>
              </m:ctrlPr>
            </m:dPr>
            <m:e>
              <m:f>
                <m:fPr>
                  <m:ctrlPr>
                    <w:rPr>
                      <w:rFonts w:ascii="Cambria Math" w:eastAsia="Calibri" w:hAnsi="Cambria Math"/>
                      <w:i/>
                      <w:color w:val="000000" w:themeColor="text1"/>
                      <w:lang w:val="es-CO" w:eastAsia="en-US"/>
                    </w:rPr>
                  </m:ctrlPr>
                </m:fPr>
                <m:num>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e,z</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PR</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e,z</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num>
                <m:den>
                  <m:nary>
                    <m:naryPr>
                      <m:chr m:val="∑"/>
                      <m:limLoc m:val="undOvr"/>
                      <m:supHide m:val="1"/>
                      <m:ctrlPr>
                        <w:rPr>
                          <w:rFonts w:ascii="Cambria Math" w:eastAsia="Calibri" w:hAnsi="Cambria Math"/>
                          <w:bCs/>
                          <w:i/>
                          <w:color w:val="000000" w:themeColor="text1"/>
                          <w:lang w:val="es-CO" w:eastAsia="en-US"/>
                        </w:rPr>
                      </m:ctrlPr>
                    </m:naryPr>
                    <m:sub>
                      <m:r>
                        <w:rPr>
                          <w:rFonts w:ascii="Cambria Math" w:eastAsia="Calibri" w:hAnsi="Cambria Math"/>
                          <w:color w:val="000000" w:themeColor="text1"/>
                          <w:lang w:val="es-CO" w:eastAsia="en-US"/>
                        </w:rPr>
                        <m:t>z</m:t>
                      </m:r>
                    </m:sub>
                    <m:sup/>
                    <m:e>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e,z</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PR</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e,z</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e>
                  </m:nary>
                </m:den>
              </m:f>
            </m:e>
          </m:d>
        </m:oMath>
      </m:oMathPara>
    </w:p>
    <w:p w14:paraId="4D23BDCC" w14:textId="77777777" w:rsidR="0006302B" w:rsidRPr="0013707D" w:rsidRDefault="0006302B" w:rsidP="0006302B">
      <w:pPr>
        <w:autoSpaceDE w:val="0"/>
        <w:autoSpaceDN w:val="0"/>
        <w:adjustRightInd w:val="0"/>
        <w:ind w:left="3119" w:hanging="1418"/>
        <w:jc w:val="both"/>
        <w:rPr>
          <w:rFonts w:ascii="Bookman Old Style" w:hAnsi="Bookman Old Style" w:cs="Arial"/>
          <w:color w:val="000000" w:themeColor="text1"/>
          <w:lang w:val="es-CO"/>
        </w:rPr>
      </w:pPr>
    </w:p>
    <w:p w14:paraId="6F351ED6" w14:textId="77777777" w:rsidR="0006302B" w:rsidRPr="0013707D" w:rsidRDefault="0006302B" w:rsidP="0006302B">
      <w:pPr>
        <w:autoSpaceDE w:val="0"/>
        <w:autoSpaceDN w:val="0"/>
        <w:adjustRightInd w:val="0"/>
        <w:ind w:left="3119" w:hanging="1418"/>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Donde:</w:t>
      </w:r>
    </w:p>
    <w:p w14:paraId="63ECEEE0" w14:textId="77777777" w:rsidR="0006302B" w:rsidRPr="0013707D" w:rsidRDefault="0006302B" w:rsidP="0006302B">
      <w:pPr>
        <w:autoSpaceDE w:val="0"/>
        <w:autoSpaceDN w:val="0"/>
        <w:adjustRightInd w:val="0"/>
        <w:ind w:left="3119" w:hanging="1418"/>
        <w:jc w:val="both"/>
        <w:rPr>
          <w:rFonts w:ascii="Bookman Old Style" w:hAnsi="Bookman Old Style" w:cs="Arial"/>
          <w:color w:val="000000" w:themeColor="text1"/>
          <w:lang w:val="es-CO"/>
        </w:rPr>
      </w:pPr>
    </w:p>
    <w:p w14:paraId="13950063" w14:textId="77777777" w:rsidR="0006302B" w:rsidRPr="0013707D" w:rsidRDefault="0006302B" w:rsidP="0006302B">
      <w:pPr>
        <w:autoSpaceDE w:val="0"/>
        <w:autoSpaceDN w:val="0"/>
        <w:adjustRightInd w:val="0"/>
        <w:ind w:left="3828" w:hanging="2127"/>
        <w:jc w:val="both"/>
        <w:rPr>
          <w:rFonts w:ascii="Bookman Old Style" w:hAnsi="Bookman Old Style" w:cs="Arial"/>
          <w:color w:val="000000" w:themeColor="text1"/>
          <w:lang w:val="es-CO"/>
        </w:rPr>
      </w:pPr>
      <m:oMath>
        <m:r>
          <w:rPr>
            <w:rFonts w:ascii="Cambria Math" w:hAnsi="Cambria Math" w:cs="Arial"/>
            <w:color w:val="000000" w:themeColor="text1"/>
            <w:lang w:val="es-CO"/>
          </w:rPr>
          <m:t>z</m:t>
        </m:r>
      </m:oMath>
      <w:r w:rsidRPr="0013707D">
        <w:rPr>
          <w:rFonts w:ascii="Bookman Old Style" w:hAnsi="Bookman Old Style" w:cs="Arial"/>
          <w:color w:val="000000" w:themeColor="text1"/>
          <w:lang w:val="es-CO"/>
        </w:rPr>
        <w:t>:</w:t>
      </w:r>
      <w:r w:rsidRPr="0013707D">
        <w:rPr>
          <w:rFonts w:ascii="Bookman Old Style" w:hAnsi="Bookman Old Style" w:cs="Arial"/>
          <w:color w:val="000000" w:themeColor="text1"/>
          <w:lang w:val="es-CO"/>
        </w:rPr>
        <w:tab/>
        <w:t xml:space="preserve">Vendedor </w:t>
      </w:r>
      <m:oMath>
        <m:r>
          <w:rPr>
            <w:rFonts w:ascii="Cambria Math" w:hAnsi="Cambria Math" w:cs="Arial"/>
            <w:color w:val="000000" w:themeColor="text1"/>
            <w:lang w:val="es-CO"/>
          </w:rPr>
          <m:t>s</m:t>
        </m:r>
      </m:oMath>
      <w:r w:rsidRPr="0013707D">
        <w:rPr>
          <w:rFonts w:ascii="Bookman Old Style" w:hAnsi="Bookman Old Style" w:cs="Arial"/>
          <w:color w:val="000000" w:themeColor="text1"/>
          <w:lang w:val="es-CO"/>
        </w:rPr>
        <w:t xml:space="preserve"> que declaró un precio de reserva, </w:t>
      </w:r>
      <m:oMath>
        <m:sSub>
          <m:sSubPr>
            <m:ctrlPr>
              <w:rPr>
                <w:rFonts w:ascii="Cambria Math" w:hAnsi="Cambria Math"/>
                <w:bCs/>
                <w:i/>
                <w:color w:val="000000" w:themeColor="text1"/>
                <w:lang w:val="es-CO" w:eastAsia="x-none"/>
              </w:rPr>
            </m:ctrlPr>
          </m:sSubPr>
          <m:e>
            <m:sSub>
              <m:sSubPr>
                <m:ctrlPr>
                  <w:rPr>
                    <w:rFonts w:ascii="Cambria Math" w:hAnsi="Cambria Math"/>
                    <w:i/>
                    <w:color w:val="000000" w:themeColor="text1"/>
                    <w:lang w:val="es-CO" w:eastAsia="x-none"/>
                  </w:rPr>
                </m:ctrlPr>
              </m:sSubPr>
              <m:e>
                <m:r>
                  <w:rPr>
                    <w:rFonts w:ascii="Cambria Math" w:hAnsi="Cambria Math"/>
                    <w:color w:val="000000" w:themeColor="text1"/>
                    <w:lang w:val="es-CO" w:eastAsia="x-none"/>
                  </w:rPr>
                  <m:t>PR</m:t>
                </m:r>
              </m:e>
              <m:sub>
                <m:r>
                  <w:rPr>
                    <w:rFonts w:ascii="Cambria Math" w:hAnsi="Cambria Math"/>
                    <w:color w:val="000000" w:themeColor="text1"/>
                    <w:lang w:val="es-CO" w:eastAsia="x-none"/>
                  </w:rPr>
                  <m:t>E</m:t>
                </m:r>
              </m:sub>
            </m:sSub>
          </m:e>
          <m:sub>
            <m:r>
              <w:rPr>
                <w:rFonts w:ascii="Cambria Math" w:hAnsi="Cambria Math"/>
                <w:color w:val="000000" w:themeColor="text1"/>
                <w:lang w:val="es-CO" w:eastAsia="x-none"/>
              </w:rPr>
              <m:t>e,z</m:t>
            </m:r>
          </m:sub>
        </m:sSub>
      </m:oMath>
      <w:r w:rsidRPr="0013707D">
        <w:rPr>
          <w:rFonts w:ascii="Bookman Old Style" w:hAnsi="Bookman Old Style" w:cs="Arial"/>
          <w:bCs/>
          <w:color w:val="000000" w:themeColor="text1"/>
          <w:lang w:val="es-CO" w:eastAsia="x-none"/>
        </w:rPr>
        <w:t>,</w:t>
      </w:r>
      <w:r w:rsidRPr="0013707D">
        <w:rPr>
          <w:rFonts w:ascii="Bookman Old Style" w:hAnsi="Bookman Old Style" w:cs="Arial"/>
          <w:color w:val="000000" w:themeColor="text1"/>
          <w:lang w:val="es-CO"/>
        </w:rPr>
        <w:t xml:space="preserve"> igual a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w:t>
      </w:r>
    </w:p>
    <w:p w14:paraId="563C96DA" w14:textId="77777777" w:rsidR="0006302B" w:rsidRPr="0013707D" w:rsidRDefault="0006302B" w:rsidP="0006302B">
      <w:pPr>
        <w:ind w:left="3828" w:hanging="2127"/>
        <w:jc w:val="both"/>
        <w:rPr>
          <w:rFonts w:ascii="Bookman Old Style" w:hAnsi="Bookman Old Style"/>
          <w:lang w:val="es-CO"/>
        </w:rPr>
      </w:pPr>
    </w:p>
    <w:p w14:paraId="6D740E92" w14:textId="77777777" w:rsidR="0006302B" w:rsidRPr="0013707D" w:rsidRDefault="00FB7B28" w:rsidP="0006302B">
      <w:pPr>
        <w:ind w:left="3828" w:hanging="2127"/>
        <w:jc w:val="both"/>
        <w:rPr>
          <w:rFonts w:ascii="Bookman Old Style" w:hAnsi="Bookman Old Style"/>
          <w:lang w:val="es-CO"/>
        </w:rPr>
      </w:pPr>
      <m:oMath>
        <m:sSub>
          <m:sSubPr>
            <m:ctrlPr>
              <w:rPr>
                <w:rFonts w:ascii="Cambria Math" w:hAnsi="Cambria Math"/>
                <w:i/>
                <w:lang w:val="es-CO"/>
              </w:rPr>
            </m:ctrlPr>
          </m:sSubPr>
          <m:e>
            <m:sSub>
              <m:sSubPr>
                <m:ctrlPr>
                  <w:rPr>
                    <w:rFonts w:ascii="Cambria Math" w:hAnsi="Cambria Math"/>
                    <w:i/>
                    <w:lang w:val="es-CO"/>
                  </w:rPr>
                </m:ctrlPr>
              </m:sSubPr>
              <m:e>
                <m:acc>
                  <m:accPr>
                    <m:ctrlPr>
                      <w:rPr>
                        <w:rFonts w:ascii="Cambria Math" w:hAnsi="Cambria Math"/>
                        <w:i/>
                        <w:lang w:val="es-CO"/>
                      </w:rPr>
                    </m:ctrlPr>
                  </m:accPr>
                  <m:e>
                    <m:r>
                      <w:rPr>
                        <w:rFonts w:ascii="Cambria Math" w:hAnsi="Cambria Math"/>
                        <w:lang w:val="es-CO"/>
                      </w:rPr>
                      <m:t>O</m:t>
                    </m:r>
                  </m:e>
                </m:acc>
              </m:e>
              <m:sub>
                <m:r>
                  <w:rPr>
                    <w:rFonts w:ascii="Cambria Math" w:hAnsi="Cambria Math"/>
                    <w:lang w:val="es-CO"/>
                  </w:rPr>
                  <m:t>E</m:t>
                </m:r>
              </m:sub>
            </m:sSub>
          </m:e>
          <m:sub>
            <m:r>
              <w:rPr>
                <w:rFonts w:ascii="Cambria Math" w:hAnsi="Cambria Math"/>
                <w:lang w:val="es-CO"/>
              </w:rPr>
              <m:t>e,z</m:t>
            </m:r>
          </m:sub>
        </m:sSub>
      </m:oMath>
      <w:r w:rsidR="0006302B" w:rsidRPr="0013707D">
        <w:rPr>
          <w:rFonts w:ascii="Bookman Old Style" w:hAnsi="Bookman Old Style"/>
          <w:lang w:val="es-CO"/>
        </w:rPr>
        <w:t>:</w:t>
      </w:r>
      <w:r w:rsidR="0006302B" w:rsidRPr="0013707D">
        <w:rPr>
          <w:rFonts w:ascii="Bookman Old Style" w:hAnsi="Bookman Old Style"/>
          <w:lang w:val="es-CO"/>
        </w:rPr>
        <w:tab/>
        <w:t xml:space="preserve">Cantidad de energía del producto </w:t>
      </w:r>
      <m:oMath>
        <m:sSub>
          <m:sSubPr>
            <m:ctrlPr>
              <w:rPr>
                <w:rFonts w:ascii="Cambria Math" w:eastAsia="Calibri" w:hAnsi="Cambria Math"/>
                <w:i/>
                <w:lang w:val="es-CO" w:eastAsia="en-US"/>
              </w:rPr>
            </m:ctrlPr>
          </m:sSubPr>
          <m:e>
            <m:r>
              <w:rPr>
                <w:rFonts w:ascii="Cambria Math" w:eastAsia="Calibri" w:hAnsi="Cambria Math"/>
                <w:lang w:val="es-CO" w:eastAsia="en-US"/>
              </w:rPr>
              <m:t>E</m:t>
            </m:r>
          </m:e>
          <m:sub>
            <m:r>
              <w:rPr>
                <w:rFonts w:ascii="Cambria Math" w:eastAsia="Calibri" w:hAnsi="Cambria Math"/>
                <w:lang w:val="es-CO" w:eastAsia="en-US"/>
              </w:rPr>
              <m:t>e</m:t>
            </m:r>
          </m:sub>
        </m:sSub>
      </m:oMath>
      <w:r w:rsidR="0006302B" w:rsidRPr="0013707D">
        <w:rPr>
          <w:rFonts w:ascii="Bookman Old Style" w:hAnsi="Bookman Old Style"/>
          <w:lang w:val="es-CO"/>
        </w:rPr>
        <w:t xml:space="preserve"> que se adjudica al vendedor </w:t>
      </w:r>
      <m:oMath>
        <m:r>
          <w:rPr>
            <w:rFonts w:ascii="Cambria Math" w:hAnsi="Cambria Math"/>
            <w:lang w:val="es-CO"/>
          </w:rPr>
          <m:t>z</m:t>
        </m:r>
      </m:oMath>
      <w:r w:rsidR="0006302B" w:rsidRPr="0013707D">
        <w:rPr>
          <w:rFonts w:ascii="Bookman Old Style" w:hAnsi="Bookman Old Style"/>
          <w:lang w:val="es-CO"/>
        </w:rPr>
        <w:t>. Este valor se expresará en MBTUD.</w:t>
      </w:r>
    </w:p>
    <w:p w14:paraId="185FEE07" w14:textId="77777777" w:rsidR="0006302B" w:rsidRPr="0013707D" w:rsidRDefault="0006302B" w:rsidP="0006302B">
      <w:pPr>
        <w:ind w:left="3828" w:hanging="2127"/>
        <w:jc w:val="both"/>
        <w:rPr>
          <w:rFonts w:ascii="Bookman Old Style" w:hAnsi="Bookman Old Style"/>
          <w:lang w:val="es-CO"/>
        </w:rPr>
      </w:pPr>
    </w:p>
    <w:p w14:paraId="333B471A" w14:textId="77777777" w:rsidR="0006302B" w:rsidRPr="0013707D" w:rsidRDefault="00FB7B28" w:rsidP="0006302B">
      <w:pPr>
        <w:ind w:left="3828" w:hanging="2127"/>
        <w:jc w:val="both"/>
        <w:rPr>
          <w:rFonts w:ascii="Bookman Old Style" w:hAnsi="Bookman Old Style" w:cs="Arial"/>
          <w:color w:val="000000" w:themeColor="text1"/>
          <w:lang w:val="es-CO"/>
        </w:rPr>
      </w:pP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e,z</m:t>
                </m:r>
              </m:sub>
            </m:sSub>
          </m:sub>
        </m:sSub>
        <m:d>
          <m:dPr>
            <m:ctrlPr>
              <w:rPr>
                <w:rFonts w:ascii="Cambria Math" w:eastAsia="Calibri" w:hAnsi="Cambria Math"/>
                <w:i/>
                <w:color w:val="000000" w:themeColor="text1"/>
                <w:lang w:val="es-CO" w:eastAsia="en-US"/>
              </w:rPr>
            </m:ctrlPr>
          </m:dPr>
          <m:e>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PR</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e,z</m:t>
                    </m:r>
                  </m:sub>
                </m:sSub>
              </m:sub>
            </m:sSub>
            <m:r>
              <w:rPr>
                <w:rFonts w:ascii="Cambria Math" w:hAnsi="Cambria Math" w:cs="Arial"/>
                <w:color w:val="000000" w:themeColor="text1"/>
                <w:lang w:val="es-CO"/>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e>
        </m:d>
      </m:oMath>
      <w:r w:rsidR="0006302B" w:rsidRPr="0013707D">
        <w:rPr>
          <w:rFonts w:ascii="Bookman Old Style" w:hAnsi="Bookman Old Style" w:cs="Arial"/>
          <w:color w:val="000000" w:themeColor="text1"/>
          <w:lang w:val="es-CO" w:eastAsia="en-US"/>
        </w:rPr>
        <w:t>:</w:t>
      </w:r>
      <w:r w:rsidR="0006302B" w:rsidRPr="0013707D">
        <w:rPr>
          <w:rFonts w:ascii="Bookman Old Style" w:hAnsi="Bookman Old Style" w:cs="Arial"/>
          <w:color w:val="000000" w:themeColor="text1"/>
          <w:lang w:val="es-CO" w:eastAsia="en-US"/>
        </w:rPr>
        <w:tab/>
        <w:t xml:space="preserve">Cantidad de </w:t>
      </w:r>
      <w:r w:rsidR="0006302B" w:rsidRPr="0013707D">
        <w:rPr>
          <w:rFonts w:ascii="Bookman Old Style" w:hAnsi="Bookman Old Style" w:cs="Arial"/>
          <w:color w:val="000000" w:themeColor="text1"/>
          <w:lang w:val="es-CO"/>
        </w:rPr>
        <w:t xml:space="preserve">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que </w:t>
      </w:r>
      <w:r w:rsidR="0006302B" w:rsidRPr="0013707D">
        <w:rPr>
          <w:rFonts w:ascii="Bookman Old Style" w:hAnsi="Bookman Old Style" w:cs="Arial"/>
          <w:color w:val="000000" w:themeColor="text1"/>
          <w:lang w:val="es-CO"/>
        </w:rPr>
        <w:t xml:space="preserve">el vendedor </w:t>
      </w:r>
      <m:oMath>
        <m:r>
          <w:rPr>
            <w:rFonts w:ascii="Cambria Math" w:hAnsi="Cambria Math" w:cs="Arial"/>
            <w:color w:val="000000" w:themeColor="text1"/>
            <w:lang w:val="es-CO"/>
          </w:rPr>
          <m:t>z</m:t>
        </m:r>
      </m:oMath>
      <w:r w:rsidR="0006302B" w:rsidRPr="0013707D">
        <w:rPr>
          <w:rFonts w:ascii="Bookman Old Style" w:hAnsi="Bookman Old Style" w:cs="Arial"/>
          <w:color w:val="000000" w:themeColor="text1"/>
          <w:lang w:val="es-CO"/>
        </w:rPr>
        <w:t xml:space="preserve"> declaró estar dispuesto a vender a un precio de reserva igual a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0006302B" w:rsidRPr="0013707D">
        <w:rPr>
          <w:rFonts w:ascii="Bookman Old Style" w:hAnsi="Bookman Old Style" w:cs="Arial"/>
          <w:color w:val="000000" w:themeColor="text1"/>
          <w:lang w:val="es-CO"/>
        </w:rPr>
        <w:t>. Este valor se expresará en MBTUD.</w:t>
      </w:r>
    </w:p>
    <w:p w14:paraId="04239202" w14:textId="77777777" w:rsidR="0006302B" w:rsidRPr="0013707D" w:rsidRDefault="0006302B" w:rsidP="0006302B">
      <w:pPr>
        <w:rPr>
          <w:rFonts w:ascii="Bookman Old Style" w:hAnsi="Bookman Old Style"/>
          <w:lang w:val="es-CO"/>
        </w:rPr>
      </w:pPr>
    </w:p>
    <w:p w14:paraId="63A4F6DE" w14:textId="1C96C750" w:rsidR="0006302B" w:rsidRPr="0013707D" w:rsidRDefault="00FB7B28" w:rsidP="0006302B">
      <w:pPr>
        <w:ind w:left="3828" w:hanging="2127"/>
        <w:jc w:val="both"/>
        <w:rPr>
          <w:rFonts w:ascii="Bookman Old Style" w:hAnsi="Bookman Old Style" w:cs="Arial"/>
          <w:color w:val="000000" w:themeColor="text1"/>
          <w:lang w:val="es-CO"/>
        </w:rPr>
      </w:pPr>
      <m:oMath>
        <m:sSub>
          <m:sSubPr>
            <m:ctrlPr>
              <w:rPr>
                <w:rFonts w:ascii="Cambria Math" w:eastAsia="Calibri" w:hAnsi="Cambria Math"/>
                <w:bCs/>
                <w:i/>
                <w:color w:val="000000" w:themeColor="text1"/>
                <w:lang w:val="es-CO" w:eastAsia="en-US"/>
              </w:rPr>
            </m:ctrlPr>
          </m:sSubPr>
          <m:e>
            <m:r>
              <w:rPr>
                <w:rFonts w:ascii="Cambria Math" w:eastAsia="Calibri" w:hAnsi="Cambria Math"/>
                <w:color w:val="000000" w:themeColor="text1"/>
                <w:lang w:val="es-CO" w:eastAsia="en-US"/>
              </w:rPr>
              <m:t>O</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e,s</m:t>
                </m:r>
              </m:sub>
            </m:sSub>
          </m:sub>
        </m:sSub>
        <m:r>
          <w:rPr>
            <w:rFonts w:ascii="Cambria Math" w:eastAsia="Calibri" w:hAnsi="Cambria Math"/>
            <w:color w:val="000000" w:themeColor="text1"/>
            <w:lang w:val="es-CO" w:eastAsia="en-US"/>
          </w:rPr>
          <m:t>(</m:t>
        </m:r>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r>
          <w:rPr>
            <w:rFonts w:ascii="Cambria Math" w:eastAsia="Calibri" w:hAnsi="Cambria Math"/>
            <w:color w:val="000000" w:themeColor="text1"/>
            <w:lang w:val="es-CO" w:eastAsia="en-US"/>
          </w:rPr>
          <m:t>)</m:t>
        </m:r>
      </m:oMath>
      <w:r w:rsidR="0006302B" w:rsidRPr="0013707D">
        <w:rPr>
          <w:rFonts w:ascii="Bookman Old Style" w:hAnsi="Bookman Old Style" w:cs="Arial"/>
          <w:color w:val="000000" w:themeColor="text1"/>
          <w:lang w:val="es-CO" w:eastAsia="en-US"/>
        </w:rPr>
        <w:t>:</w:t>
      </w:r>
      <w:r w:rsidR="0006302B" w:rsidRPr="0013707D">
        <w:rPr>
          <w:rFonts w:ascii="Bookman Old Style" w:hAnsi="Bookman Old Style" w:cs="Arial"/>
          <w:color w:val="000000" w:themeColor="text1"/>
          <w:lang w:val="es-CO" w:eastAsia="en-US"/>
        </w:rPr>
        <w:tab/>
      </w:r>
      <w:r w:rsidR="0006302B" w:rsidRPr="0013707D">
        <w:rPr>
          <w:rFonts w:ascii="Bookman Old Style" w:hAnsi="Bookman Old Style" w:cs="Arial"/>
          <w:color w:val="000000" w:themeColor="text1"/>
          <w:lang w:val="es-CO"/>
        </w:rPr>
        <w:t xml:space="preserve">Cantidad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bCs/>
          <w:color w:val="000000" w:themeColor="text1"/>
          <w:lang w:val="es-CO" w:eastAsia="x-none"/>
        </w:rPr>
        <w:t xml:space="preserve"> que </w:t>
      </w:r>
      <w:r w:rsidR="0006302B" w:rsidRPr="0013707D">
        <w:rPr>
          <w:rFonts w:ascii="Bookman Old Style" w:hAnsi="Bookman Old Style" w:cs="Arial"/>
          <w:color w:val="000000" w:themeColor="text1"/>
          <w:lang w:val="es-CO"/>
        </w:rPr>
        <w:t xml:space="preserve">el vendedor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xml:space="preserve"> está dispuesto a vender al precio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0006302B" w:rsidRPr="0013707D">
        <w:rPr>
          <w:rFonts w:ascii="Bookman Old Style" w:hAnsi="Bookman Old Style" w:cs="Arial"/>
          <w:color w:val="000000" w:themeColor="text1"/>
          <w:lang w:val="es-CO"/>
        </w:rPr>
        <w:t xml:space="preserve">. Esta cantidad de energía se determinará con base en la curva de oferta del vendedor </w:t>
      </w:r>
      <m:oMath>
        <m:r>
          <w:rPr>
            <w:rFonts w:ascii="Cambria Math" w:hAnsi="Cambria Math" w:cs="Arial"/>
            <w:color w:val="000000" w:themeColor="text1"/>
            <w:lang w:val="es-CO"/>
          </w:rPr>
          <m:t>s</m:t>
        </m:r>
      </m:oMath>
      <w:r w:rsidR="0006302B" w:rsidRPr="0013707D">
        <w:rPr>
          <w:rFonts w:ascii="Bookman Old Style" w:hAnsi="Bookman Old Style" w:cs="Arial"/>
          <w:color w:val="000000" w:themeColor="text1"/>
          <w:lang w:val="es-CO"/>
        </w:rPr>
        <w:t xml:space="preserve"> según la</w:t>
      </w:r>
      <w:r w:rsidR="0006302B" w:rsidRPr="0013707D">
        <w:rPr>
          <w:rFonts w:ascii="Bookman Old Style" w:hAnsi="Bookman Old Style" w:cs="Arial"/>
          <w:bCs/>
          <w:color w:val="000000" w:themeColor="text1"/>
          <w:lang w:val="es-CO" w:eastAsia="x-none"/>
        </w:rPr>
        <w:t xml:space="preserve"> </w:t>
      </w:r>
      <w:r w:rsidR="0006302B" w:rsidRPr="0013707D">
        <w:rPr>
          <w:rFonts w:ascii="Bookman Old Style" w:hAnsi="Bookman Old Style" w:cs="Arial"/>
          <w:bCs/>
          <w:color w:val="000000" w:themeColor="text1"/>
          <w:lang w:val="es-CO" w:eastAsia="x-none"/>
        </w:rPr>
        <w:fldChar w:fldCharType="begin"/>
      </w:r>
      <w:r w:rsidR="0006302B" w:rsidRPr="0013707D">
        <w:rPr>
          <w:rFonts w:ascii="Bookman Old Style" w:hAnsi="Bookman Old Style" w:cs="Arial"/>
          <w:bCs/>
          <w:color w:val="000000" w:themeColor="text1"/>
          <w:lang w:val="es-CO" w:eastAsia="x-none"/>
        </w:rPr>
        <w:instrText xml:space="preserve"> REF _Ref361822728 \h  \* MERGEFORMAT </w:instrText>
      </w:r>
      <w:r w:rsidR="0006302B" w:rsidRPr="0013707D">
        <w:rPr>
          <w:rFonts w:ascii="Bookman Old Style" w:hAnsi="Bookman Old Style" w:cs="Arial"/>
          <w:bCs/>
          <w:color w:val="000000" w:themeColor="text1"/>
          <w:lang w:val="es-CO" w:eastAsia="x-none"/>
        </w:rPr>
      </w:r>
      <w:r w:rsidR="0006302B" w:rsidRPr="0013707D">
        <w:rPr>
          <w:rFonts w:ascii="Bookman Old Style" w:hAnsi="Bookman Old Style" w:cs="Arial"/>
          <w:bCs/>
          <w:color w:val="000000" w:themeColor="text1"/>
          <w:lang w:val="es-CO" w:eastAsia="x-none"/>
        </w:rPr>
        <w:fldChar w:fldCharType="separate"/>
      </w:r>
      <w:r w:rsidR="00636B6A" w:rsidRPr="00996A90">
        <w:rPr>
          <w:rFonts w:ascii="Bookman Old Style" w:hAnsi="Bookman Old Style"/>
          <w:color w:val="000000" w:themeColor="text1"/>
          <w:lang w:val="es-CO"/>
        </w:rPr>
        <w:t xml:space="preserve">Tabla </w:t>
      </w:r>
      <w:r w:rsidR="00636B6A" w:rsidRPr="00996A90">
        <w:rPr>
          <w:rFonts w:ascii="Bookman Old Style" w:hAnsi="Bookman Old Style"/>
          <w:noProof/>
          <w:color w:val="000000" w:themeColor="text1"/>
          <w:lang w:val="es-CO"/>
        </w:rPr>
        <w:t>6</w:t>
      </w:r>
      <w:r w:rsidR="0006302B" w:rsidRPr="0013707D">
        <w:rPr>
          <w:rFonts w:ascii="Bookman Old Style" w:hAnsi="Bookman Old Style" w:cs="Arial"/>
          <w:bCs/>
          <w:color w:val="000000" w:themeColor="text1"/>
          <w:lang w:val="es-CO" w:eastAsia="x-none"/>
        </w:rPr>
        <w:fldChar w:fldCharType="end"/>
      </w:r>
      <w:r w:rsidR="0006302B" w:rsidRPr="0013707D">
        <w:rPr>
          <w:rFonts w:ascii="Bookman Old Style" w:hAnsi="Bookman Old Style" w:cs="Arial"/>
          <w:color w:val="000000" w:themeColor="text1"/>
          <w:lang w:val="es-CO"/>
        </w:rPr>
        <w:t>. Este valor se expresará en MBTUD.</w:t>
      </w:r>
    </w:p>
    <w:p w14:paraId="4A9F9FEE" w14:textId="77777777" w:rsidR="0006302B" w:rsidRPr="0013707D" w:rsidRDefault="0006302B" w:rsidP="0006302B">
      <w:pPr>
        <w:rPr>
          <w:rFonts w:ascii="Bookman Old Style" w:hAnsi="Bookman Old Style"/>
          <w:lang w:val="es-CO"/>
        </w:rPr>
      </w:pPr>
    </w:p>
    <w:p w14:paraId="68C73BE9" w14:textId="77777777" w:rsidR="0006302B" w:rsidRPr="0013707D" w:rsidRDefault="00FB7B28" w:rsidP="0006302B">
      <w:pPr>
        <w:ind w:left="3828" w:hanging="2127"/>
        <w:jc w:val="both"/>
        <w:rPr>
          <w:rFonts w:ascii="Bookman Old Style" w:hAnsi="Bookman Old Style" w:cs="Arial"/>
          <w:color w:val="000000" w:themeColor="text1"/>
          <w:lang w:val="es-CO"/>
        </w:rPr>
      </w:pP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0006302B" w:rsidRPr="0013707D">
        <w:rPr>
          <w:rFonts w:ascii="Bookman Old Style" w:hAnsi="Bookman Old Style" w:cs="Arial"/>
          <w:color w:val="000000" w:themeColor="text1"/>
          <w:lang w:val="es-CO"/>
        </w:rPr>
        <w:t>:</w:t>
      </w:r>
      <w:r w:rsidR="0006302B" w:rsidRPr="0013707D">
        <w:rPr>
          <w:rFonts w:ascii="Bookman Old Style" w:hAnsi="Bookman Old Style" w:cs="Arial"/>
          <w:color w:val="000000" w:themeColor="text1"/>
          <w:lang w:val="es-CO"/>
        </w:rPr>
        <w:tab/>
        <w:t xml:space="preserve">Cantidad total de energía del producto </w:t>
      </w: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E</m:t>
            </m:r>
          </m:e>
          <m:sub>
            <m:r>
              <w:rPr>
                <w:rFonts w:ascii="Cambria Math" w:hAnsi="Cambria Math" w:cs="Arial"/>
                <w:color w:val="000000" w:themeColor="text1"/>
                <w:lang w:val="es-CO"/>
              </w:rPr>
              <m:t>e</m:t>
            </m:r>
          </m:sub>
        </m:sSub>
      </m:oMath>
      <w:r w:rsidR="0006302B" w:rsidRPr="0013707D">
        <w:rPr>
          <w:rFonts w:ascii="Bookman Old Style" w:hAnsi="Bookman Old Style" w:cs="Arial"/>
          <w:color w:val="000000" w:themeColor="text1"/>
          <w:lang w:val="es-CO"/>
        </w:rPr>
        <w:t xml:space="preserve"> adjudicada en la subasta. Este valor se expresará en MBTUD.</w:t>
      </w:r>
    </w:p>
    <w:p w14:paraId="3E523A4D" w14:textId="77777777" w:rsidR="0006302B" w:rsidRPr="0013707D" w:rsidRDefault="0006302B" w:rsidP="0006302B">
      <w:pPr>
        <w:ind w:left="0"/>
        <w:contextualSpacing/>
        <w:jc w:val="both"/>
        <w:rPr>
          <w:rFonts w:ascii="Bookman Old Style" w:hAnsi="Bookman Old Style" w:cs="Arial"/>
          <w:color w:val="000000" w:themeColor="text1"/>
          <w:lang w:val="es-CO" w:eastAsia="x-none"/>
        </w:rPr>
      </w:pPr>
    </w:p>
    <w:p w14:paraId="739381F2" w14:textId="77777777" w:rsidR="0006302B" w:rsidRPr="0013707D" w:rsidRDefault="0006302B" w:rsidP="00A4790E">
      <w:pPr>
        <w:numPr>
          <w:ilvl w:val="0"/>
          <w:numId w:val="55"/>
        </w:numPr>
        <w:ind w:left="1701" w:hanging="567"/>
        <w:contextualSpacing/>
        <w:jc w:val="both"/>
        <w:rPr>
          <w:rFonts w:ascii="Bookman Old Style" w:hAnsi="Bookman Old Style" w:cs="Arial"/>
          <w:color w:val="000000" w:themeColor="text1"/>
          <w:lang w:val="es-CO" w:eastAsia="x-none"/>
        </w:rPr>
      </w:pPr>
      <w:r w:rsidRPr="0013707D">
        <w:rPr>
          <w:rFonts w:ascii="Bookman Old Style" w:hAnsi="Bookman Old Style" w:cs="Arial"/>
          <w:color w:val="000000" w:themeColor="text1"/>
          <w:lang w:val="es-CO" w:eastAsia="x-none"/>
        </w:rPr>
        <w:t>Si las dos (2) curvas tienen más de un punto en común,</w:t>
      </w:r>
      <w:r w:rsidRPr="0013707D">
        <w:rPr>
          <w:rFonts w:ascii="Bookman Old Style" w:hAnsi="Bookman Old Style" w:cs="Arial"/>
          <w:bCs/>
          <w:color w:val="000000" w:themeColor="text1"/>
          <w:lang w:val="es-CO" w:eastAsia="x-none"/>
        </w:rPr>
        <w:t xml:space="preserve"> se aplicarán las siguientes reglas para determinar </w:t>
      </w: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Pr="0013707D">
        <w:rPr>
          <w:rFonts w:ascii="Bookman Old Style" w:hAnsi="Bookman Old Style" w:cs="Arial"/>
          <w:color w:val="000000" w:themeColor="text1"/>
          <w:lang w:val="es-CO" w:eastAsia="x-none"/>
        </w:rPr>
        <w:t xml:space="preserve"> y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bCs/>
          <w:color w:val="000000" w:themeColor="text1"/>
          <w:lang w:val="es-CO" w:eastAsia="x-none"/>
        </w:rPr>
        <w:t>:</w:t>
      </w:r>
    </w:p>
    <w:p w14:paraId="7CED2948" w14:textId="77777777" w:rsidR="0006302B" w:rsidRPr="0013707D" w:rsidRDefault="0006302B" w:rsidP="0006302B">
      <w:pPr>
        <w:ind w:left="2268" w:hanging="567"/>
        <w:contextualSpacing/>
        <w:jc w:val="both"/>
        <w:rPr>
          <w:rFonts w:ascii="Bookman Old Style" w:hAnsi="Bookman Old Style" w:cs="Arial"/>
          <w:color w:val="000000" w:themeColor="text1"/>
          <w:lang w:val="es-CO" w:eastAsia="x-none"/>
        </w:rPr>
      </w:pPr>
    </w:p>
    <w:p w14:paraId="31559F7A" w14:textId="77777777" w:rsidR="0006302B" w:rsidRPr="0013707D" w:rsidRDefault="0006302B" w:rsidP="00A4790E">
      <w:pPr>
        <w:pStyle w:val="Prrafodelista"/>
        <w:numPr>
          <w:ilvl w:val="0"/>
          <w:numId w:val="58"/>
        </w:numPr>
        <w:ind w:left="2268" w:hanging="567"/>
        <w:contextualSpacing/>
        <w:jc w:val="both"/>
        <w:rPr>
          <w:rFonts w:ascii="Bookman Old Style" w:hAnsi="Bookman Old Style" w:cs="Arial"/>
          <w:color w:val="000000" w:themeColor="text1"/>
          <w:sz w:val="24"/>
          <w:szCs w:val="24"/>
        </w:rPr>
      </w:pPr>
      <w:r w:rsidRPr="0013707D">
        <w:rPr>
          <w:rFonts w:ascii="Bookman Old Style" w:hAnsi="Bookman Old Style" w:cs="Arial"/>
          <w:color w:val="000000" w:themeColor="text1"/>
          <w:sz w:val="24"/>
          <w:szCs w:val="24"/>
        </w:rPr>
        <w:t xml:space="preserve">Cuando las dos (2) curvas coinciden para un mismo nivel de precio, este precio corresponderá al precio de adjudicación </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p</m:t>
            </m:r>
          </m:e>
          <m:sup>
            <m:r>
              <w:rPr>
                <w:rFonts w:ascii="Cambria Math" w:hAnsi="Cambria Math" w:cs="Arial"/>
                <w:color w:val="000000" w:themeColor="text1"/>
                <w:sz w:val="24"/>
                <w:szCs w:val="24"/>
              </w:rPr>
              <m:t>*</m:t>
            </m:r>
          </m:sup>
        </m:sSup>
      </m:oMath>
      <w:r w:rsidRPr="0013707D">
        <w:rPr>
          <w:rFonts w:ascii="Bookman Old Style" w:hAnsi="Bookman Old Style" w:cs="Arial"/>
          <w:color w:val="000000" w:themeColor="text1"/>
          <w:sz w:val="24"/>
          <w:szCs w:val="24"/>
        </w:rPr>
        <w:t xml:space="preserve"> y el subastador tomará la máxima cantidad ofrecida a dicho precio como la cantidad de energía adjudicada,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Q</m:t>
            </m:r>
          </m:e>
          <m:sub>
            <m:sSub>
              <m:sSubPr>
                <m:ctrlPr>
                  <w:rPr>
                    <w:rFonts w:ascii="Cambria Math" w:eastAsia="Calibri" w:hAnsi="Cambria Math"/>
                    <w:i/>
                    <w:color w:val="000000" w:themeColor="text1"/>
                    <w:sz w:val="24"/>
                    <w:szCs w:val="24"/>
                    <w:lang w:eastAsia="en-US"/>
                  </w:rPr>
                </m:ctrlPr>
              </m:sSubPr>
              <m:e>
                <m:r>
                  <w:rPr>
                    <w:rFonts w:ascii="Cambria Math" w:eastAsia="Calibri" w:hAnsi="Cambria Math"/>
                    <w:color w:val="000000" w:themeColor="text1"/>
                    <w:sz w:val="24"/>
                    <w:szCs w:val="24"/>
                    <w:lang w:eastAsia="en-US"/>
                  </w:rPr>
                  <m:t>E</m:t>
                </m:r>
              </m:e>
              <m:sub>
                <m:r>
                  <w:rPr>
                    <w:rFonts w:ascii="Cambria Math" w:eastAsia="Calibri" w:hAnsi="Cambria Math"/>
                    <w:color w:val="000000" w:themeColor="text1"/>
                    <w:sz w:val="24"/>
                    <w:szCs w:val="24"/>
                    <w:lang w:eastAsia="en-US"/>
                  </w:rPr>
                  <m:t>e</m:t>
                </m:r>
              </m:sub>
            </m:sSub>
          </m:sub>
          <m:sup>
            <m:r>
              <w:rPr>
                <w:rFonts w:ascii="Cambria Math" w:hAnsi="Cambria Math" w:cs="Arial"/>
                <w:color w:val="000000" w:themeColor="text1"/>
                <w:sz w:val="24"/>
                <w:szCs w:val="24"/>
              </w:rPr>
              <m:t>*</m:t>
            </m:r>
          </m:sup>
        </m:sSubSup>
      </m:oMath>
      <w:r w:rsidRPr="0013707D">
        <w:rPr>
          <w:rFonts w:ascii="Bookman Old Style" w:hAnsi="Bookman Old Style" w:cs="Arial"/>
          <w:color w:val="000000" w:themeColor="text1"/>
          <w:sz w:val="24"/>
          <w:szCs w:val="24"/>
        </w:rPr>
        <w:t>.</w:t>
      </w:r>
    </w:p>
    <w:p w14:paraId="3CD3C996" w14:textId="77777777" w:rsidR="0006302B" w:rsidRPr="0013707D" w:rsidRDefault="0006302B" w:rsidP="0006302B">
      <w:pPr>
        <w:pStyle w:val="Prrafodelista"/>
        <w:ind w:left="2268"/>
        <w:contextualSpacing/>
        <w:jc w:val="both"/>
        <w:rPr>
          <w:rFonts w:ascii="Bookman Old Style" w:hAnsi="Bookman Old Style" w:cs="Arial"/>
          <w:color w:val="000000" w:themeColor="text1"/>
          <w:sz w:val="24"/>
          <w:szCs w:val="24"/>
        </w:rPr>
      </w:pPr>
    </w:p>
    <w:p w14:paraId="23E95729" w14:textId="59EE2A26" w:rsidR="0006302B" w:rsidRPr="0013707D" w:rsidRDefault="0006302B" w:rsidP="00A4790E">
      <w:pPr>
        <w:pStyle w:val="Prrafodelista"/>
        <w:numPr>
          <w:ilvl w:val="0"/>
          <w:numId w:val="58"/>
        </w:numPr>
        <w:ind w:left="2268" w:hanging="567"/>
        <w:contextualSpacing/>
        <w:jc w:val="both"/>
        <w:rPr>
          <w:rFonts w:ascii="Bookman Old Style" w:hAnsi="Bookman Old Style" w:cs="Arial"/>
          <w:color w:val="000000" w:themeColor="text1"/>
          <w:sz w:val="24"/>
          <w:szCs w:val="24"/>
        </w:rPr>
      </w:pPr>
      <w:r w:rsidRPr="0013707D">
        <w:rPr>
          <w:rFonts w:ascii="Bookman Old Style" w:hAnsi="Bookman Old Style" w:cs="Arial"/>
          <w:color w:val="000000" w:themeColor="text1"/>
          <w:sz w:val="24"/>
          <w:szCs w:val="24"/>
        </w:rPr>
        <w:t xml:space="preserve">Cuando las dos (2) curvas coinciden para un mismo nivel de cantidad, esta cantidad corresponderá a la cantidad de energía adjudicada,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Q</m:t>
            </m:r>
          </m:e>
          <m:sub>
            <m:sSub>
              <m:sSubPr>
                <m:ctrlPr>
                  <w:rPr>
                    <w:rFonts w:ascii="Cambria Math" w:eastAsia="Calibri" w:hAnsi="Cambria Math"/>
                    <w:i/>
                    <w:color w:val="000000" w:themeColor="text1"/>
                    <w:sz w:val="24"/>
                    <w:szCs w:val="24"/>
                    <w:lang w:eastAsia="en-US"/>
                  </w:rPr>
                </m:ctrlPr>
              </m:sSubPr>
              <m:e>
                <m:r>
                  <w:rPr>
                    <w:rFonts w:ascii="Cambria Math" w:eastAsia="Calibri" w:hAnsi="Cambria Math"/>
                    <w:color w:val="000000" w:themeColor="text1"/>
                    <w:sz w:val="24"/>
                    <w:szCs w:val="24"/>
                    <w:lang w:eastAsia="en-US"/>
                  </w:rPr>
                  <m:t>E</m:t>
                </m:r>
              </m:e>
              <m:sub>
                <m:r>
                  <w:rPr>
                    <w:rFonts w:ascii="Cambria Math" w:eastAsia="Calibri" w:hAnsi="Cambria Math"/>
                    <w:color w:val="000000" w:themeColor="text1"/>
                    <w:sz w:val="24"/>
                    <w:szCs w:val="24"/>
                    <w:lang w:eastAsia="en-US"/>
                  </w:rPr>
                  <m:t>e</m:t>
                </m:r>
              </m:sub>
            </m:sSub>
          </m:sub>
          <m:sup>
            <m:r>
              <w:rPr>
                <w:rFonts w:ascii="Cambria Math" w:hAnsi="Cambria Math" w:cs="Arial"/>
                <w:color w:val="000000" w:themeColor="text1"/>
                <w:sz w:val="24"/>
                <w:szCs w:val="24"/>
              </w:rPr>
              <m:t>*</m:t>
            </m:r>
          </m:sup>
        </m:sSubSup>
      </m:oMath>
      <w:r w:rsidRPr="0013707D">
        <w:rPr>
          <w:rFonts w:ascii="Bookman Old Style" w:hAnsi="Bookman Old Style" w:cs="Arial"/>
          <w:color w:val="000000" w:themeColor="text1"/>
          <w:sz w:val="24"/>
          <w:szCs w:val="24"/>
        </w:rPr>
        <w:t xml:space="preserve">, y el subastador tomará el menor de </w:t>
      </w:r>
      <w:r w:rsidRPr="0013707D">
        <w:rPr>
          <w:rFonts w:ascii="Bookman Old Style" w:hAnsi="Bookman Old Style" w:cs="Arial"/>
          <w:color w:val="000000" w:themeColor="text1"/>
          <w:sz w:val="24"/>
          <w:szCs w:val="24"/>
        </w:rPr>
        <w:lastRenderedPageBreak/>
        <w:t xml:space="preserve">los precios declarados por los compradores </w:t>
      </w:r>
      <m:oMath>
        <m:r>
          <w:rPr>
            <w:rFonts w:ascii="Cambria Math" w:hAnsi="Cambria Math"/>
            <w:color w:val="000000" w:themeColor="text1"/>
            <w:sz w:val="24"/>
            <w:szCs w:val="24"/>
          </w:rPr>
          <m:t>j</m:t>
        </m:r>
      </m:oMath>
      <w:r w:rsidRPr="0013707D">
        <w:rPr>
          <w:rFonts w:ascii="Bookman Old Style" w:hAnsi="Bookman Old Style" w:cs="Arial"/>
          <w:color w:val="000000" w:themeColor="text1"/>
          <w:sz w:val="24"/>
          <w:szCs w:val="24"/>
        </w:rPr>
        <w:t xml:space="preserve">, </w:t>
      </w:r>
      <m:oMath>
        <m:sSub>
          <m:sSubPr>
            <m:ctrlPr>
              <w:rPr>
                <w:rFonts w:ascii="Cambria Math" w:eastAsia="Calibri" w:hAnsi="Cambria Math" w:cs="Arial"/>
                <w:i/>
                <w:color w:val="000000" w:themeColor="text1"/>
                <w:sz w:val="24"/>
                <w:szCs w:val="24"/>
              </w:rPr>
            </m:ctrlPr>
          </m:sSubPr>
          <m:e>
            <m:r>
              <w:rPr>
                <w:rFonts w:ascii="Cambria Math" w:eastAsia="Calibri" w:hAnsi="Cambria Math" w:cs="Arial"/>
                <w:color w:val="000000" w:themeColor="text1"/>
                <w:sz w:val="24"/>
                <w:szCs w:val="24"/>
              </w:rPr>
              <m:t>pd</m:t>
            </m:r>
          </m:e>
          <m:sub>
            <m:sSub>
              <m:sSubPr>
                <m:ctrlPr>
                  <w:rPr>
                    <w:rFonts w:ascii="Cambria Math" w:eastAsia="Calibri" w:hAnsi="Cambria Math" w:cs="Arial"/>
                    <w:i/>
                    <w:color w:val="000000" w:themeColor="text1"/>
                    <w:sz w:val="24"/>
                    <w:szCs w:val="24"/>
                  </w:rPr>
                </m:ctrlPr>
              </m:sSubPr>
              <m:e>
                <m:r>
                  <w:rPr>
                    <w:rFonts w:ascii="Cambria Math" w:eastAsia="Calibri" w:hAnsi="Cambria Math" w:cs="Arial"/>
                    <w:color w:val="000000" w:themeColor="text1"/>
                    <w:sz w:val="24"/>
                    <w:szCs w:val="24"/>
                  </w:rPr>
                  <m:t>E</m:t>
                </m:r>
              </m:e>
              <m:sub>
                <m:r>
                  <w:rPr>
                    <w:rFonts w:ascii="Cambria Math" w:eastAsia="Calibri" w:hAnsi="Cambria Math" w:cs="Arial"/>
                    <w:color w:val="000000" w:themeColor="text1"/>
                    <w:sz w:val="24"/>
                    <w:szCs w:val="24"/>
                  </w:rPr>
                  <m:t>e,mín</m:t>
                </m:r>
              </m:sub>
            </m:sSub>
          </m:sub>
        </m:sSub>
      </m:oMath>
      <w:r w:rsidRPr="0013707D">
        <w:rPr>
          <w:rFonts w:ascii="Bookman Old Style" w:hAnsi="Bookman Old Style" w:cs="Arial"/>
          <w:color w:val="000000" w:themeColor="text1"/>
          <w:sz w:val="24"/>
          <w:szCs w:val="24"/>
        </w:rPr>
        <w:t xml:space="preserve">, según lo establecido en la </w:t>
      </w:r>
      <w:r w:rsidRPr="0013707D">
        <w:rPr>
          <w:rFonts w:ascii="Bookman Old Style" w:hAnsi="Bookman Old Style" w:cs="Arial"/>
          <w:color w:val="000000" w:themeColor="text1"/>
          <w:sz w:val="24"/>
          <w:szCs w:val="24"/>
        </w:rPr>
        <w:fldChar w:fldCharType="begin"/>
      </w:r>
      <w:r w:rsidRPr="0013707D">
        <w:rPr>
          <w:rFonts w:ascii="Bookman Old Style" w:hAnsi="Bookman Old Style" w:cs="Arial"/>
          <w:color w:val="000000" w:themeColor="text1"/>
          <w:sz w:val="24"/>
          <w:szCs w:val="24"/>
        </w:rPr>
        <w:instrText xml:space="preserve"> REF _Ref361822668 \h  \* MERGEFORMAT </w:instrText>
      </w:r>
      <w:r w:rsidRPr="0013707D">
        <w:rPr>
          <w:rFonts w:ascii="Bookman Old Style" w:hAnsi="Bookman Old Style" w:cs="Arial"/>
          <w:color w:val="000000" w:themeColor="text1"/>
          <w:sz w:val="24"/>
          <w:szCs w:val="24"/>
        </w:rPr>
      </w:r>
      <w:r w:rsidRPr="0013707D">
        <w:rPr>
          <w:rFonts w:ascii="Bookman Old Style" w:hAnsi="Bookman Old Style" w:cs="Arial"/>
          <w:color w:val="000000" w:themeColor="text1"/>
          <w:sz w:val="24"/>
          <w:szCs w:val="24"/>
        </w:rPr>
        <w:fldChar w:fldCharType="separate"/>
      </w:r>
      <w:r w:rsidR="00636B6A" w:rsidRPr="00996A90">
        <w:rPr>
          <w:rFonts w:ascii="Bookman Old Style" w:hAnsi="Bookman Old Style"/>
          <w:color w:val="000000" w:themeColor="text1"/>
          <w:sz w:val="24"/>
          <w:szCs w:val="24"/>
        </w:rPr>
        <w:t xml:space="preserve">Tabla </w:t>
      </w:r>
      <w:r w:rsidR="00636B6A" w:rsidRPr="00996A90">
        <w:rPr>
          <w:rFonts w:ascii="Bookman Old Style" w:hAnsi="Bookman Old Style"/>
          <w:noProof/>
          <w:color w:val="000000" w:themeColor="text1"/>
          <w:sz w:val="24"/>
          <w:szCs w:val="24"/>
        </w:rPr>
        <w:t>5</w:t>
      </w:r>
      <w:r w:rsidRPr="0013707D">
        <w:rPr>
          <w:rFonts w:ascii="Bookman Old Style" w:hAnsi="Bookman Old Style" w:cs="Arial"/>
          <w:color w:val="000000" w:themeColor="text1"/>
          <w:sz w:val="24"/>
          <w:szCs w:val="24"/>
        </w:rPr>
        <w:fldChar w:fldCharType="end"/>
      </w:r>
      <w:r w:rsidRPr="0013707D">
        <w:rPr>
          <w:rFonts w:ascii="Bookman Old Style" w:hAnsi="Bookman Old Style" w:cs="Arial"/>
          <w:color w:val="000000" w:themeColor="text1"/>
          <w:sz w:val="24"/>
          <w:szCs w:val="24"/>
        </w:rPr>
        <w:t xml:space="preserve">, como el precio de adjudicación de la subasta, </w:t>
      </w:r>
      <m:oMath>
        <m:sSup>
          <m:sSupPr>
            <m:ctrlPr>
              <w:rPr>
                <w:rFonts w:ascii="Cambria Math" w:hAnsi="Cambria Math" w:cs="Arial"/>
                <w:i/>
                <w:color w:val="000000" w:themeColor="text1"/>
                <w:sz w:val="24"/>
                <w:szCs w:val="24"/>
              </w:rPr>
            </m:ctrlPr>
          </m:sSupPr>
          <m:e>
            <m:r>
              <w:rPr>
                <w:rFonts w:ascii="Cambria Math" w:hAnsi="Cambria Math" w:cs="Arial"/>
                <w:color w:val="000000" w:themeColor="text1"/>
                <w:sz w:val="24"/>
                <w:szCs w:val="24"/>
              </w:rPr>
              <m:t>p</m:t>
            </m:r>
          </m:e>
          <m:sup>
            <m:r>
              <w:rPr>
                <w:rFonts w:ascii="Cambria Math" w:hAnsi="Cambria Math" w:cs="Arial"/>
                <w:color w:val="000000" w:themeColor="text1"/>
                <w:sz w:val="24"/>
                <w:szCs w:val="24"/>
              </w:rPr>
              <m:t>*</m:t>
            </m:r>
          </m:sup>
        </m:sSup>
      </m:oMath>
      <w:r w:rsidRPr="0013707D">
        <w:rPr>
          <w:rFonts w:ascii="Bookman Old Style" w:hAnsi="Bookman Old Style" w:cs="Arial"/>
          <w:color w:val="000000" w:themeColor="text1"/>
          <w:sz w:val="24"/>
          <w:szCs w:val="24"/>
        </w:rPr>
        <w:t>.</w:t>
      </w:r>
    </w:p>
    <w:p w14:paraId="49C1874D" w14:textId="77777777" w:rsidR="0006302B" w:rsidRPr="002B06F1" w:rsidRDefault="0006302B" w:rsidP="0006302B">
      <w:pPr>
        <w:ind w:left="2268" w:hanging="567"/>
        <w:jc w:val="both"/>
        <w:rPr>
          <w:rFonts w:ascii="Bookman Old Style" w:hAnsi="Bookman Old Style" w:cs="Arial"/>
          <w:bCs/>
          <w:color w:val="000000" w:themeColor="text1"/>
          <w:sz w:val="28"/>
          <w:szCs w:val="28"/>
          <w:lang w:val="es-CO"/>
        </w:rPr>
      </w:pPr>
    </w:p>
    <w:p w14:paraId="207072C9" w14:textId="3D484D5E" w:rsidR="0006302B" w:rsidRPr="0013707D" w:rsidRDefault="0006302B" w:rsidP="0006302B">
      <w:pPr>
        <w:ind w:left="1701"/>
        <w:jc w:val="both"/>
        <w:rPr>
          <w:rFonts w:ascii="Bookman Old Style" w:hAnsi="Bookman Old Style" w:cs="Arial"/>
          <w:color w:val="000000" w:themeColor="text1"/>
          <w:lang w:val="es-CO"/>
        </w:rPr>
      </w:pPr>
      <w:r w:rsidRPr="0013707D">
        <w:rPr>
          <w:rFonts w:ascii="Bookman Old Style" w:hAnsi="Bookman Old Style" w:cs="Arial"/>
          <w:bCs/>
          <w:color w:val="000000" w:themeColor="text1"/>
          <w:lang w:val="es-CO"/>
        </w:rPr>
        <w:t xml:space="preserve">Una vez determinados la cantidad y el precio de adjudicación de la subasta, </w:t>
      </w: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Q</m:t>
            </m:r>
          </m:e>
          <m:sub>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sub>
          <m:sup>
            <m:r>
              <w:rPr>
                <w:rFonts w:ascii="Cambria Math" w:hAnsi="Cambria Math" w:cs="Arial"/>
                <w:color w:val="000000" w:themeColor="text1"/>
                <w:lang w:val="es-CO"/>
              </w:rPr>
              <m:t>*</m:t>
            </m:r>
          </m:sup>
        </m:sSubSup>
      </m:oMath>
      <w:r w:rsidRPr="0013707D">
        <w:rPr>
          <w:rFonts w:ascii="Bookman Old Style" w:hAnsi="Bookman Old Style" w:cs="Arial"/>
          <w:color w:val="000000" w:themeColor="text1"/>
          <w:lang w:val="es-CO" w:eastAsia="x-none"/>
        </w:rPr>
        <w:t xml:space="preserve"> y </w:t>
      </w:r>
      <m:oMath>
        <m:sSup>
          <m:sSupPr>
            <m:ctrlPr>
              <w:rPr>
                <w:rFonts w:ascii="Cambria Math" w:hAnsi="Cambria Math" w:cs="Arial"/>
                <w:i/>
                <w:color w:val="000000" w:themeColor="text1"/>
                <w:lang w:val="es-CO"/>
              </w:rPr>
            </m:ctrlPr>
          </m:sSupPr>
          <m:e>
            <m:r>
              <w:rPr>
                <w:rFonts w:ascii="Cambria Math" w:hAnsi="Cambria Math" w:cs="Arial"/>
                <w:color w:val="000000" w:themeColor="text1"/>
                <w:lang w:val="es-CO"/>
              </w:rPr>
              <m:t>p</m:t>
            </m:r>
          </m:e>
          <m:sup>
            <m:r>
              <w:rPr>
                <w:rFonts w:ascii="Cambria Math" w:hAnsi="Cambria Math" w:cs="Arial"/>
                <w:color w:val="000000" w:themeColor="text1"/>
                <w:lang w:val="es-CO"/>
              </w:rPr>
              <m:t>*</m:t>
            </m:r>
          </m:sup>
        </m:sSup>
      </m:oMath>
      <w:r w:rsidRPr="0013707D">
        <w:rPr>
          <w:rFonts w:ascii="Bookman Old Style" w:hAnsi="Bookman Old Style" w:cs="Arial"/>
          <w:color w:val="000000" w:themeColor="text1"/>
          <w:lang w:val="es-CO"/>
        </w:rPr>
        <w:t xml:space="preserve">, el subastador dará aplicación a lo establecido en el numeral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_Ref361912232 \n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i</w:t>
      </w:r>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 xml:space="preserve"> anterior para determinar la cantidad que debe adjudicar a cada uno de los compradores y de los vendedores.</w:t>
      </w:r>
    </w:p>
    <w:p w14:paraId="14F04C62" w14:textId="77777777" w:rsidR="0006302B" w:rsidRPr="002B06F1" w:rsidRDefault="0006302B" w:rsidP="0006302B">
      <w:pPr>
        <w:pStyle w:val="Prrafodelista"/>
        <w:rPr>
          <w:rFonts w:ascii="Bookman Old Style" w:hAnsi="Bookman Old Style" w:cs="Arial"/>
          <w:color w:val="000000" w:themeColor="text1"/>
          <w:sz w:val="28"/>
          <w:szCs w:val="28"/>
        </w:rPr>
      </w:pPr>
    </w:p>
    <w:p w14:paraId="61AF0A64" w14:textId="77777777" w:rsidR="0006302B" w:rsidRPr="0013707D" w:rsidRDefault="0006302B" w:rsidP="00A4790E">
      <w:pPr>
        <w:numPr>
          <w:ilvl w:val="0"/>
          <w:numId w:val="55"/>
        </w:numPr>
        <w:ind w:left="1701" w:hanging="567"/>
        <w:contextualSpacing/>
        <w:jc w:val="both"/>
        <w:rPr>
          <w:rFonts w:ascii="Bookman Old Style" w:hAnsi="Bookman Old Style" w:cs="Arial"/>
          <w:color w:val="000000" w:themeColor="text1"/>
          <w:lang w:val="es-CO" w:eastAsia="x-none"/>
        </w:rPr>
      </w:pPr>
      <w:r w:rsidRPr="0013707D">
        <w:rPr>
          <w:rFonts w:ascii="Bookman Old Style" w:hAnsi="Bookman Old Style" w:cs="Arial"/>
          <w:color w:val="000000" w:themeColor="text1"/>
          <w:lang w:val="es-CO" w:eastAsia="x-none"/>
        </w:rPr>
        <w:t>Si las dos (2) curvas no tienen ningún punto en común, la cantidad total adjudicada será cero (0).</w:t>
      </w:r>
    </w:p>
    <w:p w14:paraId="132E806A" w14:textId="77777777" w:rsidR="0006302B" w:rsidRPr="002B06F1" w:rsidRDefault="0006302B" w:rsidP="0006302B">
      <w:pPr>
        <w:ind w:left="0"/>
        <w:jc w:val="both"/>
        <w:rPr>
          <w:rFonts w:ascii="Bookman Old Style" w:hAnsi="Bookman Old Style"/>
          <w:bCs/>
          <w:color w:val="000000" w:themeColor="text1"/>
          <w:sz w:val="28"/>
          <w:szCs w:val="28"/>
          <w:lang w:val="es-CO" w:eastAsia="x-none"/>
        </w:rPr>
      </w:pPr>
    </w:p>
    <w:p w14:paraId="7A010D10" w14:textId="77777777" w:rsidR="0006302B" w:rsidRPr="0013707D" w:rsidRDefault="0006302B" w:rsidP="00A4790E">
      <w:pPr>
        <w:numPr>
          <w:ilvl w:val="0"/>
          <w:numId w:val="47"/>
        </w:numPr>
        <w:autoSpaceDE w:val="0"/>
        <w:autoSpaceDN w:val="0"/>
        <w:adjustRightInd w:val="0"/>
        <w:ind w:left="1134" w:hanging="567"/>
        <w:jc w:val="both"/>
        <w:rPr>
          <w:rFonts w:ascii="Bookman Old Style" w:hAnsi="Bookman Old Style" w:cs="Arial"/>
          <w:color w:val="000000" w:themeColor="text1"/>
          <w:lang w:val="es-CO"/>
        </w:rPr>
      </w:pPr>
      <w:r w:rsidRPr="0013707D">
        <w:rPr>
          <w:rFonts w:ascii="Bookman Old Style" w:hAnsi="Bookman Old Style"/>
          <w:color w:val="000000" w:themeColor="text1"/>
          <w:lang w:val="es-CO"/>
        </w:rPr>
        <w:t>Tras la terminación de la subasta, una vez adjudicadas las cantidades a los compradores y a los vendedores, el administrador de las subastas definirá las partes de los contratos buscando minimizar el número de los mismos. Para estos efectos el administrador de las subastas:</w:t>
      </w:r>
    </w:p>
    <w:p w14:paraId="155F259D" w14:textId="77777777" w:rsidR="0006302B" w:rsidRPr="002B06F1" w:rsidRDefault="0006302B" w:rsidP="0006302B">
      <w:pPr>
        <w:ind w:left="1701"/>
        <w:jc w:val="both"/>
        <w:rPr>
          <w:rFonts w:ascii="Bookman Old Style" w:hAnsi="Bookman Old Style" w:cs="Arial"/>
          <w:color w:val="000000" w:themeColor="text1"/>
          <w:sz w:val="20"/>
          <w:szCs w:val="28"/>
          <w:lang w:val="es-CO" w:eastAsia="x-none"/>
        </w:rPr>
      </w:pPr>
    </w:p>
    <w:p w14:paraId="7E32A2D1" w14:textId="77777777" w:rsidR="0006302B" w:rsidRPr="0013707D" w:rsidRDefault="0006302B" w:rsidP="00A4790E">
      <w:pPr>
        <w:numPr>
          <w:ilvl w:val="0"/>
          <w:numId w:val="51"/>
        </w:numPr>
        <w:ind w:left="1701" w:hanging="567"/>
        <w:contextualSpacing/>
        <w:jc w:val="both"/>
        <w:rPr>
          <w:rFonts w:ascii="Bookman Old Style" w:hAnsi="Bookman Old Style" w:cs="Arial"/>
          <w:color w:val="000000" w:themeColor="text1"/>
          <w:lang w:val="es-CO"/>
        </w:rPr>
      </w:pPr>
      <w:bookmarkStart w:id="169" w:name="_Ref361922251"/>
      <w:r w:rsidRPr="0013707D">
        <w:rPr>
          <w:rFonts w:ascii="Bookman Old Style" w:hAnsi="Bookman Old Style" w:cs="Arial"/>
          <w:color w:val="000000" w:themeColor="text1"/>
          <w:lang w:val="es-CO"/>
        </w:rPr>
        <w:t xml:space="preserve">Hará una lista de los vendedores </w:t>
      </w:r>
      <m:oMath>
        <m:r>
          <w:rPr>
            <w:rFonts w:ascii="Cambria Math" w:hAnsi="Cambria Math" w:cs="Arial"/>
            <w:color w:val="000000" w:themeColor="text1"/>
            <w:lang w:val="es-CO"/>
          </w:rPr>
          <m:t>s</m:t>
        </m:r>
      </m:oMath>
      <w:r w:rsidRPr="0013707D">
        <w:rPr>
          <w:rFonts w:ascii="Bookman Old Style" w:hAnsi="Bookman Old Style" w:cs="Arial"/>
          <w:color w:val="000000" w:themeColor="text1"/>
          <w:lang w:val="es-CO"/>
        </w:rPr>
        <w:t xml:space="preserve"> del producto </w:t>
      </w: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oMath>
      <w:r w:rsidRPr="0013707D">
        <w:rPr>
          <w:rFonts w:ascii="Bookman Old Style" w:hAnsi="Bookman Old Style" w:cs="Arial"/>
          <w:color w:val="000000" w:themeColor="text1"/>
          <w:lang w:val="es-CO"/>
        </w:rPr>
        <w:t xml:space="preserve"> dejando en el primer lugar a aquel con la mayor cantidad asignada para la venta y en el último lugar a aquel con la menor cantidad asignada para la venta.</w:t>
      </w:r>
      <w:bookmarkEnd w:id="169"/>
    </w:p>
    <w:p w14:paraId="779D2143" w14:textId="77777777" w:rsidR="0006302B" w:rsidRPr="002B06F1" w:rsidRDefault="0006302B" w:rsidP="0006302B">
      <w:pPr>
        <w:autoSpaceDE w:val="0"/>
        <w:autoSpaceDN w:val="0"/>
        <w:adjustRightInd w:val="0"/>
        <w:ind w:left="1701" w:hanging="567"/>
        <w:jc w:val="both"/>
        <w:rPr>
          <w:rFonts w:ascii="Bookman Old Style" w:hAnsi="Bookman Old Style" w:cs="Arial"/>
          <w:color w:val="000000" w:themeColor="text1"/>
          <w:sz w:val="20"/>
          <w:szCs w:val="28"/>
          <w:lang w:val="es-CO"/>
        </w:rPr>
      </w:pPr>
    </w:p>
    <w:p w14:paraId="6211F28F" w14:textId="77777777" w:rsidR="0006302B" w:rsidRPr="0013707D" w:rsidRDefault="0006302B" w:rsidP="00A4790E">
      <w:pPr>
        <w:numPr>
          <w:ilvl w:val="0"/>
          <w:numId w:val="51"/>
        </w:numPr>
        <w:ind w:left="1701" w:hanging="567"/>
        <w:contextualSpacing/>
        <w:jc w:val="both"/>
        <w:rPr>
          <w:rFonts w:ascii="Bookman Old Style" w:hAnsi="Bookman Old Style" w:cs="Arial"/>
          <w:color w:val="000000" w:themeColor="text1"/>
          <w:lang w:val="es-CO"/>
        </w:rPr>
      </w:pPr>
      <w:bookmarkStart w:id="170" w:name="_Ref361922256"/>
      <w:r w:rsidRPr="0013707D">
        <w:rPr>
          <w:rFonts w:ascii="Bookman Old Style" w:hAnsi="Bookman Old Style" w:cs="Arial"/>
          <w:color w:val="000000" w:themeColor="text1"/>
          <w:lang w:val="es-CO"/>
        </w:rPr>
        <w:t xml:space="preserve">Hará una lista de los compradores </w:t>
      </w:r>
      <m:oMath>
        <m:r>
          <w:rPr>
            <w:rFonts w:ascii="Cambria Math" w:hAnsi="Cambria Math" w:cs="Arial"/>
            <w:color w:val="000000" w:themeColor="text1"/>
            <w:lang w:val="es-CO"/>
          </w:rPr>
          <m:t>j</m:t>
        </m:r>
      </m:oMath>
      <w:r w:rsidRPr="0013707D">
        <w:rPr>
          <w:rFonts w:ascii="Bookman Old Style" w:hAnsi="Bookman Old Style" w:cs="Arial"/>
          <w:color w:val="000000" w:themeColor="text1"/>
          <w:lang w:val="es-CO"/>
        </w:rPr>
        <w:t xml:space="preserve"> del producto </w:t>
      </w: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oMath>
      <w:r w:rsidRPr="0013707D">
        <w:rPr>
          <w:rFonts w:ascii="Bookman Old Style" w:hAnsi="Bookman Old Style" w:cs="Arial"/>
          <w:color w:val="000000" w:themeColor="text1"/>
          <w:lang w:val="es-CO" w:eastAsia="en-US"/>
        </w:rPr>
        <w:t xml:space="preserve"> </w:t>
      </w:r>
      <w:r w:rsidRPr="0013707D">
        <w:rPr>
          <w:rFonts w:ascii="Bookman Old Style" w:hAnsi="Bookman Old Style" w:cs="Arial"/>
          <w:color w:val="000000" w:themeColor="text1"/>
          <w:lang w:val="es-CO"/>
        </w:rPr>
        <w:t>dejando en el primer lugar a aquel con la mayor cantidad asignada para la compra y en el último lugar a aquel con la menor cantidad asignada para la compra.</w:t>
      </w:r>
      <w:bookmarkEnd w:id="170"/>
    </w:p>
    <w:p w14:paraId="65935574" w14:textId="77777777" w:rsidR="0006302B" w:rsidRPr="002B06F1" w:rsidRDefault="0006302B" w:rsidP="0006302B">
      <w:pPr>
        <w:pStyle w:val="Prrafodelista"/>
        <w:ind w:left="1701" w:hanging="567"/>
        <w:rPr>
          <w:rFonts w:ascii="Bookman Old Style" w:hAnsi="Bookman Old Style" w:cs="Arial"/>
          <w:color w:val="000000" w:themeColor="text1"/>
          <w:sz w:val="28"/>
          <w:szCs w:val="28"/>
        </w:rPr>
      </w:pPr>
    </w:p>
    <w:p w14:paraId="6042267E" w14:textId="7EA66390" w:rsidR="0006302B" w:rsidRPr="0013707D" w:rsidRDefault="0006302B" w:rsidP="00A4790E">
      <w:pPr>
        <w:numPr>
          <w:ilvl w:val="0"/>
          <w:numId w:val="51"/>
        </w:numPr>
        <w:ind w:left="1701" w:hanging="567"/>
        <w:contextualSpacing/>
        <w:jc w:val="both"/>
        <w:rPr>
          <w:rFonts w:ascii="Bookman Old Style" w:hAnsi="Bookman Old Style" w:cs="Arial"/>
          <w:color w:val="000000" w:themeColor="text1"/>
          <w:lang w:val="es-CO"/>
        </w:rPr>
      </w:pPr>
      <w:r w:rsidRPr="0013707D">
        <w:rPr>
          <w:rFonts w:ascii="Bookman Old Style" w:hAnsi="Bookman Old Style" w:cs="Arial"/>
          <w:color w:val="000000" w:themeColor="text1"/>
          <w:lang w:val="es-CO"/>
        </w:rPr>
        <w:t xml:space="preserve">Con base en estas listas determinará las partes de los contratos. El primer comprador de la lista celebrará un contrato con el primer vendedor de la lista. Los siguientes compradores en la lista celebrarán contratos con los vendedores con las mayores cantidades residuales del producto </w:t>
      </w: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oMath>
      <w:r w:rsidRPr="0013707D">
        <w:rPr>
          <w:rFonts w:ascii="Bookman Old Style" w:hAnsi="Bookman Old Style" w:cs="Arial"/>
          <w:color w:val="000000" w:themeColor="text1"/>
          <w:lang w:val="es-CO"/>
        </w:rPr>
        <w:t xml:space="preserve">. Si a un comprador se le asignó una cantidad mayor a la asignada al respectivo vendedor, el </w:t>
      </w:r>
      <w:r w:rsidRPr="0013707D">
        <w:rPr>
          <w:rFonts w:ascii="Bookman Old Style" w:hAnsi="Bookman Old Style"/>
          <w:color w:val="000000" w:themeColor="text1"/>
          <w:lang w:val="es-CO"/>
        </w:rPr>
        <w:t>administrador de las subastas</w:t>
      </w:r>
      <w:r w:rsidRPr="0013707D">
        <w:rPr>
          <w:rFonts w:ascii="Bookman Old Style" w:hAnsi="Bookman Old Style" w:cs="Arial"/>
          <w:color w:val="000000" w:themeColor="text1"/>
          <w:lang w:val="es-CO"/>
        </w:rPr>
        <w:t xml:space="preserve"> determinará sus contrapartes buscando minimizar el número de contratos mediante los pasos de los numerales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_Ref361922251 \r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r w:rsidR="00636B6A">
        <w:rPr>
          <w:rFonts w:ascii="Bookman Old Style" w:hAnsi="Bookman Old Style" w:cs="Arial"/>
          <w:color w:val="000000" w:themeColor="text1"/>
          <w:lang w:val="es-CO"/>
        </w:rPr>
        <w:t>i</w:t>
      </w:r>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 xml:space="preserve"> y </w:t>
      </w:r>
      <w:r w:rsidRPr="0013707D">
        <w:rPr>
          <w:rFonts w:ascii="Bookman Old Style" w:hAnsi="Bookman Old Style" w:cs="Arial"/>
          <w:color w:val="000000" w:themeColor="text1"/>
          <w:lang w:val="es-CO"/>
        </w:rPr>
        <w:fldChar w:fldCharType="begin"/>
      </w:r>
      <w:r w:rsidRPr="0013707D">
        <w:rPr>
          <w:rFonts w:ascii="Bookman Old Style" w:hAnsi="Bookman Old Style" w:cs="Arial"/>
          <w:color w:val="000000" w:themeColor="text1"/>
          <w:lang w:val="es-CO"/>
        </w:rPr>
        <w:instrText xml:space="preserve"> REF _Ref361922256 \r \h  \* MERGEFORMAT </w:instrText>
      </w:r>
      <w:r w:rsidRPr="0013707D">
        <w:rPr>
          <w:rFonts w:ascii="Bookman Old Style" w:hAnsi="Bookman Old Style" w:cs="Arial"/>
          <w:color w:val="000000" w:themeColor="text1"/>
          <w:lang w:val="es-CO"/>
        </w:rPr>
      </w:r>
      <w:r w:rsidRPr="0013707D">
        <w:rPr>
          <w:rFonts w:ascii="Bookman Old Style" w:hAnsi="Bookman Old Style" w:cs="Arial"/>
          <w:color w:val="000000" w:themeColor="text1"/>
          <w:lang w:val="es-CO"/>
        </w:rPr>
        <w:fldChar w:fldCharType="separate"/>
      </w:r>
      <w:proofErr w:type="spellStart"/>
      <w:r w:rsidR="00636B6A">
        <w:rPr>
          <w:rFonts w:ascii="Bookman Old Style" w:hAnsi="Bookman Old Style" w:cs="Arial"/>
          <w:color w:val="000000" w:themeColor="text1"/>
          <w:lang w:val="es-CO"/>
        </w:rPr>
        <w:t>ii</w:t>
      </w:r>
      <w:proofErr w:type="spellEnd"/>
      <w:r w:rsidRPr="0013707D">
        <w:rPr>
          <w:rFonts w:ascii="Bookman Old Style" w:hAnsi="Bookman Old Style" w:cs="Arial"/>
          <w:color w:val="000000" w:themeColor="text1"/>
          <w:lang w:val="es-CO"/>
        </w:rPr>
        <w:fldChar w:fldCharType="end"/>
      </w:r>
      <w:r w:rsidRPr="0013707D">
        <w:rPr>
          <w:rFonts w:ascii="Bookman Old Style" w:hAnsi="Bookman Old Style" w:cs="Arial"/>
          <w:color w:val="000000" w:themeColor="text1"/>
          <w:lang w:val="es-CO"/>
        </w:rPr>
        <w:t xml:space="preserve"> anteriores.</w:t>
      </w:r>
    </w:p>
    <w:p w14:paraId="64CBAA6E" w14:textId="77777777" w:rsidR="0006302B" w:rsidRPr="002B06F1" w:rsidRDefault="0006302B" w:rsidP="0006302B">
      <w:pPr>
        <w:ind w:left="1134"/>
        <w:rPr>
          <w:rFonts w:ascii="Bookman Old Style" w:hAnsi="Bookman Old Style"/>
          <w:color w:val="000000" w:themeColor="text1"/>
          <w:sz w:val="28"/>
          <w:szCs w:val="28"/>
          <w:lang w:val="es-CO"/>
        </w:rPr>
      </w:pPr>
    </w:p>
    <w:p w14:paraId="7456250F" w14:textId="77777777" w:rsidR="0006302B" w:rsidRPr="0013707D" w:rsidRDefault="0006302B" w:rsidP="0006302B">
      <w:pPr>
        <w:ind w:left="1134"/>
        <w:jc w:val="both"/>
        <w:rPr>
          <w:rFonts w:ascii="Bookman Old Style" w:hAnsi="Bookman Old Style"/>
          <w:color w:val="000000" w:themeColor="text1"/>
          <w:lang w:val="es-CO"/>
        </w:rPr>
      </w:pPr>
      <w:r w:rsidRPr="0013707D">
        <w:rPr>
          <w:rFonts w:ascii="Bookman Old Style" w:hAnsi="Bookman Old Style"/>
          <w:color w:val="000000" w:themeColor="text1"/>
          <w:lang w:val="es-CO"/>
        </w:rPr>
        <w:t xml:space="preserve">Una vez surtido este proceso, el administrador de las subastas expedirá los correspondientes certificados de asignación de los productos </w:t>
      </w:r>
      <m:oMath>
        <m:sSub>
          <m:sSubPr>
            <m:ctrlPr>
              <w:rPr>
                <w:rFonts w:ascii="Cambria Math" w:eastAsia="Calibri" w:hAnsi="Cambria Math"/>
                <w:i/>
                <w:color w:val="000000" w:themeColor="text1"/>
                <w:lang w:val="es-CO" w:eastAsia="en-US"/>
              </w:rPr>
            </m:ctrlPr>
          </m:sSubPr>
          <m:e>
            <m:r>
              <w:rPr>
                <w:rFonts w:ascii="Cambria Math" w:eastAsia="Calibri" w:hAnsi="Cambria Math"/>
                <w:color w:val="000000" w:themeColor="text1"/>
                <w:lang w:val="es-CO" w:eastAsia="en-US"/>
              </w:rPr>
              <m:t>E</m:t>
            </m:r>
          </m:e>
          <m:sub>
            <m:r>
              <w:rPr>
                <w:rFonts w:ascii="Cambria Math" w:eastAsia="Calibri" w:hAnsi="Cambria Math"/>
                <w:color w:val="000000" w:themeColor="text1"/>
                <w:lang w:val="es-CO" w:eastAsia="en-US"/>
              </w:rPr>
              <m:t>e</m:t>
            </m:r>
          </m:sub>
        </m:sSub>
      </m:oMath>
      <w:r w:rsidRPr="0013707D">
        <w:rPr>
          <w:rFonts w:ascii="Bookman Old Style" w:hAnsi="Bookman Old Style"/>
          <w:color w:val="000000" w:themeColor="text1"/>
          <w:lang w:val="es-CO"/>
        </w:rPr>
        <w:t>.</w:t>
      </w:r>
    </w:p>
    <w:p w14:paraId="27D8AE41" w14:textId="77777777" w:rsidR="0006302B" w:rsidRPr="002B06F1" w:rsidRDefault="0006302B" w:rsidP="0006302B">
      <w:pPr>
        <w:pStyle w:val="Prrafodelista"/>
        <w:ind w:left="2433"/>
        <w:rPr>
          <w:rFonts w:ascii="Bookman Old Style" w:hAnsi="Bookman Old Style"/>
          <w:color w:val="000000" w:themeColor="text1"/>
          <w:szCs w:val="28"/>
        </w:rPr>
      </w:pPr>
    </w:p>
    <w:p w14:paraId="3EA1CC8E" w14:textId="77777777" w:rsidR="0006302B" w:rsidRDefault="0006302B" w:rsidP="00A4790E">
      <w:pPr>
        <w:pStyle w:val="Prrafodelista"/>
        <w:keepNext/>
        <w:numPr>
          <w:ilvl w:val="1"/>
          <w:numId w:val="83"/>
        </w:numPr>
        <w:ind w:left="567" w:hanging="567"/>
        <w:rPr>
          <w:rFonts w:ascii="Bookman Old Style" w:hAnsi="Bookman Old Style"/>
          <w:color w:val="000000" w:themeColor="text1"/>
          <w:sz w:val="24"/>
          <w:szCs w:val="24"/>
        </w:rPr>
      </w:pPr>
      <w:bookmarkStart w:id="171" w:name="_Ref336942048"/>
      <w:r w:rsidRPr="0013707D">
        <w:rPr>
          <w:rFonts w:ascii="Bookman Old Style" w:hAnsi="Bookman Old Style"/>
          <w:color w:val="000000" w:themeColor="text1"/>
          <w:sz w:val="24"/>
          <w:szCs w:val="24"/>
        </w:rPr>
        <w:t>Información de los resultados de las subasta</w:t>
      </w:r>
      <w:bookmarkEnd w:id="171"/>
      <w:r w:rsidRPr="0013707D">
        <w:rPr>
          <w:rFonts w:ascii="Bookman Old Style" w:hAnsi="Bookman Old Style"/>
          <w:color w:val="000000" w:themeColor="text1"/>
          <w:sz w:val="24"/>
          <w:szCs w:val="24"/>
        </w:rPr>
        <w:t>s</w:t>
      </w:r>
    </w:p>
    <w:p w14:paraId="60312E5D" w14:textId="77777777" w:rsidR="0006302B" w:rsidRDefault="0006302B" w:rsidP="0006302B">
      <w:pPr>
        <w:pStyle w:val="Prrafodelista"/>
        <w:keepNext/>
        <w:ind w:left="567"/>
        <w:rPr>
          <w:rFonts w:ascii="Bookman Old Style" w:hAnsi="Bookman Old Style"/>
          <w:color w:val="000000" w:themeColor="text1"/>
          <w:sz w:val="24"/>
          <w:szCs w:val="24"/>
        </w:rPr>
      </w:pPr>
    </w:p>
    <w:p w14:paraId="59CC8A43" w14:textId="77777777" w:rsidR="0006302B" w:rsidRPr="0013707D" w:rsidRDefault="0006302B" w:rsidP="0006302B">
      <w:pPr>
        <w:autoSpaceDE w:val="0"/>
        <w:autoSpaceDN w:val="0"/>
        <w:adjustRightInd w:val="0"/>
        <w:ind w:left="0"/>
        <w:jc w:val="both"/>
        <w:rPr>
          <w:rFonts w:ascii="Bookman Old Style" w:hAnsi="Bookman Old Style"/>
          <w:bCs/>
          <w:color w:val="000000" w:themeColor="text1"/>
          <w:lang w:val="es-CO" w:eastAsia="x-none"/>
        </w:rPr>
      </w:pPr>
      <w:r w:rsidRPr="0013707D">
        <w:rPr>
          <w:rFonts w:ascii="Bookman Old Style" w:hAnsi="Bookman Old Style" w:cs="Arial"/>
          <w:color w:val="000000" w:themeColor="text1"/>
          <w:lang w:val="es-CO"/>
        </w:rPr>
        <w:t>A</w:t>
      </w:r>
      <w:r w:rsidRPr="0013707D">
        <w:rPr>
          <w:rFonts w:ascii="Bookman Old Style" w:hAnsi="Bookman Old Style"/>
          <w:bCs/>
          <w:color w:val="000000" w:themeColor="text1"/>
          <w:lang w:val="es-CO" w:eastAsia="x-none"/>
        </w:rPr>
        <w:t xml:space="preserve"> más tardar a las 17:00 horas del Día D-1 el administrador de las subastas informará a los compradores y a los vendedores el resultado de las mismas.</w:t>
      </w:r>
    </w:p>
    <w:p w14:paraId="16E11C6F" w14:textId="77777777" w:rsidR="0006302B" w:rsidRDefault="0006302B" w:rsidP="0006302B">
      <w:pPr>
        <w:ind w:left="0"/>
        <w:rPr>
          <w:rFonts w:ascii="Bookman Old Style" w:hAnsi="Bookman Old Style"/>
          <w:lang w:val="es-CO"/>
        </w:rPr>
      </w:pPr>
    </w:p>
    <w:p w14:paraId="550C9DF9" w14:textId="77777777" w:rsidR="0006302B" w:rsidRDefault="0006302B" w:rsidP="0006302B">
      <w:pPr>
        <w:ind w:left="0"/>
        <w:rPr>
          <w:rFonts w:ascii="Bookman Old Style" w:hAnsi="Bookman Old Style"/>
          <w:lang w:val="es-CO"/>
        </w:rPr>
      </w:pPr>
    </w:p>
    <w:p w14:paraId="552A2ACE" w14:textId="77777777" w:rsidR="0006302B" w:rsidRDefault="0006302B" w:rsidP="0006302B">
      <w:pPr>
        <w:tabs>
          <w:tab w:val="left" w:pos="1478"/>
        </w:tabs>
        <w:ind w:left="0"/>
        <w:rPr>
          <w:rFonts w:ascii="Bookman Old Style" w:hAnsi="Bookman Old Style" w:cs="Arial"/>
          <w:color w:val="000000" w:themeColor="text1"/>
          <w:lang w:val="es-CO"/>
        </w:rPr>
      </w:pPr>
    </w:p>
    <w:p w14:paraId="3EC3B51C" w14:textId="77777777" w:rsidR="00FE3FA1" w:rsidRDefault="00FE3FA1">
      <w:pPr>
        <w:ind w:left="0"/>
        <w:rPr>
          <w:rFonts w:ascii="Bookman Old Style" w:hAnsi="Bookman Old Style"/>
          <w:b/>
          <w:color w:val="000000" w:themeColor="text1"/>
          <w:szCs w:val="20"/>
          <w:lang w:val="es-CO"/>
        </w:rPr>
      </w:pPr>
      <w:bookmarkStart w:id="172" w:name="_Ref442880148"/>
      <w:r>
        <w:rPr>
          <w:rFonts w:ascii="Bookman Old Style" w:hAnsi="Bookman Old Style"/>
          <w:color w:val="000000" w:themeColor="text1"/>
        </w:rPr>
        <w:br w:type="page"/>
      </w:r>
    </w:p>
    <w:p w14:paraId="2C1F0E75" w14:textId="1EABC57B" w:rsidR="0006302B" w:rsidRPr="0013707D" w:rsidRDefault="0006302B" w:rsidP="0006302B">
      <w:pPr>
        <w:pStyle w:val="Ttulo1"/>
        <w:ind w:left="0"/>
        <w:rPr>
          <w:rFonts w:ascii="Bookman Old Style" w:hAnsi="Bookman Old Style"/>
          <w:color w:val="000000" w:themeColor="text1"/>
          <w:szCs w:val="24"/>
        </w:rPr>
      </w:pPr>
      <w:r w:rsidRPr="0013707D">
        <w:rPr>
          <w:rFonts w:ascii="Bookman Old Style" w:hAnsi="Bookman Old Style"/>
          <w:color w:val="000000" w:themeColor="text1"/>
        </w:rPr>
        <w:lastRenderedPageBreak/>
        <w:t xml:space="preserve">Anexo </w:t>
      </w:r>
      <w:r>
        <w:rPr>
          <w:rFonts w:ascii="Bookman Old Style" w:hAnsi="Bookman Old Style"/>
          <w:color w:val="000000" w:themeColor="text1"/>
        </w:rPr>
        <w:t>5</w:t>
      </w:r>
      <w:bookmarkEnd w:id="172"/>
    </w:p>
    <w:p w14:paraId="3E7A61CA" w14:textId="77777777" w:rsidR="0006302B" w:rsidRPr="0013707D" w:rsidRDefault="0006302B" w:rsidP="0006302B">
      <w:pPr>
        <w:ind w:left="425"/>
        <w:jc w:val="center"/>
        <w:rPr>
          <w:rFonts w:ascii="Bookman Old Style" w:hAnsi="Bookman Old Style"/>
          <w:b/>
          <w:color w:val="000000" w:themeColor="text1"/>
          <w:lang w:val="es-CO"/>
        </w:rPr>
      </w:pPr>
      <w:r w:rsidRPr="0013707D">
        <w:rPr>
          <w:rFonts w:ascii="Bookman Old Style" w:hAnsi="Bookman Old Style"/>
          <w:b/>
          <w:color w:val="000000" w:themeColor="text1"/>
          <w:lang w:val="es-CO"/>
        </w:rPr>
        <w:t xml:space="preserve">Oferta comprometida </w:t>
      </w:r>
      <w:r>
        <w:rPr>
          <w:rFonts w:ascii="Bookman Old Style" w:hAnsi="Bookman Old Style"/>
          <w:b/>
          <w:color w:val="000000" w:themeColor="text1"/>
          <w:lang w:val="es-CO"/>
        </w:rPr>
        <w:t>total con garantía de firmeza - OCTGF</w:t>
      </w:r>
    </w:p>
    <w:p w14:paraId="78066091" w14:textId="77777777" w:rsidR="0006302B" w:rsidRPr="0013707D" w:rsidRDefault="0006302B" w:rsidP="0006302B">
      <w:pPr>
        <w:ind w:left="425"/>
        <w:jc w:val="center"/>
        <w:rPr>
          <w:rFonts w:ascii="Bookman Old Style" w:hAnsi="Bookman Old Style"/>
          <w:b/>
          <w:color w:val="000000" w:themeColor="text1"/>
          <w:lang w:val="es-CO"/>
        </w:rPr>
      </w:pPr>
    </w:p>
    <w:p w14:paraId="02E7D62D" w14:textId="77777777" w:rsidR="007B1F69" w:rsidRPr="0013707D" w:rsidRDefault="007B1F69" w:rsidP="007B1F69">
      <w:pPr>
        <w:pStyle w:val="ARTICULOS"/>
        <w:numPr>
          <w:ilvl w:val="0"/>
          <w:numId w:val="0"/>
        </w:numPr>
        <w:tabs>
          <w:tab w:val="clear" w:pos="1559"/>
          <w:tab w:val="left" w:pos="1560"/>
        </w:tabs>
        <w:ind w:left="425"/>
        <w:rPr>
          <w:rFonts w:cs="Arial"/>
          <w:color w:val="000000" w:themeColor="text1"/>
          <w:lang w:val="es-CO"/>
        </w:rPr>
      </w:pPr>
      <w:r w:rsidRPr="0013707D">
        <w:rPr>
          <w:rFonts w:cs="Arial"/>
          <w:color w:val="000000" w:themeColor="text1"/>
          <w:lang w:val="es-CO"/>
        </w:rPr>
        <w:t xml:space="preserve">Para calcular la oferta comprometida firme </w:t>
      </w:r>
      <w:r w:rsidRPr="003E5827">
        <w:rPr>
          <w:rFonts w:cs="Arial"/>
          <w:b/>
          <w:bCs w:val="0"/>
          <w:color w:val="000000" w:themeColor="text1"/>
          <w:lang w:val="es-CO"/>
        </w:rPr>
        <w:t xml:space="preserve">para cada </w:t>
      </w:r>
      <w:r>
        <w:rPr>
          <w:rFonts w:cs="Arial"/>
          <w:b/>
          <w:bCs w:val="0"/>
          <w:color w:val="000000" w:themeColor="text1"/>
          <w:lang w:val="es-CO"/>
        </w:rPr>
        <w:t xml:space="preserve">uno de los sesenta (60) </w:t>
      </w:r>
      <w:r w:rsidRPr="003E5827">
        <w:rPr>
          <w:rFonts w:cs="Arial"/>
          <w:b/>
          <w:bCs w:val="0"/>
          <w:color w:val="000000" w:themeColor="text1"/>
          <w:lang w:val="es-CO"/>
        </w:rPr>
        <w:t>mes</w:t>
      </w:r>
      <w:r>
        <w:rPr>
          <w:rFonts w:cs="Arial"/>
          <w:b/>
          <w:bCs w:val="0"/>
          <w:color w:val="000000" w:themeColor="text1"/>
          <w:lang w:val="es-CO"/>
        </w:rPr>
        <w:t>es siguientes</w:t>
      </w:r>
      <w:r>
        <w:rPr>
          <w:rFonts w:cs="Arial"/>
          <w:color w:val="000000" w:themeColor="text1"/>
          <w:lang w:val="es-CO"/>
        </w:rPr>
        <w:t xml:space="preserve">, </w:t>
      </w:r>
      <w:r w:rsidRPr="0013707D">
        <w:rPr>
          <w:rFonts w:cs="Arial"/>
          <w:color w:val="000000" w:themeColor="text1"/>
          <w:lang w:val="es-CO"/>
        </w:rPr>
        <w:t>se utilizará la siguiente ecuación</w:t>
      </w:r>
      <w:r>
        <w:rPr>
          <w:rFonts w:cs="Arial"/>
          <w:color w:val="000000" w:themeColor="text1"/>
          <w:lang w:val="es-CO"/>
        </w:rPr>
        <w:t xml:space="preserve"> </w:t>
      </w:r>
      <w:r w:rsidRPr="005C77B3">
        <w:rPr>
          <w:rFonts w:cs="Arial"/>
          <w:b/>
          <w:bCs w:val="0"/>
          <w:color w:val="000000" w:themeColor="text1"/>
          <w:lang w:val="es-CO"/>
        </w:rPr>
        <w:t xml:space="preserve">a aplicar </w:t>
      </w:r>
      <w:r>
        <w:rPr>
          <w:rFonts w:cs="Arial"/>
          <w:b/>
          <w:bCs w:val="0"/>
          <w:color w:val="000000" w:themeColor="text1"/>
          <w:lang w:val="es-CO"/>
        </w:rPr>
        <w:t>tanto</w:t>
      </w:r>
      <w:r w:rsidRPr="005C77B3">
        <w:rPr>
          <w:rFonts w:cs="Arial"/>
          <w:b/>
          <w:bCs w:val="0"/>
          <w:color w:val="000000" w:themeColor="text1"/>
          <w:lang w:val="es-CO"/>
        </w:rPr>
        <w:t xml:space="preserve"> en el caso de las fuentes de suministro</w:t>
      </w:r>
      <w:r>
        <w:rPr>
          <w:rFonts w:cs="Arial"/>
          <w:b/>
          <w:bCs w:val="0"/>
          <w:color w:val="000000" w:themeColor="text1"/>
          <w:lang w:val="es-CO"/>
        </w:rPr>
        <w:t xml:space="preserve"> de los vendedores del mercado primario</w:t>
      </w:r>
      <w:r w:rsidRPr="005C77B3">
        <w:rPr>
          <w:rFonts w:cs="Arial"/>
          <w:b/>
          <w:bCs w:val="0"/>
          <w:color w:val="000000" w:themeColor="text1"/>
          <w:lang w:val="es-CO"/>
        </w:rPr>
        <w:t xml:space="preserve"> </w:t>
      </w:r>
      <w:r>
        <w:rPr>
          <w:rFonts w:cs="Arial"/>
          <w:b/>
          <w:bCs w:val="0"/>
          <w:color w:val="000000" w:themeColor="text1"/>
          <w:lang w:val="es-CO"/>
        </w:rPr>
        <w:t>como en el cas</w:t>
      </w:r>
      <w:r w:rsidRPr="005C77B3">
        <w:rPr>
          <w:rFonts w:cs="Arial"/>
          <w:b/>
          <w:bCs w:val="0"/>
          <w:color w:val="000000" w:themeColor="text1"/>
          <w:lang w:val="es-CO"/>
        </w:rPr>
        <w:t>o</w:t>
      </w:r>
      <w:r>
        <w:rPr>
          <w:rFonts w:cs="Arial"/>
          <w:b/>
          <w:bCs w:val="0"/>
          <w:color w:val="000000" w:themeColor="text1"/>
          <w:lang w:val="es-CO"/>
        </w:rPr>
        <w:t xml:space="preserve"> de los derechos de suministro</w:t>
      </w:r>
      <w:r w:rsidRPr="005C77B3">
        <w:rPr>
          <w:rFonts w:cs="Arial"/>
          <w:b/>
          <w:bCs w:val="0"/>
          <w:color w:val="000000" w:themeColor="text1"/>
          <w:lang w:val="es-CO"/>
        </w:rPr>
        <w:t xml:space="preserve"> </w:t>
      </w:r>
      <w:r>
        <w:rPr>
          <w:rFonts w:cs="Arial"/>
          <w:b/>
          <w:bCs w:val="0"/>
          <w:color w:val="000000" w:themeColor="text1"/>
          <w:lang w:val="es-CO"/>
        </w:rPr>
        <w:t xml:space="preserve">de </w:t>
      </w:r>
      <w:r w:rsidRPr="005C77B3">
        <w:rPr>
          <w:rFonts w:cs="Arial"/>
          <w:b/>
          <w:bCs w:val="0"/>
          <w:color w:val="000000" w:themeColor="text1"/>
          <w:lang w:val="es-CO"/>
        </w:rPr>
        <w:t xml:space="preserve">los </w:t>
      </w:r>
      <w:r>
        <w:rPr>
          <w:rFonts w:cs="Arial"/>
          <w:b/>
          <w:bCs w:val="0"/>
          <w:color w:val="000000" w:themeColor="text1"/>
          <w:lang w:val="es-CO"/>
        </w:rPr>
        <w:t>vendedores del mercado secundario</w:t>
      </w:r>
      <w:r w:rsidRPr="0013707D">
        <w:rPr>
          <w:rFonts w:cs="Arial"/>
          <w:color w:val="000000" w:themeColor="text1"/>
          <w:lang w:val="es-CO"/>
        </w:rPr>
        <w:t xml:space="preserve">: </w:t>
      </w:r>
    </w:p>
    <w:p w14:paraId="131039F1" w14:textId="77777777" w:rsidR="007B1F69" w:rsidRPr="00472E28" w:rsidRDefault="007B1F69" w:rsidP="007B1F69">
      <w:pPr>
        <w:ind w:left="0"/>
        <w:jc w:val="both"/>
        <w:rPr>
          <w:rFonts w:ascii="Bookman Old Style" w:hAnsi="Bookman Old Style"/>
          <w:color w:val="000000" w:themeColor="text1"/>
          <w:lang w:val="es-CO"/>
        </w:rPr>
      </w:pPr>
    </w:p>
    <w:p w14:paraId="708B91DD" w14:textId="77777777" w:rsidR="007B1F69" w:rsidRPr="00472E28" w:rsidRDefault="00FB7B28" w:rsidP="007B1F69">
      <w:pPr>
        <w:pStyle w:val="ARTICULOS"/>
        <w:numPr>
          <w:ilvl w:val="0"/>
          <w:numId w:val="0"/>
        </w:numPr>
        <w:tabs>
          <w:tab w:val="left" w:pos="1985"/>
        </w:tabs>
        <w:ind w:left="426"/>
        <w:rPr>
          <w:rFonts w:cs="Arial"/>
          <w:color w:val="000000" w:themeColor="text1"/>
          <w:sz w:val="19"/>
          <w:szCs w:val="19"/>
          <w:lang w:val="es-CO"/>
        </w:rPr>
      </w:pPr>
      <m:oMath>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OCF</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,v,m</m:t>
            </m:r>
          </m:sub>
        </m:sSub>
        <m:r>
          <w:rPr>
            <w:rFonts w:ascii="Cambria Math" w:hAnsi="Cambria Math" w:cs="Arial"/>
            <w:color w:val="000000" w:themeColor="text1"/>
            <w:sz w:val="22"/>
            <w:szCs w:val="19"/>
            <w:lang w:val="es-CO"/>
          </w:rPr>
          <m:t>=</m:t>
        </m:r>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CF</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e>
        </m:nary>
        <m:r>
          <w:rPr>
            <w:rFonts w:ascii="Cambria Math" w:hAnsi="Cambria Math" w:cs="Arial"/>
            <w:color w:val="000000" w:themeColor="text1"/>
            <w:sz w:val="22"/>
            <w:szCs w:val="19"/>
            <w:lang w:val="es-CO"/>
          </w:rPr>
          <m:t xml:space="preserve"> +</m:t>
        </m:r>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CF95</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e>
        </m:nary>
        <m:r>
          <w:rPr>
            <w:rFonts w:ascii="Cambria Math" w:hAnsi="Cambria Math" w:cs="Arial"/>
            <w:color w:val="000000" w:themeColor="text1"/>
            <w:sz w:val="22"/>
            <w:szCs w:val="19"/>
            <w:lang w:val="es-CO"/>
          </w:rPr>
          <m:t>+</m:t>
        </m:r>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CF80</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e>
        </m:nary>
        <m:r>
          <w:rPr>
            <w:rFonts w:ascii="Cambria Math" w:hAnsi="Cambria Math" w:cs="Arial"/>
            <w:color w:val="000000" w:themeColor="text1"/>
            <w:sz w:val="22"/>
            <w:szCs w:val="19"/>
            <w:lang w:val="es-CO"/>
          </w:rPr>
          <m:t xml:space="preserve">+ max </m:t>
        </m:r>
        <m:d>
          <m:dPr>
            <m:begChr m:val="|"/>
            <m:endChr m:val="|"/>
            <m:ctrlPr>
              <w:rPr>
                <w:rFonts w:ascii="Cambria Math" w:hAnsi="Cambria Math" w:cs="Arial"/>
                <w:i/>
                <w:color w:val="000000" w:themeColor="text1"/>
                <w:sz w:val="22"/>
                <w:szCs w:val="19"/>
                <w:lang w:val="es-CO"/>
              </w:rPr>
            </m:ctrlPr>
          </m:dPr>
          <m:e>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CFC</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r>
                  <w:rPr>
                    <w:rFonts w:ascii="Cambria Math" w:hAnsi="Cambria Math" w:cs="Arial"/>
                    <w:color w:val="000000" w:themeColor="text1"/>
                    <w:sz w:val="22"/>
                    <w:szCs w:val="19"/>
                    <w:lang w:val="es-CO"/>
                  </w:rPr>
                  <m:t>;</m:t>
                </m:r>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OCG</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e>
                </m:nary>
              </m:e>
            </m:nary>
          </m:e>
        </m:d>
        <m:r>
          <w:rPr>
            <w:rFonts w:ascii="Cambria Math" w:hAnsi="Cambria Math" w:cs="Arial"/>
            <w:color w:val="000000" w:themeColor="text1"/>
            <w:sz w:val="22"/>
            <w:szCs w:val="19"/>
            <w:lang w:val="es-CO"/>
          </w:rPr>
          <m:t xml:space="preserve">+ </m:t>
        </m:r>
        <m:nary>
          <m:naryPr>
            <m:chr m:val="∑"/>
            <m:limLoc m:val="undOvr"/>
            <m:ctrlPr>
              <w:rPr>
                <w:rFonts w:ascii="Cambria Math" w:hAnsi="Cambria Math" w:cs="Arial"/>
                <w:i/>
                <w:color w:val="000000" w:themeColor="text1"/>
                <w:sz w:val="22"/>
                <w:szCs w:val="19"/>
                <w:lang w:val="es-CO"/>
              </w:rPr>
            </m:ctrlPr>
          </m:naryPr>
          <m:sub>
            <m:r>
              <w:rPr>
                <w:rFonts w:ascii="Cambria Math" w:hAnsi="Cambria Math" w:cs="Arial"/>
                <w:color w:val="000000" w:themeColor="text1"/>
                <w:sz w:val="22"/>
                <w:szCs w:val="19"/>
                <w:lang w:val="es-CO"/>
              </w:rPr>
              <m:t>1</m:t>
            </m:r>
          </m:sub>
          <m:sup>
            <m:r>
              <w:rPr>
                <w:rFonts w:ascii="Cambria Math" w:hAnsi="Cambria Math" w:cs="Arial"/>
                <w:color w:val="000000" w:themeColor="text1"/>
                <w:sz w:val="22"/>
                <w:szCs w:val="19"/>
                <w:lang w:val="es-CO"/>
              </w:rPr>
              <m:t>c</m:t>
            </m:r>
          </m:sup>
          <m:e>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m:t>
                </m:r>
              </m:e>
              <m:sub>
                <m:sSub>
                  <m:sSubPr>
                    <m:ctrlPr>
                      <w:rPr>
                        <w:rFonts w:ascii="Cambria Math" w:hAnsi="Cambria Math" w:cs="Arial"/>
                        <w:i/>
                        <w:color w:val="000000" w:themeColor="text1"/>
                        <w:sz w:val="22"/>
                        <w:szCs w:val="19"/>
                        <w:lang w:val="es-CO"/>
                      </w:rPr>
                    </m:ctrlPr>
                  </m:sSubPr>
                  <m:e>
                    <m:r>
                      <w:rPr>
                        <w:rFonts w:ascii="Cambria Math" w:hAnsi="Cambria Math" w:cs="Arial"/>
                        <w:color w:val="000000" w:themeColor="text1"/>
                        <w:sz w:val="22"/>
                        <w:szCs w:val="19"/>
                        <w:lang w:val="es-CO"/>
                      </w:rPr>
                      <m:t>OCGX</m:t>
                    </m:r>
                  </m:e>
                  <m:sub>
                    <m:r>
                      <w:rPr>
                        <w:rFonts w:ascii="Cambria Math" w:hAnsi="Cambria Math" w:cs="Arial"/>
                        <w:color w:val="000000" w:themeColor="text1"/>
                        <w:sz w:val="22"/>
                        <w:szCs w:val="19"/>
                        <w:lang w:val="es-CO"/>
                      </w:rPr>
                      <m:t>f</m:t>
                    </m:r>
                    <m:d>
                      <m:dPr>
                        <m:ctrlPr>
                          <w:rPr>
                            <w:rFonts w:ascii="Cambria Math" w:hAnsi="Cambria Math" w:cs="Arial"/>
                            <w:b/>
                            <w:bCs w:val="0"/>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w:rPr>
                        <w:rFonts w:ascii="Cambria Math" w:hAnsi="Cambria Math" w:cs="Arial"/>
                        <w:color w:val="000000" w:themeColor="text1"/>
                        <w:sz w:val="22"/>
                        <w:szCs w:val="19"/>
                        <w:lang w:val="es-CO"/>
                      </w:rPr>
                      <m:t>,</m:t>
                    </m:r>
                    <m:r>
                      <m:rPr>
                        <m:sty m:val="bi"/>
                      </m:rPr>
                      <w:rPr>
                        <w:rFonts w:ascii="Cambria Math" w:hAnsi="Cambria Math" w:cs="Arial"/>
                        <w:color w:val="000000" w:themeColor="text1"/>
                        <w:sz w:val="22"/>
                        <w:szCs w:val="19"/>
                        <w:lang w:val="es-CO"/>
                      </w:rPr>
                      <m:t>v,c</m:t>
                    </m:r>
                    <m:r>
                      <w:rPr>
                        <w:rFonts w:ascii="Cambria Math" w:hAnsi="Cambria Math" w:cs="Arial"/>
                        <w:color w:val="000000" w:themeColor="text1"/>
                        <w:sz w:val="22"/>
                        <w:szCs w:val="19"/>
                        <w:lang w:val="es-CO"/>
                      </w:rPr>
                      <m:t>,m</m:t>
                    </m:r>
                  </m:sub>
                </m:sSub>
              </m:sub>
            </m:sSub>
          </m:e>
        </m:nary>
      </m:oMath>
      <w:r w:rsidR="007B1F69" w:rsidRPr="00472E28">
        <w:rPr>
          <w:rFonts w:cs="Arial"/>
          <w:color w:val="000000" w:themeColor="text1"/>
          <w:sz w:val="22"/>
          <w:szCs w:val="19"/>
          <w:lang w:val="es-CO"/>
        </w:rPr>
        <w:t xml:space="preserve"> + </w:t>
      </w:r>
      <m:oMath>
        <m:nary>
          <m:naryPr>
            <m:chr m:val="∑"/>
            <m:limLoc m:val="undOvr"/>
            <m:ctrlPr>
              <w:rPr>
                <w:rFonts w:ascii="Cambria Math" w:hAnsi="Cambria Math" w:cs="Arial"/>
                <w:b/>
                <w:bCs w:val="0"/>
                <w:i/>
                <w:color w:val="000000" w:themeColor="text1"/>
                <w:sz w:val="22"/>
                <w:szCs w:val="19"/>
                <w:lang w:val="es-CO"/>
              </w:rPr>
            </m:ctrlPr>
          </m:naryPr>
          <m:sub>
            <m:r>
              <m:rPr>
                <m:sty m:val="bi"/>
              </m:rPr>
              <w:rPr>
                <w:rFonts w:ascii="Cambria Math" w:hAnsi="Cambria Math" w:cs="Arial"/>
                <w:color w:val="000000" w:themeColor="text1"/>
                <w:sz w:val="22"/>
                <w:szCs w:val="19"/>
                <w:lang w:val="es-CO"/>
              </w:rPr>
              <m:t>1</m:t>
            </m:r>
          </m:sub>
          <m:sup>
            <m:r>
              <m:rPr>
                <m:sty m:val="bi"/>
              </m:rPr>
              <w:rPr>
                <w:rFonts w:ascii="Cambria Math" w:hAnsi="Cambria Math" w:cs="Arial"/>
                <w:color w:val="000000" w:themeColor="text1"/>
                <w:sz w:val="22"/>
                <w:szCs w:val="19"/>
                <w:lang w:val="es-CO"/>
              </w:rPr>
              <m:t>c</m:t>
            </m:r>
          </m:sup>
          <m:e>
            <m:sSub>
              <m:sSubPr>
                <m:ctrlPr>
                  <w:rPr>
                    <w:rFonts w:ascii="Cambria Math" w:hAnsi="Cambria Math" w:cs="Arial"/>
                    <w:b/>
                    <w:bCs w:val="0"/>
                    <w:i/>
                    <w:color w:val="000000" w:themeColor="text1"/>
                    <w:sz w:val="22"/>
                    <w:szCs w:val="19"/>
                    <w:lang w:val="es-CO"/>
                  </w:rPr>
                </m:ctrlPr>
              </m:sSubPr>
              <m:e>
                <m:r>
                  <m:rPr>
                    <m:sty m:val="bi"/>
                  </m:rPr>
                  <w:rPr>
                    <w:rFonts w:ascii="Cambria Math" w:hAnsi="Cambria Math" w:cs="Arial"/>
                    <w:color w:val="000000" w:themeColor="text1"/>
                    <w:sz w:val="22"/>
                    <w:szCs w:val="19"/>
                    <w:lang w:val="es-CO"/>
                  </w:rPr>
                  <m:t>O</m:t>
                </m:r>
              </m:e>
              <m:sub>
                <m:sSub>
                  <m:sSubPr>
                    <m:ctrlPr>
                      <w:rPr>
                        <w:rFonts w:ascii="Cambria Math" w:hAnsi="Cambria Math" w:cs="Arial"/>
                        <w:b/>
                        <w:bCs w:val="0"/>
                        <w:i/>
                        <w:color w:val="000000" w:themeColor="text1"/>
                        <w:sz w:val="22"/>
                        <w:szCs w:val="19"/>
                        <w:lang w:val="es-CO"/>
                      </w:rPr>
                    </m:ctrlPr>
                  </m:sSubPr>
                  <m:e>
                    <m:r>
                      <m:rPr>
                        <m:sty m:val="bi"/>
                      </m:rPr>
                      <w:rPr>
                        <w:rFonts w:ascii="Cambria Math" w:hAnsi="Cambria Math" w:cs="Arial"/>
                        <w:color w:val="000000" w:themeColor="text1"/>
                        <w:sz w:val="22"/>
                        <w:szCs w:val="19"/>
                        <w:lang w:val="es-CO"/>
                      </w:rPr>
                      <m:t>MC</m:t>
                    </m:r>
                  </m:e>
                  <m:sub>
                    <m:r>
                      <m:rPr>
                        <m:sty m:val="bi"/>
                      </m:rPr>
                      <w:rPr>
                        <w:rFonts w:ascii="Cambria Math" w:hAnsi="Cambria Math" w:cs="Arial"/>
                        <w:color w:val="000000" w:themeColor="text1"/>
                        <w:sz w:val="22"/>
                        <w:szCs w:val="19"/>
                        <w:lang w:val="es-CO"/>
                      </w:rPr>
                      <m:t>f</m:t>
                    </m:r>
                    <m:d>
                      <m:dPr>
                        <m:ctrlPr>
                          <w:rPr>
                            <w:rFonts w:ascii="Cambria Math" w:hAnsi="Cambria Math" w:cs="Arial"/>
                            <w:b/>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m:rPr>
                        <m:sty m:val="bi"/>
                      </m:rPr>
                      <w:rPr>
                        <w:rFonts w:ascii="Cambria Math" w:hAnsi="Cambria Math" w:cs="Arial"/>
                        <w:color w:val="000000" w:themeColor="text1"/>
                        <w:sz w:val="22"/>
                        <w:szCs w:val="19"/>
                        <w:lang w:val="es-CO"/>
                      </w:rPr>
                      <m:t>,v,c,m</m:t>
                    </m:r>
                  </m:sub>
                </m:sSub>
              </m:sub>
            </m:sSub>
          </m:e>
        </m:nary>
      </m:oMath>
    </w:p>
    <w:p w14:paraId="28B153A3" w14:textId="77777777" w:rsidR="007B1F69" w:rsidRPr="00472E28" w:rsidRDefault="007B1F69" w:rsidP="007B1F69">
      <w:pPr>
        <w:pStyle w:val="ARTICULOS"/>
        <w:numPr>
          <w:ilvl w:val="0"/>
          <w:numId w:val="0"/>
        </w:numPr>
        <w:tabs>
          <w:tab w:val="clear" w:pos="1559"/>
          <w:tab w:val="left" w:pos="1560"/>
        </w:tabs>
        <w:ind w:left="425"/>
        <w:rPr>
          <w:rFonts w:cs="Arial"/>
          <w:color w:val="000000" w:themeColor="text1"/>
          <w:lang w:val="es-CO"/>
        </w:rPr>
      </w:pPr>
    </w:p>
    <w:p w14:paraId="35E25A59" w14:textId="7908BC5C" w:rsidR="007B1F69" w:rsidRPr="00472E28" w:rsidRDefault="007B1F69" w:rsidP="007B1F69">
      <w:pPr>
        <w:pStyle w:val="ARTICULOS"/>
        <w:numPr>
          <w:ilvl w:val="0"/>
          <w:numId w:val="0"/>
        </w:numPr>
        <w:tabs>
          <w:tab w:val="clear" w:pos="1559"/>
          <w:tab w:val="left" w:pos="1560"/>
        </w:tabs>
        <w:ind w:left="425"/>
        <w:rPr>
          <w:rFonts w:cs="Arial"/>
          <w:color w:val="000000" w:themeColor="text1"/>
          <w:lang w:val="es-CO"/>
        </w:rPr>
      </w:pPr>
      <w:r w:rsidRPr="00472E28">
        <w:rPr>
          <w:rFonts w:cs="Arial"/>
          <w:color w:val="000000" w:themeColor="text1"/>
          <w:lang w:val="es-CO"/>
        </w:rPr>
        <w:t>Donde:</w:t>
      </w:r>
    </w:p>
    <w:p w14:paraId="47B0E2C5" w14:textId="77777777" w:rsidR="007B1F69" w:rsidRPr="00472E28" w:rsidRDefault="007B1F69" w:rsidP="007B1F69">
      <w:pPr>
        <w:pStyle w:val="ARTICULOS"/>
        <w:numPr>
          <w:ilvl w:val="0"/>
          <w:numId w:val="0"/>
        </w:numPr>
        <w:tabs>
          <w:tab w:val="clear" w:pos="1559"/>
          <w:tab w:val="left" w:pos="1560"/>
        </w:tabs>
        <w:ind w:left="425"/>
        <w:rPr>
          <w:rFonts w:cs="Arial"/>
          <w:color w:val="000000" w:themeColor="text1"/>
          <w:lang w:val="es-CO"/>
        </w:rPr>
      </w:pPr>
    </w:p>
    <w:p w14:paraId="0B990FDC" w14:textId="77777777" w:rsidR="007B1F69" w:rsidRPr="0013707D"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OCF</m:t>
            </m:r>
          </m:e>
          <m:sub>
            <m:r>
              <w:rPr>
                <w:rFonts w:ascii="Cambria Math" w:hAnsi="Cambria Math" w:cs="Arial"/>
                <w:color w:val="000000" w:themeColor="text1"/>
                <w:lang w:val="es-CO"/>
              </w:rPr>
              <m:t>f</m:t>
            </m:r>
            <m:d>
              <m:dPr>
                <m:ctrlPr>
                  <w:rPr>
                    <w:rFonts w:ascii="Cambria Math" w:hAnsi="Cambria Math" w:cs="Arial"/>
                    <w:b/>
                    <w:bCs w:val="0"/>
                    <w:i/>
                    <w:color w:val="000000" w:themeColor="text1"/>
                    <w:lang w:val="es-CO"/>
                  </w:rPr>
                </m:ctrlPr>
              </m:dPr>
              <m:e>
                <m:r>
                  <m:rPr>
                    <m:sty m:val="bi"/>
                  </m:rPr>
                  <w:rPr>
                    <w:rFonts w:ascii="Cambria Math" w:hAnsi="Cambria Math" w:cs="Arial"/>
                    <w:color w:val="000000" w:themeColor="text1"/>
                    <w:lang w:val="es-CO"/>
                  </w:rPr>
                  <m:t>pe</m:t>
                </m:r>
              </m:e>
            </m:d>
            <m:r>
              <w:rPr>
                <w:rFonts w:ascii="Cambria Math" w:hAnsi="Cambria Math" w:cs="Arial"/>
                <w:color w:val="000000" w:themeColor="text1"/>
                <w:lang w:val="es-CO"/>
              </w:rPr>
              <m:t>,</m:t>
            </m:r>
            <m:r>
              <m:rPr>
                <m:sty m:val="bi"/>
              </m:rPr>
              <w:rPr>
                <w:rFonts w:ascii="Cambria Math" w:hAnsi="Cambria Math" w:cs="Arial"/>
                <w:color w:val="000000" w:themeColor="text1"/>
                <w:lang w:val="es-CO"/>
              </w:rPr>
              <m:t>v</m:t>
            </m:r>
            <m:r>
              <w:rPr>
                <w:rFonts w:ascii="Cambria Math" w:hAnsi="Cambria Math" w:cs="Arial"/>
                <w:color w:val="000000" w:themeColor="text1"/>
                <w:lang w:val="es-CO"/>
              </w:rPr>
              <m:t>,m</m:t>
            </m:r>
          </m:sub>
        </m:sSub>
      </m:oMath>
      <w:r w:rsidR="007B1F69" w:rsidRPr="00472E28">
        <w:rPr>
          <w:rFonts w:cs="Arial"/>
          <w:color w:val="000000" w:themeColor="text1"/>
          <w:lang w:val="es-CO"/>
        </w:rPr>
        <w:t>:</w:t>
      </w:r>
      <w:r w:rsidR="007B1F69" w:rsidRPr="00472E28">
        <w:rPr>
          <w:rFonts w:cs="Arial"/>
          <w:color w:val="000000" w:themeColor="text1"/>
          <w:lang w:val="es-CO"/>
        </w:rPr>
        <w:tab/>
        <w:t xml:space="preserve">Oferta comprometida firme de la fuente </w:t>
      </w:r>
      <m:oMath>
        <m:r>
          <w:rPr>
            <w:rFonts w:ascii="Cambria Math" w:hAnsi="Cambria Math" w:cs="Arial"/>
            <w:color w:val="000000" w:themeColor="text1"/>
            <w:lang w:val="es-CO"/>
          </w:rPr>
          <m:t>f</m:t>
        </m:r>
      </m:oMath>
      <w:r w:rsidR="007B1F69">
        <w:rPr>
          <w:rFonts w:cs="Arial"/>
          <w:iCs/>
          <w:color w:val="000000" w:themeColor="text1"/>
          <w:lang w:val="es-CO"/>
        </w:rPr>
        <w:t xml:space="preserve"> </w:t>
      </w:r>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3E5827">
        <w:rPr>
          <w:rFonts w:cs="Arial"/>
          <w:b/>
          <w:bCs w:val="0"/>
          <w:color w:val="000000" w:themeColor="text1"/>
          <w:lang w:val="es-CO"/>
        </w:rPr>
        <w:t>,</w:t>
      </w:r>
      <w:r w:rsidR="007B1F69" w:rsidRPr="00472E28">
        <w:rPr>
          <w:rFonts w:cs="Arial"/>
          <w:color w:val="000000" w:themeColor="text1"/>
          <w:lang w:val="es-CO"/>
        </w:rPr>
        <w:t xml:space="preserve"> </w:t>
      </w:r>
      <w:r w:rsidR="007B1F69" w:rsidRPr="003E5827">
        <w:rPr>
          <w:rFonts w:cs="Arial"/>
          <w:b/>
          <w:bCs w:val="0"/>
          <w:color w:val="000000" w:themeColor="text1"/>
          <w:lang w:val="es-CO"/>
        </w:rPr>
        <w:t xml:space="preserve">del 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Pr>
          <w:rFonts w:cs="Arial"/>
          <w:b/>
          <w:bCs w:val="0"/>
          <w:i/>
          <w:iCs/>
          <w:color w:val="000000" w:themeColor="text1"/>
          <w:lang w:val="es-CO"/>
        </w:rPr>
        <w:t>,</w:t>
      </w:r>
      <w:r w:rsidR="007B1F69">
        <w:rPr>
          <w:rFonts w:cs="Arial"/>
          <w:color w:val="000000" w:themeColor="text1"/>
          <w:lang w:val="es-CO"/>
        </w:rPr>
        <w:t xml:space="preserve"> </w:t>
      </w:r>
      <w:r w:rsidR="007B1F69" w:rsidRPr="006C47F4">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13707D">
        <w:rPr>
          <w:rFonts w:cs="Arial"/>
          <w:color w:val="000000" w:themeColor="text1"/>
          <w:lang w:val="es-CO"/>
        </w:rPr>
        <w:t xml:space="preserve">. </w:t>
      </w:r>
      <w:r w:rsidR="007B1F69" w:rsidRPr="003E5827">
        <w:rPr>
          <w:rFonts w:cs="Arial"/>
          <w:b/>
          <w:bCs w:val="0"/>
          <w:color w:val="000000" w:themeColor="text1"/>
          <w:lang w:val="es-CO"/>
        </w:rPr>
        <w:t>En el caso del vendedor del Mercado Secundario, la fuente f corresponderá al punto estándar de entrega f.</w:t>
      </w:r>
      <w:r w:rsidR="007B1F69">
        <w:rPr>
          <w:rFonts w:cs="Arial"/>
          <w:color w:val="000000" w:themeColor="text1"/>
          <w:lang w:val="es-CO"/>
        </w:rPr>
        <w:t xml:space="preserve"> </w:t>
      </w:r>
      <w:r w:rsidR="007B1F69" w:rsidRPr="0013707D">
        <w:rPr>
          <w:rFonts w:cs="Arial"/>
          <w:color w:val="000000" w:themeColor="text1"/>
          <w:lang w:val="es-CO"/>
        </w:rPr>
        <w:t>Este valor se expresará en MBTUD.</w:t>
      </w:r>
      <w:r w:rsidR="007B1F69">
        <w:rPr>
          <w:rFonts w:cs="Arial"/>
          <w:color w:val="000000" w:themeColor="text1"/>
          <w:lang w:val="es-CO"/>
        </w:rPr>
        <w:t xml:space="preserve">  </w:t>
      </w:r>
    </w:p>
    <w:p w14:paraId="0A020F31" w14:textId="77777777" w:rsidR="007B1F69" w:rsidRPr="0013707D" w:rsidRDefault="007B1F69" w:rsidP="007B1F69">
      <w:pPr>
        <w:pStyle w:val="ARTICULOS"/>
        <w:numPr>
          <w:ilvl w:val="0"/>
          <w:numId w:val="0"/>
        </w:numPr>
        <w:tabs>
          <w:tab w:val="left" w:pos="1701"/>
        </w:tabs>
        <w:ind w:left="425" w:hanging="1695"/>
        <w:rPr>
          <w:rFonts w:cs="Arial"/>
          <w:color w:val="000000" w:themeColor="text1"/>
          <w:lang w:val="es-CO"/>
        </w:rPr>
      </w:pPr>
    </w:p>
    <w:p w14:paraId="0C0D7AFC" w14:textId="77777777" w:rsidR="007B1F69" w:rsidRPr="0013707D"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m:t>
                </m:r>
              </m:e>
              <m:sub>
                <m:r>
                  <w:rPr>
                    <w:rFonts w:ascii="Cambria Math" w:hAnsi="Cambria Math" w:cs="Arial"/>
                    <w:color w:val="000000" w:themeColor="text1"/>
                    <w:lang w:val="es-CO"/>
                  </w:rPr>
                  <m:t>f</m:t>
                </m:r>
                <m:d>
                  <m:dPr>
                    <m:ctrlPr>
                      <w:rPr>
                        <w:rFonts w:ascii="Cambria Math" w:hAnsi="Cambria Math" w:cs="Arial"/>
                        <w:b/>
                        <w:bCs w:val="0"/>
                        <w:i/>
                        <w:color w:val="000000" w:themeColor="text1"/>
                        <w:lang w:val="es-CO"/>
                      </w:rPr>
                    </m:ctrlPr>
                  </m:dPr>
                  <m:e>
                    <m:r>
                      <m:rPr>
                        <m:sty m:val="bi"/>
                      </m:rPr>
                      <w:rPr>
                        <w:rFonts w:ascii="Cambria Math" w:hAnsi="Cambria Math" w:cs="Arial"/>
                        <w:color w:val="000000" w:themeColor="text1"/>
                        <w:lang w:val="es-CO"/>
                      </w:rPr>
                      <m:t>pe</m:t>
                    </m:r>
                  </m:e>
                </m:d>
                <m:r>
                  <w:rPr>
                    <w:rFonts w:ascii="Cambria Math" w:hAnsi="Cambria Math" w:cs="Arial"/>
                    <w:color w:val="000000" w:themeColor="text1"/>
                    <w:lang w:val="es-CO"/>
                  </w:rPr>
                  <m:t>,v,c,m</m:t>
                </m:r>
              </m:sub>
            </m:sSub>
          </m:sub>
        </m:sSub>
        <m:r>
          <w:rPr>
            <w:rFonts w:ascii="Cambria Math" w:hAnsi="Cambria Math" w:cs="Arial"/>
            <w:color w:val="000000" w:themeColor="text1"/>
            <w:lang w:val="es-CO"/>
          </w:rPr>
          <m:t>:</m:t>
        </m:r>
      </m:oMath>
      <w:r w:rsidR="007B1F69" w:rsidRPr="0013707D">
        <w:rPr>
          <w:rFonts w:cs="Arial"/>
          <w:color w:val="000000" w:themeColor="text1"/>
          <w:lang w:val="es-CO"/>
        </w:rPr>
        <w:tab/>
        <w:t xml:space="preserve">Oferta comprometida </w:t>
      </w:r>
      <w:r w:rsidR="007B1F69" w:rsidRPr="003E5827">
        <w:rPr>
          <w:rFonts w:cs="Arial"/>
          <w:b/>
          <w:bCs w:val="0"/>
          <w:color w:val="000000" w:themeColor="text1"/>
          <w:lang w:val="es-CO"/>
        </w:rPr>
        <w:t>bajo las modalidades</w:t>
      </w:r>
      <w:r w:rsidR="007B1F69" w:rsidRPr="0013707D">
        <w:rPr>
          <w:rFonts w:cs="Arial"/>
          <w:color w:val="000000" w:themeColor="text1"/>
          <w:lang w:val="es-CO"/>
        </w:rPr>
        <w:t xml:space="preserve"> de contrato firme </w:t>
      </w:r>
      <m:oMath>
        <m:r>
          <w:rPr>
            <w:rFonts w:ascii="Cambria Math" w:hAnsi="Cambria Math" w:cs="Arial"/>
            <w:color w:val="000000" w:themeColor="text1"/>
            <w:lang w:val="es-CO"/>
          </w:rPr>
          <m:t>CF</m:t>
        </m:r>
      </m:oMath>
      <w:r w:rsidR="007B1F69">
        <w:rPr>
          <w:rFonts w:cs="Arial"/>
          <w:color w:val="000000" w:themeColor="text1"/>
          <w:lang w:val="es-CO"/>
        </w:rPr>
        <w:t xml:space="preserve">, </w:t>
      </w:r>
      <w:proofErr w:type="spellStart"/>
      <w:r w:rsidR="007B1F69" w:rsidRPr="005C77B3">
        <w:rPr>
          <w:rFonts w:cs="Arial"/>
          <w:b/>
          <w:bCs w:val="0"/>
          <w:i/>
          <w:iCs/>
          <w:color w:val="000000" w:themeColor="text1"/>
          <w:lang w:val="es-CO"/>
        </w:rPr>
        <w:t>Take</w:t>
      </w:r>
      <w:proofErr w:type="spellEnd"/>
      <w:r w:rsidR="007B1F69" w:rsidRPr="005C77B3">
        <w:rPr>
          <w:rFonts w:cs="Arial"/>
          <w:b/>
          <w:bCs w:val="0"/>
          <w:i/>
          <w:iCs/>
          <w:color w:val="000000" w:themeColor="text1"/>
          <w:lang w:val="es-CO"/>
        </w:rPr>
        <w:t xml:space="preserve"> </w:t>
      </w:r>
      <w:proofErr w:type="spellStart"/>
      <w:r w:rsidR="007B1F69" w:rsidRPr="005C77B3">
        <w:rPr>
          <w:rFonts w:cs="Arial"/>
          <w:b/>
          <w:bCs w:val="0"/>
          <w:i/>
          <w:iCs/>
          <w:color w:val="000000" w:themeColor="text1"/>
          <w:lang w:val="es-CO"/>
        </w:rPr>
        <w:t>or</w:t>
      </w:r>
      <w:proofErr w:type="spellEnd"/>
      <w:r w:rsidR="007B1F69" w:rsidRPr="005C77B3">
        <w:rPr>
          <w:rFonts w:cs="Arial"/>
          <w:b/>
          <w:bCs w:val="0"/>
          <w:i/>
          <w:iCs/>
          <w:color w:val="000000" w:themeColor="text1"/>
          <w:lang w:val="es-CO"/>
        </w:rPr>
        <w:t xml:space="preserve"> </w:t>
      </w:r>
      <w:proofErr w:type="spellStart"/>
      <w:r w:rsidR="007B1F69" w:rsidRPr="005C77B3">
        <w:rPr>
          <w:rFonts w:cs="Arial"/>
          <w:b/>
          <w:bCs w:val="0"/>
          <w:i/>
          <w:iCs/>
          <w:color w:val="000000" w:themeColor="text1"/>
          <w:lang w:val="es-CO"/>
        </w:rPr>
        <w:t>Pay</w:t>
      </w:r>
      <w:proofErr w:type="spellEnd"/>
      <w:r w:rsidR="007B1F69" w:rsidRPr="005C77B3">
        <w:rPr>
          <w:rFonts w:cs="Arial"/>
          <w:b/>
          <w:bCs w:val="0"/>
          <w:color w:val="000000" w:themeColor="text1"/>
          <w:lang w:val="es-CO"/>
        </w:rPr>
        <w:t xml:space="preserve"> o en cualquier </w:t>
      </w:r>
      <w:r w:rsidR="007B1F69">
        <w:rPr>
          <w:rFonts w:cs="Arial"/>
          <w:b/>
          <w:bCs w:val="0"/>
          <w:color w:val="000000" w:themeColor="text1"/>
          <w:lang w:val="es-CO"/>
        </w:rPr>
        <w:t xml:space="preserve">otra </w:t>
      </w:r>
      <w:r w:rsidR="007B1F69" w:rsidRPr="005C77B3">
        <w:rPr>
          <w:rFonts w:cs="Arial"/>
          <w:b/>
          <w:bCs w:val="0"/>
          <w:color w:val="000000" w:themeColor="text1"/>
          <w:lang w:val="es-CO"/>
        </w:rPr>
        <w:t>modalidad en las cantidades que impliquen garantía de firmeza,</w:t>
      </w:r>
      <w:r w:rsidR="007B1F69">
        <w:rPr>
          <w:rFonts w:cs="Arial"/>
          <w:color w:val="000000" w:themeColor="text1"/>
          <w:lang w:val="es-CO"/>
        </w:rPr>
        <w:t xml:space="preserve"> </w:t>
      </w:r>
      <w:r w:rsidR="007B1F69" w:rsidRPr="0013707D">
        <w:rPr>
          <w:rFonts w:cs="Arial"/>
          <w:color w:val="000000" w:themeColor="text1"/>
          <w:lang w:val="es-CO"/>
        </w:rPr>
        <w:t xml:space="preserve">de la fuente </w:t>
      </w:r>
      <m:oMath>
        <m:r>
          <w:rPr>
            <w:rFonts w:ascii="Cambria Math" w:hAnsi="Cambria Math" w:cs="Arial"/>
            <w:color w:val="000000" w:themeColor="text1"/>
            <w:lang w:val="es-CO"/>
          </w:rPr>
          <m:t>f</m:t>
        </m:r>
      </m:oMath>
      <w:r w:rsidR="007B1F69">
        <w:rPr>
          <w:rFonts w:cs="Arial"/>
          <w:color w:val="000000" w:themeColor="text1"/>
          <w:lang w:val="es-CO"/>
        </w:rPr>
        <w:t xml:space="preserve"> </w:t>
      </w:r>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3E5827">
        <w:rPr>
          <w:rFonts w:cs="Arial"/>
          <w:b/>
          <w:bCs w:val="0"/>
          <w:color w:val="000000" w:themeColor="text1"/>
          <w:lang w:val="es-CO"/>
        </w:rPr>
        <w:t>,</w:t>
      </w:r>
      <w:r w:rsidR="007B1F69" w:rsidRPr="0013707D">
        <w:rPr>
          <w:rFonts w:cs="Arial"/>
          <w:color w:val="000000" w:themeColor="text1"/>
          <w:lang w:val="es-CO"/>
        </w:rPr>
        <w:t xml:space="preserve"> del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Pr>
          <w:rFonts w:cs="Arial"/>
          <w:color w:val="000000" w:themeColor="text1"/>
          <w:lang w:val="es-CO"/>
        </w:rPr>
        <w:t>,</w:t>
      </w:r>
      <w:r w:rsidR="007B1F69" w:rsidRPr="0013707D">
        <w:rPr>
          <w:rFonts w:cs="Arial"/>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13707D">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13707D">
        <w:rPr>
          <w:rFonts w:cs="Arial"/>
          <w:color w:val="000000" w:themeColor="text1"/>
          <w:lang w:val="es-CO"/>
        </w:rPr>
        <w:t>. Este valor se expresará en MBTUD.</w:t>
      </w:r>
    </w:p>
    <w:p w14:paraId="7C33C127" w14:textId="77777777" w:rsidR="007B1F69" w:rsidRPr="0013707D" w:rsidRDefault="007B1F69" w:rsidP="007B1F69">
      <w:pPr>
        <w:pStyle w:val="ARTICULOS"/>
        <w:numPr>
          <w:ilvl w:val="0"/>
          <w:numId w:val="0"/>
        </w:numPr>
        <w:ind w:left="1559" w:hanging="1134"/>
        <w:rPr>
          <w:rFonts w:cs="Arial"/>
          <w:color w:val="000000" w:themeColor="text1"/>
          <w:lang w:val="es-CO"/>
        </w:rPr>
      </w:pPr>
    </w:p>
    <w:p w14:paraId="6885EA6E" w14:textId="77777777" w:rsidR="007B1F69" w:rsidRPr="0013707D"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CF95</m:t>
                </m:r>
              </m:e>
              <m:sub>
                <m:r>
                  <w:rPr>
                    <w:rFonts w:ascii="Cambria Math" w:hAnsi="Cambria Math" w:cs="Arial"/>
                    <w:color w:val="000000" w:themeColor="text1"/>
                    <w:lang w:val="es-CO"/>
                  </w:rPr>
                  <m:t>f</m:t>
                </m:r>
                <m:d>
                  <m:dPr>
                    <m:ctrlPr>
                      <w:rPr>
                        <w:rFonts w:ascii="Cambria Math" w:hAnsi="Cambria Math" w:cs="Arial"/>
                        <w:i/>
                        <w:color w:val="000000" w:themeColor="text1"/>
                        <w:lang w:val="es-CO"/>
                      </w:rPr>
                    </m:ctrlPr>
                  </m:dPr>
                  <m:e>
                    <m:r>
                      <m:rPr>
                        <m:sty m:val="bi"/>
                      </m:rPr>
                      <w:rPr>
                        <w:rFonts w:ascii="Cambria Math" w:hAnsi="Cambria Math" w:cs="Arial"/>
                        <w:color w:val="000000" w:themeColor="text1"/>
                        <w:lang w:val="es-CO"/>
                      </w:rPr>
                      <m:t>pe</m:t>
                    </m:r>
                    <m:ctrlPr>
                      <w:rPr>
                        <w:rFonts w:ascii="Cambria Math" w:hAnsi="Cambria Math" w:cs="Arial"/>
                        <w:b/>
                        <w:bCs w:val="0"/>
                        <w:i/>
                        <w:color w:val="000000" w:themeColor="text1"/>
                        <w:lang w:val="es-CO"/>
                      </w:rPr>
                    </m:ctrlPr>
                  </m:e>
                </m:d>
                <m:r>
                  <w:rPr>
                    <w:rFonts w:ascii="Cambria Math" w:hAnsi="Cambria Math" w:cs="Arial"/>
                    <w:color w:val="000000" w:themeColor="text1"/>
                    <w:lang w:val="es-CO"/>
                  </w:rPr>
                  <m:t>,</m:t>
                </m:r>
                <m:r>
                  <m:rPr>
                    <m:sty m:val="bi"/>
                  </m:rPr>
                  <w:rPr>
                    <w:rFonts w:ascii="Cambria Math" w:hAnsi="Cambria Math" w:cs="Arial"/>
                    <w:color w:val="000000" w:themeColor="text1"/>
                    <w:lang w:val="es-CO"/>
                  </w:rPr>
                  <m:t>v,c</m:t>
                </m:r>
                <m:r>
                  <w:rPr>
                    <w:rFonts w:ascii="Cambria Math" w:hAnsi="Cambria Math" w:cs="Arial"/>
                    <w:color w:val="000000" w:themeColor="text1"/>
                    <w:lang w:val="es-CO"/>
                  </w:rPr>
                  <m:t>,m</m:t>
                </m:r>
              </m:sub>
            </m:sSub>
          </m:sub>
        </m:sSub>
        <m:r>
          <w:rPr>
            <w:rFonts w:ascii="Cambria Math" w:hAnsi="Cambria Math" w:cs="Arial"/>
            <w:color w:val="000000" w:themeColor="text1"/>
            <w:lang w:val="es-CO"/>
          </w:rPr>
          <m:t>:</m:t>
        </m:r>
      </m:oMath>
      <w:r w:rsidR="007B1F69" w:rsidRPr="0013707D">
        <w:rPr>
          <w:rFonts w:cs="Arial"/>
          <w:color w:val="000000" w:themeColor="text1"/>
          <w:lang w:val="es-CO"/>
        </w:rPr>
        <w:tab/>
        <w:t xml:space="preserve">Oferta comprometida firme de contratos firmes </w:t>
      </w:r>
      <w:r w:rsidR="007B1F69" w:rsidRPr="005C77B3">
        <w:rPr>
          <w:rFonts w:cs="Arial"/>
          <w:b/>
          <w:bCs w:val="0"/>
          <w:color w:val="000000" w:themeColor="text1"/>
          <w:lang w:val="es-CO"/>
        </w:rPr>
        <w:t xml:space="preserve">con pago </w:t>
      </w:r>
      <w:r w:rsidR="007B1F69">
        <w:rPr>
          <w:rFonts w:cs="Arial"/>
          <w:b/>
          <w:bCs w:val="0"/>
          <w:color w:val="000000" w:themeColor="text1"/>
          <w:lang w:val="es-CO"/>
        </w:rPr>
        <w:t xml:space="preserve">de como </w:t>
      </w:r>
      <w:r w:rsidR="007B1F69" w:rsidRPr="005C77B3">
        <w:rPr>
          <w:rFonts w:cs="Arial"/>
          <w:b/>
          <w:bCs w:val="0"/>
          <w:color w:val="000000" w:themeColor="text1"/>
          <w:lang w:val="es-CO"/>
        </w:rPr>
        <w:t>mínimo</w:t>
      </w:r>
      <w:r w:rsidR="007B1F69">
        <w:rPr>
          <w:rFonts w:cs="Arial"/>
          <w:color w:val="000000" w:themeColor="text1"/>
          <w:lang w:val="es-CO"/>
        </w:rPr>
        <w:t xml:space="preserve"> el</w:t>
      </w:r>
      <w:r w:rsidR="007B1F69" w:rsidRPr="0013707D">
        <w:rPr>
          <w:rFonts w:cs="Arial"/>
          <w:color w:val="000000" w:themeColor="text1"/>
          <w:lang w:val="es-CO"/>
        </w:rPr>
        <w:t xml:space="preserve"> 95% </w:t>
      </w:r>
      <m:oMath>
        <m:r>
          <w:rPr>
            <w:rFonts w:ascii="Cambria Math" w:hAnsi="Cambria Math" w:cs="Arial"/>
            <w:color w:val="000000" w:themeColor="text1"/>
            <w:lang w:val="es-CO"/>
          </w:rPr>
          <m:t>CF95</m:t>
        </m:r>
      </m:oMath>
      <w:r w:rsidR="007B1F69" w:rsidRPr="0013707D">
        <w:rPr>
          <w:rFonts w:cs="Arial"/>
          <w:color w:val="000000" w:themeColor="text1"/>
          <w:lang w:val="es-CO"/>
        </w:rPr>
        <w:t xml:space="preserve"> de la fuente </w:t>
      </w:r>
      <m:oMath>
        <m:r>
          <w:rPr>
            <w:rFonts w:ascii="Cambria Math" w:hAnsi="Cambria Math" w:cs="Arial"/>
            <w:color w:val="000000" w:themeColor="text1"/>
            <w:lang w:val="es-CO"/>
          </w:rPr>
          <m:t>f</m:t>
        </m:r>
      </m:oMath>
      <w:r w:rsidR="007B1F69">
        <w:rPr>
          <w:rFonts w:cs="Arial"/>
          <w:color w:val="000000" w:themeColor="text1"/>
          <w:lang w:val="es-CO"/>
        </w:rPr>
        <w:t xml:space="preserve"> </w:t>
      </w:r>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13707D">
        <w:rPr>
          <w:rFonts w:cs="Arial"/>
          <w:color w:val="000000" w:themeColor="text1"/>
          <w:lang w:val="es-CO"/>
        </w:rPr>
        <w:t xml:space="preserve">, </w:t>
      </w:r>
      <w:r w:rsidR="007B1F69">
        <w:rPr>
          <w:rFonts w:cs="Arial"/>
          <w:color w:val="000000" w:themeColor="text1"/>
          <w:lang w:val="es-CO"/>
        </w:rPr>
        <w:t>del</w:t>
      </w:r>
      <w:r w:rsidR="007B1F69" w:rsidRPr="0013707D">
        <w:rPr>
          <w:rFonts w:cs="Arial"/>
          <w:color w:val="000000" w:themeColor="text1"/>
          <w:lang w:val="es-CO"/>
        </w:rPr>
        <w:t xml:space="preserve">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sidRPr="0013707D" w:rsidDel="005F2DD9">
        <w:rPr>
          <w:rFonts w:cs="Arial"/>
          <w:color w:val="000000" w:themeColor="text1"/>
          <w:lang w:val="es-CO"/>
        </w:rPr>
        <w:t xml:space="preserve"> </w:t>
      </w:r>
      <w:r w:rsidR="007B1F69">
        <w:rPr>
          <w:rFonts w:cs="Arial"/>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13707D">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13707D">
        <w:rPr>
          <w:rFonts w:cs="Arial"/>
          <w:color w:val="000000" w:themeColor="text1"/>
          <w:lang w:val="es-CO"/>
        </w:rPr>
        <w:t xml:space="preserve"> . Este valor se expresará en MBTUD.</w:t>
      </w:r>
    </w:p>
    <w:p w14:paraId="747F6223" w14:textId="77777777" w:rsidR="007B1F69" w:rsidRDefault="007B1F69" w:rsidP="007B1F69">
      <w:pPr>
        <w:pStyle w:val="ARTICULOS"/>
        <w:numPr>
          <w:ilvl w:val="0"/>
          <w:numId w:val="0"/>
        </w:numPr>
        <w:ind w:left="1559" w:hanging="1134"/>
        <w:rPr>
          <w:rFonts w:cs="Arial"/>
          <w:color w:val="000000" w:themeColor="text1"/>
          <w:lang w:val="es-CO"/>
        </w:rPr>
      </w:pPr>
    </w:p>
    <w:p w14:paraId="55E4D34C" w14:textId="77777777" w:rsidR="007B1F69" w:rsidRPr="005C77B3" w:rsidRDefault="00FB7B28" w:rsidP="007B1F69">
      <w:pPr>
        <w:pStyle w:val="ARTICULOS"/>
        <w:numPr>
          <w:ilvl w:val="0"/>
          <w:numId w:val="0"/>
        </w:numPr>
        <w:ind w:left="1559" w:hanging="1134"/>
        <w:rPr>
          <w:rFonts w:cs="Arial"/>
          <w:b/>
          <w:bCs w:val="0"/>
          <w:color w:val="000000" w:themeColor="text1"/>
          <w:lang w:val="es-CO"/>
        </w:rPr>
      </w:pPr>
      <m:oMath>
        <m:sSub>
          <m:sSubPr>
            <m:ctrlPr>
              <w:rPr>
                <w:rFonts w:ascii="Cambria Math" w:hAnsi="Cambria Math" w:cs="Arial"/>
                <w:b/>
                <w:bCs w:val="0"/>
                <w:i/>
                <w:color w:val="000000" w:themeColor="text1"/>
                <w:lang w:val="es-CO"/>
              </w:rPr>
            </m:ctrlPr>
          </m:sSubPr>
          <m:e>
            <m:r>
              <m:rPr>
                <m:sty m:val="bi"/>
              </m:rPr>
              <w:rPr>
                <w:rFonts w:ascii="Cambria Math" w:hAnsi="Cambria Math" w:cs="Arial"/>
                <w:color w:val="000000" w:themeColor="text1"/>
                <w:lang w:val="es-CO"/>
              </w:rPr>
              <m:t>O</m:t>
            </m:r>
          </m:e>
          <m:sub>
            <m:sSub>
              <m:sSubPr>
                <m:ctrlPr>
                  <w:rPr>
                    <w:rFonts w:ascii="Cambria Math" w:hAnsi="Cambria Math" w:cs="Arial"/>
                    <w:b/>
                    <w:bCs w:val="0"/>
                    <w:i/>
                    <w:color w:val="000000" w:themeColor="text1"/>
                    <w:lang w:val="es-CO"/>
                  </w:rPr>
                </m:ctrlPr>
              </m:sSubPr>
              <m:e>
                <m:r>
                  <m:rPr>
                    <m:sty m:val="bi"/>
                  </m:rPr>
                  <w:rPr>
                    <w:rFonts w:ascii="Cambria Math" w:hAnsi="Cambria Math" w:cs="Arial"/>
                    <w:color w:val="000000" w:themeColor="text1"/>
                    <w:lang w:val="es-CO"/>
                  </w:rPr>
                  <m:t>CF</m:t>
                </m:r>
                <m:r>
                  <m:rPr>
                    <m:sty m:val="bi"/>
                  </m:rPr>
                  <w:rPr>
                    <w:rFonts w:ascii="Cambria Math" w:hAnsi="Cambria Math" w:cs="Arial"/>
                    <w:color w:val="000000" w:themeColor="text1"/>
                    <w:lang w:val="es-CO"/>
                  </w:rPr>
                  <m:t>80</m:t>
                </m:r>
              </m:e>
              <m:sub>
                <m:r>
                  <m:rPr>
                    <m:sty m:val="bi"/>
                  </m:rPr>
                  <w:rPr>
                    <w:rFonts w:ascii="Cambria Math" w:hAnsi="Cambria Math" w:cs="Arial"/>
                    <w:color w:val="000000" w:themeColor="text1"/>
                    <w:lang w:val="es-CO"/>
                  </w:rPr>
                  <m:t>f</m:t>
                </m:r>
                <m:d>
                  <m:dPr>
                    <m:ctrlPr>
                      <w:rPr>
                        <w:rFonts w:ascii="Cambria Math" w:hAnsi="Cambria Math" w:cs="Arial"/>
                        <w:b/>
                        <w:i/>
                        <w:color w:val="000000" w:themeColor="text1"/>
                        <w:lang w:val="es-CO"/>
                      </w:rPr>
                    </m:ctrlPr>
                  </m:dPr>
                  <m:e>
                    <m:r>
                      <m:rPr>
                        <m:sty m:val="bi"/>
                      </m:rPr>
                      <w:rPr>
                        <w:rFonts w:ascii="Cambria Math" w:hAnsi="Cambria Math" w:cs="Arial"/>
                        <w:color w:val="000000" w:themeColor="text1"/>
                        <w:lang w:val="es-CO"/>
                      </w:rPr>
                      <m:t>pe</m:t>
                    </m:r>
                  </m:e>
                </m:d>
                <m:r>
                  <m:rPr>
                    <m:sty m:val="bi"/>
                  </m:rPr>
                  <w:rPr>
                    <w:rFonts w:ascii="Cambria Math" w:hAnsi="Cambria Math" w:cs="Arial"/>
                    <w:color w:val="000000" w:themeColor="text1"/>
                    <w:lang w:val="es-CO"/>
                  </w:rPr>
                  <m:t>,v,c,m</m:t>
                </m:r>
              </m:sub>
            </m:sSub>
          </m:sub>
        </m:sSub>
        <m:r>
          <m:rPr>
            <m:sty m:val="bi"/>
          </m:rPr>
          <w:rPr>
            <w:rFonts w:ascii="Cambria Math" w:hAnsi="Cambria Math" w:cs="Arial"/>
            <w:color w:val="000000" w:themeColor="text1"/>
            <w:lang w:val="es-CO"/>
          </w:rPr>
          <m:t>:</m:t>
        </m:r>
      </m:oMath>
      <w:r w:rsidR="007B1F69" w:rsidRPr="005C77B3">
        <w:rPr>
          <w:rFonts w:cs="Arial"/>
          <w:b/>
          <w:bCs w:val="0"/>
          <w:color w:val="000000" w:themeColor="text1"/>
          <w:lang w:val="es-CO"/>
        </w:rPr>
        <w:tab/>
        <w:t xml:space="preserve">Oferta comprometida firme de contratos firmes con pago </w:t>
      </w:r>
      <w:r w:rsidR="007B1F69">
        <w:rPr>
          <w:rFonts w:cs="Arial"/>
          <w:b/>
          <w:bCs w:val="0"/>
          <w:color w:val="000000" w:themeColor="text1"/>
          <w:lang w:val="es-CO"/>
        </w:rPr>
        <w:t xml:space="preserve">de como </w:t>
      </w:r>
      <w:r w:rsidR="007B1F69" w:rsidRPr="005C77B3">
        <w:rPr>
          <w:rFonts w:cs="Arial"/>
          <w:b/>
          <w:bCs w:val="0"/>
          <w:color w:val="000000" w:themeColor="text1"/>
          <w:lang w:val="es-CO"/>
        </w:rPr>
        <w:t xml:space="preserve">mínimo el 80% </w:t>
      </w:r>
      <m:oMath>
        <m:r>
          <m:rPr>
            <m:sty m:val="bi"/>
          </m:rPr>
          <w:rPr>
            <w:rFonts w:ascii="Cambria Math" w:hAnsi="Cambria Math" w:cs="Arial"/>
            <w:color w:val="000000" w:themeColor="text1"/>
            <w:lang w:val="es-CO"/>
          </w:rPr>
          <m:t>CF</m:t>
        </m:r>
        <m:r>
          <m:rPr>
            <m:sty m:val="bi"/>
          </m:rPr>
          <w:rPr>
            <w:rFonts w:ascii="Cambria Math" w:hAnsi="Cambria Math" w:cs="Arial"/>
            <w:color w:val="000000" w:themeColor="text1"/>
            <w:lang w:val="es-CO"/>
          </w:rPr>
          <m:t>80</m:t>
        </m:r>
      </m:oMath>
      <w:r w:rsidR="007B1F69" w:rsidRPr="005C77B3">
        <w:rPr>
          <w:rFonts w:cs="Arial"/>
          <w:b/>
          <w:bCs w:val="0"/>
          <w:color w:val="000000" w:themeColor="text1"/>
          <w:lang w:val="es-CO"/>
        </w:rPr>
        <w:t xml:space="preserve"> de la fuente </w:t>
      </w:r>
      <m:oMath>
        <m:r>
          <m:rPr>
            <m:sty m:val="bi"/>
          </m:rPr>
          <w:rPr>
            <w:rFonts w:ascii="Cambria Math" w:hAnsi="Cambria Math" w:cs="Arial"/>
            <w:color w:val="000000" w:themeColor="text1"/>
            <w:lang w:val="es-CO"/>
          </w:rPr>
          <m:t xml:space="preserve">f </m:t>
        </m:r>
      </m:oMath>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5C77B3">
        <w:rPr>
          <w:rFonts w:cs="Arial"/>
          <w:b/>
          <w:bCs w:val="0"/>
          <w:color w:val="000000" w:themeColor="text1"/>
          <w:lang w:val="es-CO"/>
        </w:rPr>
        <w:t xml:space="preserve">, </w:t>
      </w:r>
      <w:r w:rsidR="007B1F69" w:rsidRPr="003E5827">
        <w:rPr>
          <w:rFonts w:cs="Arial"/>
          <w:color w:val="000000" w:themeColor="text1"/>
          <w:lang w:val="es-CO"/>
        </w:rPr>
        <w:t xml:space="preserve">del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sidRPr="005C77B3">
        <w:rPr>
          <w:rFonts w:cs="Arial"/>
          <w:b/>
          <w:bCs w:val="0"/>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5C77B3">
        <w:rPr>
          <w:rFonts w:cs="Arial"/>
          <w:b/>
          <w:bCs w:val="0"/>
          <w:color w:val="000000" w:themeColor="text1"/>
          <w:lang w:val="es-CO"/>
        </w:rPr>
        <w:t xml:space="preserve">para el mes </w:t>
      </w:r>
      <m:oMath>
        <m:r>
          <m:rPr>
            <m:sty m:val="bi"/>
          </m:rPr>
          <w:rPr>
            <w:rFonts w:ascii="Cambria Math" w:hAnsi="Cambria Math" w:cs="Arial"/>
            <w:color w:val="000000" w:themeColor="text1"/>
            <w:lang w:val="es-CO"/>
          </w:rPr>
          <m:t>m</m:t>
        </m:r>
      </m:oMath>
      <w:r w:rsidR="007B1F69" w:rsidRPr="005C77B3">
        <w:rPr>
          <w:rFonts w:cs="Arial"/>
          <w:b/>
          <w:bCs w:val="0"/>
          <w:color w:val="000000" w:themeColor="text1"/>
          <w:lang w:val="es-CO"/>
        </w:rPr>
        <w:t xml:space="preserve"> . Este valor se expresará en MBTUD.</w:t>
      </w:r>
    </w:p>
    <w:p w14:paraId="468AEABE" w14:textId="77777777" w:rsidR="007B1F69" w:rsidRDefault="007B1F69" w:rsidP="007B1F69">
      <w:pPr>
        <w:pStyle w:val="ARTICULOS"/>
        <w:numPr>
          <w:ilvl w:val="0"/>
          <w:numId w:val="0"/>
        </w:numPr>
        <w:ind w:left="1559" w:hanging="1134"/>
        <w:rPr>
          <w:rFonts w:cs="Arial"/>
          <w:color w:val="000000" w:themeColor="text1"/>
          <w:lang w:val="es-CO"/>
        </w:rPr>
      </w:pPr>
    </w:p>
    <w:p w14:paraId="5A5C5696" w14:textId="77777777" w:rsidR="007B1F69" w:rsidRPr="0013707D"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CFC</m:t>
                </m:r>
              </m:e>
              <m:sub>
                <m:r>
                  <w:rPr>
                    <w:rFonts w:ascii="Cambria Math" w:hAnsi="Cambria Math" w:cs="Arial"/>
                    <w:color w:val="000000" w:themeColor="text1"/>
                    <w:lang w:val="es-CO"/>
                  </w:rPr>
                  <m:t>f</m:t>
                </m:r>
                <m:d>
                  <m:dPr>
                    <m:ctrlPr>
                      <w:rPr>
                        <w:rFonts w:ascii="Cambria Math" w:hAnsi="Cambria Math" w:cs="Arial"/>
                        <w:b/>
                        <w:bCs w:val="0"/>
                        <w:i/>
                        <w:color w:val="000000" w:themeColor="text1"/>
                        <w:lang w:val="es-CO"/>
                      </w:rPr>
                    </m:ctrlPr>
                  </m:dPr>
                  <m:e>
                    <m:r>
                      <m:rPr>
                        <m:sty m:val="bi"/>
                      </m:rPr>
                      <w:rPr>
                        <w:rFonts w:ascii="Cambria Math" w:hAnsi="Cambria Math" w:cs="Arial"/>
                        <w:color w:val="000000" w:themeColor="text1"/>
                        <w:lang w:val="es-CO"/>
                      </w:rPr>
                      <m:t>pe</m:t>
                    </m:r>
                  </m:e>
                </m:d>
                <m:r>
                  <w:rPr>
                    <w:rFonts w:ascii="Cambria Math" w:hAnsi="Cambria Math" w:cs="Arial"/>
                    <w:color w:val="000000" w:themeColor="text1"/>
                    <w:lang w:val="es-CO"/>
                  </w:rPr>
                  <m:t>,</m:t>
                </m:r>
                <m:r>
                  <m:rPr>
                    <m:sty m:val="bi"/>
                  </m:rPr>
                  <w:rPr>
                    <w:rFonts w:ascii="Cambria Math" w:hAnsi="Cambria Math" w:cs="Arial"/>
                    <w:color w:val="000000" w:themeColor="text1"/>
                    <w:lang w:val="es-CO"/>
                  </w:rPr>
                  <m:t>v,c</m:t>
                </m:r>
                <m:r>
                  <w:rPr>
                    <w:rFonts w:ascii="Cambria Math" w:hAnsi="Cambria Math" w:cs="Arial"/>
                    <w:color w:val="000000" w:themeColor="text1"/>
                    <w:lang w:val="es-CO"/>
                  </w:rPr>
                  <m:t>,m</m:t>
                </m:r>
              </m:sub>
            </m:sSub>
          </m:sub>
        </m:sSub>
        <m:r>
          <w:rPr>
            <w:rFonts w:ascii="Cambria Math" w:hAnsi="Cambria Math" w:cs="Arial"/>
            <w:color w:val="000000" w:themeColor="text1"/>
            <w:lang w:val="es-CO"/>
          </w:rPr>
          <m:t>:</m:t>
        </m:r>
      </m:oMath>
      <w:r w:rsidR="007B1F69" w:rsidRPr="0013707D">
        <w:rPr>
          <w:rFonts w:cs="Arial"/>
          <w:color w:val="000000" w:themeColor="text1"/>
          <w:lang w:val="es-CO"/>
        </w:rPr>
        <w:tab/>
        <w:t xml:space="preserve">Oferta comprometida firme de contratos de suministro con firmeza condicionada </w:t>
      </w:r>
      <m:oMath>
        <m:r>
          <w:rPr>
            <w:rFonts w:ascii="Cambria Math" w:hAnsi="Cambria Math" w:cs="Arial"/>
            <w:color w:val="000000" w:themeColor="text1"/>
            <w:lang w:val="es-CO"/>
          </w:rPr>
          <m:t>CFC</m:t>
        </m:r>
      </m:oMath>
      <w:r w:rsidR="007B1F69" w:rsidRPr="0013707D">
        <w:rPr>
          <w:rFonts w:cs="Arial"/>
          <w:color w:val="000000" w:themeColor="text1"/>
          <w:lang w:val="es-CO"/>
        </w:rPr>
        <w:t xml:space="preserve"> de la fuente </w:t>
      </w:r>
      <m:oMath>
        <m:r>
          <w:rPr>
            <w:rFonts w:ascii="Cambria Math" w:hAnsi="Cambria Math" w:cs="Arial"/>
            <w:color w:val="000000" w:themeColor="text1"/>
            <w:lang w:val="es-CO"/>
          </w:rPr>
          <m:t>f</m:t>
        </m:r>
      </m:oMath>
      <w:r w:rsidR="007B1F69">
        <w:rPr>
          <w:rFonts w:cs="Arial"/>
          <w:color w:val="000000" w:themeColor="text1"/>
          <w:lang w:val="es-CO"/>
        </w:rPr>
        <w:t xml:space="preserve"> </w:t>
      </w:r>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13707D">
        <w:rPr>
          <w:rFonts w:cs="Arial"/>
          <w:color w:val="000000" w:themeColor="text1"/>
          <w:lang w:val="es-CO"/>
        </w:rPr>
        <w:t>,</w:t>
      </w:r>
      <w:r w:rsidR="007B1F69">
        <w:rPr>
          <w:rFonts w:cs="Arial"/>
          <w:color w:val="000000" w:themeColor="text1"/>
          <w:lang w:val="es-CO"/>
        </w:rPr>
        <w:t xml:space="preserve"> del</w:t>
      </w:r>
      <w:r w:rsidR="007B1F69" w:rsidRPr="0013707D">
        <w:rPr>
          <w:rFonts w:cs="Arial"/>
          <w:color w:val="000000" w:themeColor="text1"/>
          <w:lang w:val="es-CO"/>
        </w:rPr>
        <w:t xml:space="preserve">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Pr>
          <w:rFonts w:cs="Arial"/>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13707D">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13707D">
        <w:rPr>
          <w:rFonts w:cs="Arial"/>
          <w:color w:val="000000" w:themeColor="text1"/>
          <w:lang w:val="es-CO"/>
        </w:rPr>
        <w:t xml:space="preserve"> . Este valor se expresará en MBTUD.</w:t>
      </w:r>
    </w:p>
    <w:p w14:paraId="237290FC" w14:textId="77777777" w:rsidR="007B1F69" w:rsidRPr="0013707D" w:rsidRDefault="007B1F69" w:rsidP="007B1F69">
      <w:pPr>
        <w:pStyle w:val="ARTICULOS"/>
        <w:numPr>
          <w:ilvl w:val="0"/>
          <w:numId w:val="0"/>
        </w:numPr>
        <w:ind w:left="1559" w:hanging="1134"/>
        <w:rPr>
          <w:rFonts w:cs="Arial"/>
          <w:color w:val="000000" w:themeColor="text1"/>
          <w:lang w:val="es-CO"/>
        </w:rPr>
      </w:pPr>
    </w:p>
    <w:p w14:paraId="7D30DAE0" w14:textId="77777777" w:rsidR="007B1F69" w:rsidRPr="0013707D"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OCG</m:t>
                </m:r>
              </m:e>
              <m:sub>
                <m:r>
                  <w:rPr>
                    <w:rFonts w:ascii="Cambria Math" w:hAnsi="Cambria Math" w:cs="Arial"/>
                    <w:color w:val="000000" w:themeColor="text1"/>
                    <w:lang w:val="es-CO"/>
                  </w:rPr>
                  <m:t>f</m:t>
                </m:r>
                <m:d>
                  <m:dPr>
                    <m:ctrlPr>
                      <w:rPr>
                        <w:rFonts w:ascii="Cambria Math" w:hAnsi="Cambria Math" w:cs="Arial"/>
                        <w:b/>
                        <w:bCs w:val="0"/>
                        <w:i/>
                        <w:color w:val="000000" w:themeColor="text1"/>
                        <w:lang w:val="es-CO"/>
                      </w:rPr>
                    </m:ctrlPr>
                  </m:dPr>
                  <m:e>
                    <m:r>
                      <m:rPr>
                        <m:sty m:val="bi"/>
                      </m:rPr>
                      <w:rPr>
                        <w:rFonts w:ascii="Cambria Math" w:hAnsi="Cambria Math" w:cs="Arial"/>
                        <w:color w:val="000000" w:themeColor="text1"/>
                        <w:lang w:val="es-CO"/>
                      </w:rPr>
                      <m:t>pe</m:t>
                    </m:r>
                  </m:e>
                </m:d>
                <m:r>
                  <w:rPr>
                    <w:rFonts w:ascii="Cambria Math" w:hAnsi="Cambria Math" w:cs="Arial"/>
                    <w:color w:val="000000" w:themeColor="text1"/>
                    <w:lang w:val="es-CO"/>
                  </w:rPr>
                  <m:t>,</m:t>
                </m:r>
                <m:r>
                  <m:rPr>
                    <m:sty m:val="bi"/>
                  </m:rPr>
                  <w:rPr>
                    <w:rFonts w:ascii="Cambria Math" w:hAnsi="Cambria Math" w:cs="Arial"/>
                    <w:color w:val="000000" w:themeColor="text1"/>
                    <w:lang w:val="es-CO"/>
                  </w:rPr>
                  <m:t>v,c</m:t>
                </m:r>
                <m:r>
                  <w:rPr>
                    <w:rFonts w:ascii="Cambria Math" w:hAnsi="Cambria Math" w:cs="Arial"/>
                    <w:color w:val="000000" w:themeColor="text1"/>
                    <w:lang w:val="es-CO"/>
                  </w:rPr>
                  <m:t>,m</m:t>
                </m:r>
              </m:sub>
            </m:sSub>
          </m:sub>
        </m:sSub>
        <m:r>
          <w:rPr>
            <w:rFonts w:ascii="Cambria Math" w:hAnsi="Cambria Math" w:cs="Arial"/>
            <w:color w:val="000000" w:themeColor="text1"/>
            <w:lang w:val="es-CO"/>
          </w:rPr>
          <m:t>:</m:t>
        </m:r>
      </m:oMath>
      <w:r w:rsidR="007B1F69" w:rsidRPr="0013707D">
        <w:rPr>
          <w:rFonts w:cs="Arial"/>
          <w:color w:val="000000" w:themeColor="text1"/>
          <w:lang w:val="es-CO"/>
        </w:rPr>
        <w:tab/>
        <w:t xml:space="preserve">Oferta comprometida firme de contratos de opción de compra de gas </w:t>
      </w:r>
      <m:oMath>
        <m:r>
          <w:rPr>
            <w:rFonts w:ascii="Cambria Math" w:hAnsi="Cambria Math" w:cs="Arial"/>
            <w:color w:val="000000" w:themeColor="text1"/>
            <w:lang w:val="es-CO"/>
          </w:rPr>
          <m:t>OCG</m:t>
        </m:r>
      </m:oMath>
      <w:r w:rsidR="007B1F69" w:rsidRPr="0013707D">
        <w:rPr>
          <w:rFonts w:cs="Arial"/>
          <w:color w:val="000000" w:themeColor="text1"/>
          <w:lang w:val="es-CO"/>
        </w:rPr>
        <w:t xml:space="preserve"> de la fuente </w:t>
      </w:r>
      <m:oMath>
        <m:r>
          <w:rPr>
            <w:rFonts w:ascii="Cambria Math" w:hAnsi="Cambria Math" w:cs="Arial"/>
            <w:color w:val="000000" w:themeColor="text1"/>
            <w:lang w:val="es-CO"/>
          </w:rPr>
          <m:t>f</m:t>
        </m:r>
      </m:oMath>
      <w:r w:rsidR="007B1F69">
        <w:rPr>
          <w:rFonts w:cs="Arial"/>
          <w:color w:val="000000" w:themeColor="text1"/>
          <w:lang w:val="es-CO"/>
        </w:rPr>
        <w:t xml:space="preserve"> </w:t>
      </w:r>
      <w:r w:rsidR="007B1F69" w:rsidRPr="003E5827">
        <w:rPr>
          <w:rFonts w:cs="Arial"/>
          <w:b/>
          <w:bCs w:val="0"/>
          <w:iCs/>
          <w:color w:val="000000" w:themeColor="text1"/>
          <w:lang w:val="es-CO"/>
        </w:rPr>
        <w:t xml:space="preserve">(o punto estándar 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13707D">
        <w:rPr>
          <w:rFonts w:cs="Arial"/>
          <w:color w:val="000000" w:themeColor="text1"/>
          <w:lang w:val="es-CO"/>
        </w:rPr>
        <w:t xml:space="preserve">, </w:t>
      </w:r>
      <w:r w:rsidR="007B1F69">
        <w:rPr>
          <w:rFonts w:cs="Arial"/>
          <w:color w:val="000000" w:themeColor="text1"/>
          <w:lang w:val="es-CO"/>
        </w:rPr>
        <w:t>del</w:t>
      </w:r>
      <w:r w:rsidR="007B1F69" w:rsidRPr="0013707D">
        <w:rPr>
          <w:rFonts w:cs="Arial"/>
          <w:color w:val="000000" w:themeColor="text1"/>
          <w:lang w:val="es-CO"/>
        </w:rPr>
        <w:t xml:space="preserve">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Pr>
          <w:rFonts w:cs="Arial"/>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13707D">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13707D">
        <w:rPr>
          <w:rFonts w:cs="Arial"/>
          <w:color w:val="000000" w:themeColor="text1"/>
          <w:lang w:val="es-CO"/>
        </w:rPr>
        <w:t xml:space="preserve"> . Este valor se expresará en MBTUD.</w:t>
      </w:r>
    </w:p>
    <w:p w14:paraId="5649C094" w14:textId="77777777" w:rsidR="007B1F69" w:rsidRPr="0013707D" w:rsidRDefault="007B1F69" w:rsidP="007B1F69">
      <w:pPr>
        <w:pStyle w:val="ARTICULOS"/>
        <w:numPr>
          <w:ilvl w:val="0"/>
          <w:numId w:val="0"/>
        </w:numPr>
        <w:ind w:left="1559" w:hanging="1134"/>
        <w:rPr>
          <w:rFonts w:cs="Arial"/>
          <w:color w:val="000000" w:themeColor="text1"/>
          <w:lang w:val="es-CO"/>
        </w:rPr>
      </w:pPr>
    </w:p>
    <w:p w14:paraId="666DDBAF" w14:textId="77777777" w:rsidR="007B1F69" w:rsidRPr="00472E28" w:rsidRDefault="00FB7B28" w:rsidP="007B1F69">
      <w:pPr>
        <w:pStyle w:val="ARTICULOS"/>
        <w:numPr>
          <w:ilvl w:val="0"/>
          <w:numId w:val="0"/>
        </w:numPr>
        <w:ind w:left="1559" w:hanging="1134"/>
        <w:rPr>
          <w:rFonts w:cs="Arial"/>
          <w:color w:val="000000" w:themeColor="text1"/>
          <w:lang w:val="es-CO"/>
        </w:rPr>
      </w:pPr>
      <m:oMath>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OCGX</m:t>
                </m:r>
              </m:e>
              <m:sub>
                <m:r>
                  <w:rPr>
                    <w:rFonts w:ascii="Cambria Math" w:hAnsi="Cambria Math" w:cs="Arial"/>
                    <w:color w:val="000000" w:themeColor="text1"/>
                    <w:lang w:val="es-CO"/>
                  </w:rPr>
                  <m:t>f</m:t>
                </m:r>
                <m:d>
                  <m:dPr>
                    <m:ctrlPr>
                      <w:rPr>
                        <w:rFonts w:ascii="Cambria Math" w:hAnsi="Cambria Math" w:cs="Arial"/>
                        <w:b/>
                        <w:bCs w:val="0"/>
                        <w:i/>
                        <w:color w:val="000000" w:themeColor="text1"/>
                        <w:lang w:val="es-CO"/>
                      </w:rPr>
                    </m:ctrlPr>
                  </m:dPr>
                  <m:e>
                    <m:r>
                      <m:rPr>
                        <m:sty m:val="bi"/>
                      </m:rPr>
                      <w:rPr>
                        <w:rFonts w:ascii="Cambria Math" w:hAnsi="Cambria Math" w:cs="Arial"/>
                        <w:color w:val="000000" w:themeColor="text1"/>
                        <w:lang w:val="es-CO"/>
                      </w:rPr>
                      <m:t>pe</m:t>
                    </m:r>
                  </m:e>
                </m:d>
                <m:r>
                  <w:rPr>
                    <w:rFonts w:ascii="Cambria Math" w:hAnsi="Cambria Math" w:cs="Arial"/>
                    <w:color w:val="000000" w:themeColor="text1"/>
                    <w:lang w:val="es-CO"/>
                  </w:rPr>
                  <m:t>,</m:t>
                </m:r>
                <m:r>
                  <m:rPr>
                    <m:sty m:val="bi"/>
                  </m:rPr>
                  <w:rPr>
                    <w:rFonts w:ascii="Cambria Math" w:hAnsi="Cambria Math" w:cs="Arial"/>
                    <w:color w:val="000000" w:themeColor="text1"/>
                    <w:lang w:val="es-CO"/>
                  </w:rPr>
                  <m:t>v,c</m:t>
                </m:r>
                <m:r>
                  <w:rPr>
                    <w:rFonts w:ascii="Cambria Math" w:hAnsi="Cambria Math" w:cs="Arial"/>
                    <w:color w:val="000000" w:themeColor="text1"/>
                    <w:lang w:val="es-CO"/>
                  </w:rPr>
                  <m:t>,m</m:t>
                </m:r>
              </m:sub>
            </m:sSub>
          </m:sub>
        </m:sSub>
        <m:r>
          <w:rPr>
            <w:rFonts w:ascii="Cambria Math" w:hAnsi="Cambria Math" w:cs="Arial"/>
            <w:color w:val="000000" w:themeColor="text1"/>
            <w:lang w:val="es-CO"/>
          </w:rPr>
          <m:t>:</m:t>
        </m:r>
      </m:oMath>
      <w:r w:rsidR="007B1F69" w:rsidRPr="0013707D">
        <w:rPr>
          <w:rFonts w:cs="Arial"/>
          <w:color w:val="000000" w:themeColor="text1"/>
          <w:lang w:val="es-CO"/>
        </w:rPr>
        <w:tab/>
        <w:t xml:space="preserve">Oferta comprometida firme de contratos de opción de compra de gas contra exportaciones </w:t>
      </w:r>
      <m:oMath>
        <m:r>
          <w:rPr>
            <w:rFonts w:ascii="Cambria Math" w:hAnsi="Cambria Math" w:cs="Arial"/>
            <w:color w:val="000000" w:themeColor="text1"/>
            <w:lang w:val="es-CO"/>
          </w:rPr>
          <m:t>OCGX</m:t>
        </m:r>
      </m:oMath>
      <w:r w:rsidR="007B1F69" w:rsidRPr="0013707D">
        <w:rPr>
          <w:rFonts w:cs="Arial"/>
          <w:color w:val="000000" w:themeColor="text1"/>
          <w:lang w:val="es-CO"/>
        </w:rPr>
        <w:t xml:space="preserve"> de la fuente </w:t>
      </w:r>
      <m:oMath>
        <m:r>
          <w:rPr>
            <w:rFonts w:ascii="Cambria Math" w:hAnsi="Cambria Math" w:cs="Arial"/>
            <w:color w:val="000000" w:themeColor="text1"/>
            <w:lang w:val="es-CO"/>
          </w:rPr>
          <m:t>f</m:t>
        </m:r>
      </m:oMath>
      <w:r w:rsidR="007B1F69">
        <w:rPr>
          <w:rFonts w:cs="Arial"/>
          <w:color w:val="000000" w:themeColor="text1"/>
          <w:lang w:val="es-CO"/>
        </w:rPr>
        <w:t xml:space="preserve"> </w:t>
      </w:r>
      <w:r w:rsidR="007B1F69" w:rsidRPr="003E5827">
        <w:rPr>
          <w:rFonts w:cs="Arial"/>
          <w:b/>
          <w:bCs w:val="0"/>
          <w:iCs/>
          <w:color w:val="000000" w:themeColor="text1"/>
          <w:lang w:val="es-CO"/>
        </w:rPr>
        <w:t xml:space="preserve">(o punto estándar </w:t>
      </w:r>
      <w:r w:rsidR="007B1F69" w:rsidRPr="003E5827">
        <w:rPr>
          <w:rFonts w:cs="Arial"/>
          <w:b/>
          <w:bCs w:val="0"/>
          <w:iCs/>
          <w:color w:val="000000" w:themeColor="text1"/>
          <w:lang w:val="es-CO"/>
        </w:rPr>
        <w:lastRenderedPageBreak/>
        <w:t xml:space="preserve">de entrega </w:t>
      </w:r>
      <w:r w:rsidR="007B1F69" w:rsidRPr="003E5827">
        <w:rPr>
          <w:rFonts w:cs="Arial"/>
          <w:b/>
          <w:bCs w:val="0"/>
          <w:i/>
          <w:color w:val="000000" w:themeColor="text1"/>
          <w:lang w:val="es-CO"/>
        </w:rPr>
        <w:t>pe</w:t>
      </w:r>
      <w:r w:rsidR="007B1F69" w:rsidRPr="003E5827">
        <w:rPr>
          <w:rFonts w:cs="Arial"/>
          <w:b/>
          <w:bCs w:val="0"/>
          <w:iCs/>
          <w:color w:val="000000" w:themeColor="text1"/>
          <w:lang w:val="es-CO"/>
        </w:rPr>
        <w:t>)</w:t>
      </w:r>
      <w:r w:rsidR="007B1F69" w:rsidRPr="003E5827">
        <w:rPr>
          <w:rFonts w:cs="Arial"/>
          <w:b/>
          <w:bCs w:val="0"/>
          <w:color w:val="000000" w:themeColor="text1"/>
          <w:lang w:val="es-CO"/>
        </w:rPr>
        <w:t>,</w:t>
      </w:r>
      <w:r w:rsidR="007B1F69">
        <w:rPr>
          <w:rFonts w:cs="Arial"/>
          <w:color w:val="000000" w:themeColor="text1"/>
          <w:lang w:val="es-CO"/>
        </w:rPr>
        <w:t xml:space="preserve"> del</w:t>
      </w:r>
      <w:r w:rsidR="007B1F69" w:rsidRPr="0013707D">
        <w:rPr>
          <w:rFonts w:cs="Arial"/>
          <w:color w:val="000000" w:themeColor="text1"/>
          <w:lang w:val="es-CO"/>
        </w:rPr>
        <w:t xml:space="preserve"> </w:t>
      </w:r>
      <w:r w:rsidR="007B1F69" w:rsidRPr="003E5827">
        <w:rPr>
          <w:rFonts w:cs="Arial"/>
          <w:b/>
          <w:bCs w:val="0"/>
          <w:color w:val="000000" w:themeColor="text1"/>
          <w:lang w:val="es-CO"/>
        </w:rPr>
        <w:t xml:space="preserve">vendedor </w:t>
      </w:r>
      <w:r w:rsidR="007B1F69" w:rsidRPr="003E5827">
        <w:rPr>
          <w:rFonts w:cs="Arial"/>
          <w:b/>
          <w:bCs w:val="0"/>
          <w:i/>
          <w:iCs/>
          <w:color w:val="000000" w:themeColor="text1"/>
          <w:lang w:val="es-CO"/>
        </w:rPr>
        <w:t>v</w:t>
      </w:r>
      <w:r w:rsidR="007B1F69">
        <w:rPr>
          <w:rFonts w:cs="Arial"/>
          <w:b/>
          <w:bCs w:val="0"/>
          <w:color w:val="000000" w:themeColor="text1"/>
          <w:lang w:val="es-CO"/>
        </w:rPr>
        <w:t xml:space="preserve"> del Mercado Mayorista</w:t>
      </w:r>
      <w:r w:rsidR="007B1F69">
        <w:rPr>
          <w:rFonts w:cs="Arial"/>
          <w:color w:val="000000" w:themeColor="text1"/>
          <w:lang w:val="es-CO"/>
        </w:rPr>
        <w:t xml:space="preserve">,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472E28">
        <w:rPr>
          <w:rFonts w:cs="Arial"/>
          <w:color w:val="000000" w:themeColor="text1"/>
          <w:lang w:val="es-CO"/>
        </w:rPr>
        <w:t xml:space="preserve">para el mes </w:t>
      </w:r>
      <m:oMath>
        <m:r>
          <w:rPr>
            <w:rFonts w:ascii="Cambria Math" w:hAnsi="Cambria Math" w:cs="Arial"/>
            <w:color w:val="000000" w:themeColor="text1"/>
            <w:lang w:val="es-CO"/>
          </w:rPr>
          <m:t>m</m:t>
        </m:r>
      </m:oMath>
      <w:r w:rsidR="007B1F69" w:rsidRPr="00472E28">
        <w:rPr>
          <w:rFonts w:cs="Arial"/>
          <w:color w:val="000000" w:themeColor="text1"/>
          <w:lang w:val="es-CO"/>
        </w:rPr>
        <w:t xml:space="preserve"> . Este valor se expresará en MBTUD.</w:t>
      </w:r>
    </w:p>
    <w:p w14:paraId="1F91B453" w14:textId="77777777" w:rsidR="007B1F69" w:rsidRPr="00472E28" w:rsidRDefault="007B1F69" w:rsidP="007B1F69">
      <w:pPr>
        <w:pStyle w:val="ARTICULOS"/>
        <w:numPr>
          <w:ilvl w:val="0"/>
          <w:numId w:val="0"/>
        </w:numPr>
        <w:ind w:left="1559" w:hanging="1134"/>
        <w:rPr>
          <w:rFonts w:cs="Arial"/>
          <w:color w:val="000000" w:themeColor="text1"/>
          <w:lang w:val="es-CO"/>
        </w:rPr>
      </w:pPr>
    </w:p>
    <w:p w14:paraId="33BF8F46" w14:textId="77777777" w:rsidR="007B1F69" w:rsidRPr="00472E28" w:rsidRDefault="00FB7B28" w:rsidP="007B1F69">
      <w:pPr>
        <w:pStyle w:val="ARTICULOS"/>
        <w:numPr>
          <w:ilvl w:val="0"/>
          <w:numId w:val="0"/>
        </w:numPr>
        <w:tabs>
          <w:tab w:val="clear" w:pos="1559"/>
        </w:tabs>
        <w:ind w:left="1560" w:hanging="1134"/>
        <w:rPr>
          <w:rFonts w:cs="Arial"/>
          <w:color w:val="000000" w:themeColor="text1"/>
          <w:lang w:val="es-CO"/>
        </w:rPr>
      </w:pPr>
      <m:oMath>
        <m:sSub>
          <m:sSubPr>
            <m:ctrlPr>
              <w:rPr>
                <w:rFonts w:ascii="Cambria Math" w:hAnsi="Cambria Math" w:cs="Arial"/>
                <w:b/>
                <w:bCs w:val="0"/>
                <w:i/>
                <w:color w:val="000000" w:themeColor="text1"/>
                <w:sz w:val="22"/>
                <w:szCs w:val="19"/>
                <w:lang w:val="es-CO"/>
              </w:rPr>
            </m:ctrlPr>
          </m:sSubPr>
          <m:e>
            <m:r>
              <m:rPr>
                <m:sty m:val="bi"/>
              </m:rPr>
              <w:rPr>
                <w:rFonts w:ascii="Cambria Math" w:hAnsi="Cambria Math" w:cs="Arial"/>
                <w:color w:val="000000" w:themeColor="text1"/>
                <w:sz w:val="22"/>
                <w:szCs w:val="19"/>
                <w:lang w:val="es-CO"/>
              </w:rPr>
              <m:t>O</m:t>
            </m:r>
          </m:e>
          <m:sub>
            <m:sSub>
              <m:sSubPr>
                <m:ctrlPr>
                  <w:rPr>
                    <w:rFonts w:ascii="Cambria Math" w:hAnsi="Cambria Math" w:cs="Arial"/>
                    <w:b/>
                    <w:bCs w:val="0"/>
                    <w:i/>
                    <w:color w:val="000000" w:themeColor="text1"/>
                    <w:sz w:val="22"/>
                    <w:szCs w:val="19"/>
                    <w:lang w:val="es-CO"/>
                  </w:rPr>
                </m:ctrlPr>
              </m:sSubPr>
              <m:e>
                <m:r>
                  <m:rPr>
                    <m:sty m:val="bi"/>
                  </m:rPr>
                  <w:rPr>
                    <w:rFonts w:ascii="Cambria Math" w:hAnsi="Cambria Math" w:cs="Arial"/>
                    <w:color w:val="000000" w:themeColor="text1"/>
                    <w:sz w:val="22"/>
                    <w:szCs w:val="19"/>
                    <w:lang w:val="es-CO"/>
                  </w:rPr>
                  <m:t>MC</m:t>
                </m:r>
              </m:e>
              <m:sub>
                <m:r>
                  <m:rPr>
                    <m:sty m:val="bi"/>
                  </m:rPr>
                  <w:rPr>
                    <w:rFonts w:ascii="Cambria Math" w:hAnsi="Cambria Math" w:cs="Arial"/>
                    <w:color w:val="000000" w:themeColor="text1"/>
                    <w:sz w:val="22"/>
                    <w:szCs w:val="19"/>
                    <w:lang w:val="es-CO"/>
                  </w:rPr>
                  <m:t>f</m:t>
                </m:r>
                <m:d>
                  <m:dPr>
                    <m:ctrlPr>
                      <w:rPr>
                        <w:rFonts w:ascii="Cambria Math" w:hAnsi="Cambria Math" w:cs="Arial"/>
                        <w:b/>
                        <w:i/>
                        <w:color w:val="000000" w:themeColor="text1"/>
                        <w:sz w:val="22"/>
                        <w:szCs w:val="19"/>
                        <w:lang w:val="es-CO"/>
                      </w:rPr>
                    </m:ctrlPr>
                  </m:dPr>
                  <m:e>
                    <m:r>
                      <m:rPr>
                        <m:sty m:val="bi"/>
                      </m:rPr>
                      <w:rPr>
                        <w:rFonts w:ascii="Cambria Math" w:hAnsi="Cambria Math" w:cs="Arial"/>
                        <w:color w:val="000000" w:themeColor="text1"/>
                        <w:sz w:val="22"/>
                        <w:szCs w:val="19"/>
                        <w:lang w:val="es-CO"/>
                      </w:rPr>
                      <m:t>pe</m:t>
                    </m:r>
                  </m:e>
                </m:d>
                <m:r>
                  <m:rPr>
                    <m:sty m:val="bi"/>
                  </m:rPr>
                  <w:rPr>
                    <w:rFonts w:ascii="Cambria Math" w:hAnsi="Cambria Math" w:cs="Arial"/>
                    <w:color w:val="000000" w:themeColor="text1"/>
                    <w:sz w:val="22"/>
                    <w:szCs w:val="19"/>
                    <w:lang w:val="es-CO"/>
                  </w:rPr>
                  <m:t>,v,c,m</m:t>
                </m:r>
              </m:sub>
            </m:sSub>
          </m:sub>
        </m:sSub>
      </m:oMath>
      <w:r w:rsidR="007B1F69" w:rsidRPr="00472E28">
        <w:rPr>
          <w:rFonts w:cs="Arial"/>
          <w:b/>
          <w:bCs w:val="0"/>
          <w:color w:val="000000" w:themeColor="text1"/>
          <w:sz w:val="22"/>
          <w:szCs w:val="19"/>
          <w:lang w:val="es-CO"/>
        </w:rPr>
        <w:t xml:space="preserve">:    </w:t>
      </w:r>
      <w:r w:rsidR="007B1F69" w:rsidRPr="003E5827">
        <w:rPr>
          <w:rFonts w:cs="Arial"/>
          <w:b/>
          <w:bCs w:val="0"/>
          <w:color w:val="000000" w:themeColor="text1"/>
          <w:lang w:val="es-CO"/>
        </w:rPr>
        <w:t xml:space="preserve">Cantidad comprometida en cualquier modalidad de tipo firme usada en el mercado minorista, del </w:t>
      </w:r>
      <w:r w:rsidR="007B1F69" w:rsidRPr="00A85E96">
        <w:rPr>
          <w:rFonts w:cs="Arial"/>
          <w:b/>
          <w:bCs w:val="0"/>
          <w:color w:val="000000" w:themeColor="text1"/>
          <w:lang w:val="es-CO"/>
        </w:rPr>
        <w:t xml:space="preserve">vendedor </w:t>
      </w:r>
      <w:r w:rsidR="007B1F69" w:rsidRPr="00A85E96">
        <w:rPr>
          <w:rFonts w:cs="Arial"/>
          <w:b/>
          <w:bCs w:val="0"/>
          <w:i/>
          <w:iCs/>
          <w:color w:val="000000" w:themeColor="text1"/>
          <w:lang w:val="es-CO"/>
        </w:rPr>
        <w:t>v</w:t>
      </w:r>
      <w:r w:rsidR="007B1F69" w:rsidRPr="00A85E96">
        <w:rPr>
          <w:rFonts w:cs="Arial"/>
          <w:b/>
          <w:bCs w:val="0"/>
          <w:color w:val="000000" w:themeColor="text1"/>
          <w:lang w:val="es-CO"/>
        </w:rPr>
        <w:t xml:space="preserve"> del Mercado Mayorista, </w:t>
      </w:r>
      <w:r w:rsidR="007B1F69" w:rsidRPr="003E5827">
        <w:rPr>
          <w:rFonts w:cs="Arial"/>
          <w:b/>
          <w:bCs w:val="0"/>
          <w:color w:val="000000" w:themeColor="text1"/>
          <w:lang w:val="es-CO"/>
        </w:rPr>
        <w:t xml:space="preserve">del contrato </w:t>
      </w:r>
      <w:r w:rsidR="007B1F69" w:rsidRPr="003E5827">
        <w:rPr>
          <w:rFonts w:cs="Arial"/>
          <w:b/>
          <w:bCs w:val="0"/>
          <w:i/>
          <w:iCs/>
          <w:color w:val="000000" w:themeColor="text1"/>
          <w:lang w:val="es-CO"/>
        </w:rPr>
        <w:t>c</w:t>
      </w:r>
      <w:r w:rsidR="007B1F69">
        <w:rPr>
          <w:rFonts w:cs="Arial"/>
          <w:color w:val="000000" w:themeColor="text1"/>
          <w:lang w:val="es-CO"/>
        </w:rPr>
        <w:t xml:space="preserve">, </w:t>
      </w:r>
      <w:r w:rsidR="007B1F69" w:rsidRPr="00A85E96">
        <w:rPr>
          <w:rFonts w:cs="Arial"/>
          <w:b/>
          <w:bCs w:val="0"/>
          <w:color w:val="000000" w:themeColor="text1"/>
          <w:lang w:val="es-CO"/>
        </w:rPr>
        <w:t xml:space="preserve">para el mes </w:t>
      </w:r>
      <m:oMath>
        <m:r>
          <m:rPr>
            <m:sty m:val="bi"/>
          </m:rPr>
          <w:rPr>
            <w:rFonts w:ascii="Cambria Math" w:hAnsi="Cambria Math" w:cs="Arial"/>
            <w:color w:val="000000" w:themeColor="text1"/>
            <w:lang w:val="es-CO"/>
          </w:rPr>
          <m:t>m</m:t>
        </m:r>
      </m:oMath>
      <w:r w:rsidR="007B1F69" w:rsidRPr="003E5827">
        <w:rPr>
          <w:rFonts w:cs="Arial"/>
          <w:b/>
          <w:bCs w:val="0"/>
          <w:color w:val="000000" w:themeColor="text1"/>
          <w:lang w:val="es-CO"/>
        </w:rPr>
        <w:t>.</w:t>
      </w:r>
      <w:r w:rsidR="007B1F69" w:rsidRPr="00A85E96">
        <w:rPr>
          <w:rFonts w:cs="Arial"/>
          <w:b/>
          <w:bCs w:val="0"/>
          <w:color w:val="000000" w:themeColor="text1"/>
          <w:lang w:val="es-CO"/>
        </w:rPr>
        <w:t xml:space="preserve"> Este valor se expresará en MBTUD</w:t>
      </w:r>
      <w:r w:rsidR="007B1F69" w:rsidRPr="00472E28">
        <w:rPr>
          <w:rFonts w:cs="Arial"/>
          <w:b/>
          <w:bCs w:val="0"/>
          <w:color w:val="000000" w:themeColor="text1"/>
          <w:lang w:val="es-CO"/>
        </w:rPr>
        <w:t>.</w:t>
      </w:r>
    </w:p>
    <w:p w14:paraId="56E82FF8" w14:textId="77777777" w:rsidR="007B1F69" w:rsidRPr="00472E28" w:rsidRDefault="007B1F69" w:rsidP="007B1F69">
      <w:pPr>
        <w:pStyle w:val="ARTICULOS"/>
        <w:numPr>
          <w:ilvl w:val="0"/>
          <w:numId w:val="0"/>
        </w:numPr>
        <w:ind w:left="1559" w:hanging="1134"/>
        <w:rPr>
          <w:rFonts w:cs="Arial"/>
          <w:color w:val="000000" w:themeColor="text1"/>
          <w:lang w:val="es-CO"/>
        </w:rPr>
      </w:pPr>
    </w:p>
    <w:p w14:paraId="24851822" w14:textId="77777777" w:rsidR="007B1F69" w:rsidRPr="00920F0D" w:rsidRDefault="007B1F69" w:rsidP="007B1F69">
      <w:pPr>
        <w:pStyle w:val="ARTICULOS"/>
        <w:numPr>
          <w:ilvl w:val="0"/>
          <w:numId w:val="0"/>
        </w:numPr>
        <w:ind w:left="1559" w:hanging="1134"/>
        <w:rPr>
          <w:rFonts w:cs="Arial"/>
          <w:color w:val="000000" w:themeColor="text1"/>
          <w:lang w:val="es-CO"/>
        </w:rPr>
      </w:pPr>
      <m:oMath>
        <m:r>
          <w:rPr>
            <w:rFonts w:ascii="Cambria Math" w:hAnsi="Cambria Math" w:cs="Arial"/>
            <w:color w:val="000000" w:themeColor="text1"/>
            <w:lang w:val="es-CO"/>
          </w:rPr>
          <m:t>m</m:t>
        </m:r>
      </m:oMath>
      <w:r w:rsidRPr="00920F0D">
        <w:rPr>
          <w:rFonts w:cs="Arial"/>
          <w:color w:val="000000" w:themeColor="text1"/>
          <w:lang w:val="es-CO"/>
        </w:rPr>
        <w:t>:</w:t>
      </w:r>
      <w:r w:rsidRPr="00920F0D">
        <w:rPr>
          <w:rFonts w:cs="Arial"/>
          <w:color w:val="000000" w:themeColor="text1"/>
          <w:lang w:val="es-CO"/>
        </w:rPr>
        <w:tab/>
        <w:t xml:space="preserve">Todos y cada uno de los </w:t>
      </w:r>
      <w:r w:rsidRPr="003E5827">
        <w:rPr>
          <w:rFonts w:cs="Arial"/>
          <w:b/>
          <w:bCs w:val="0"/>
          <w:color w:val="000000" w:themeColor="text1"/>
          <w:lang w:val="es-CO"/>
        </w:rPr>
        <w:t>siguientes sesenta (60)</w:t>
      </w:r>
      <w:r>
        <w:rPr>
          <w:rFonts w:cs="Arial"/>
          <w:color w:val="000000" w:themeColor="text1"/>
          <w:lang w:val="es-CO"/>
        </w:rPr>
        <w:t xml:space="preserve"> </w:t>
      </w:r>
      <w:r w:rsidRPr="00920F0D">
        <w:rPr>
          <w:rFonts w:cs="Arial"/>
          <w:color w:val="000000" w:themeColor="text1"/>
          <w:lang w:val="es-CO"/>
        </w:rPr>
        <w:t>meses.</w:t>
      </w:r>
    </w:p>
    <w:p w14:paraId="5337FCF8" w14:textId="77777777" w:rsidR="007B1F69" w:rsidRDefault="007B1F69" w:rsidP="007B1F69">
      <w:pPr>
        <w:tabs>
          <w:tab w:val="left" w:pos="1478"/>
        </w:tabs>
        <w:ind w:left="0"/>
        <w:rPr>
          <w:rFonts w:ascii="Bookman Old Style" w:hAnsi="Bookman Old Style" w:cs="Arial"/>
          <w:color w:val="000000" w:themeColor="text1"/>
          <w:lang w:val="es-CO"/>
        </w:rPr>
      </w:pPr>
    </w:p>
    <w:p w14:paraId="18DA14FB" w14:textId="0FCE1BD4" w:rsidR="007B1F69" w:rsidRDefault="007B1F69" w:rsidP="007B1F69">
      <w:pPr>
        <w:tabs>
          <w:tab w:val="left" w:pos="1478"/>
        </w:tabs>
        <w:ind w:left="0"/>
        <w:rPr>
          <w:rFonts w:ascii="Bookman Old Style" w:hAnsi="Bookman Old Style" w:cs="Arial"/>
          <w:color w:val="000000" w:themeColor="text1"/>
          <w:lang w:val="es-CO"/>
        </w:rPr>
      </w:pPr>
    </w:p>
    <w:p w14:paraId="2B850EF7" w14:textId="0CA66FEE" w:rsidR="007B1F69" w:rsidRDefault="007B1F69" w:rsidP="007B1F69">
      <w:pPr>
        <w:tabs>
          <w:tab w:val="left" w:pos="1478"/>
        </w:tabs>
        <w:ind w:left="0"/>
        <w:jc w:val="center"/>
        <w:rPr>
          <w:rFonts w:ascii="Bookman Old Style" w:hAnsi="Bookman Old Style" w:cs="Arial"/>
          <w:color w:val="000000" w:themeColor="text1"/>
          <w:highlight w:val="green"/>
          <w:lang w:val="es-CO"/>
        </w:rPr>
      </w:pPr>
    </w:p>
    <w:p w14:paraId="6820BEB9" w14:textId="77777777" w:rsidR="00FE3FA1" w:rsidRPr="00F503ED" w:rsidRDefault="00FE3FA1" w:rsidP="0006302B">
      <w:pPr>
        <w:tabs>
          <w:tab w:val="left" w:pos="1478"/>
        </w:tabs>
        <w:ind w:left="0"/>
        <w:jc w:val="center"/>
        <w:rPr>
          <w:rFonts w:ascii="Bookman Old Style" w:hAnsi="Bookman Old Style" w:cs="Arial"/>
          <w:color w:val="000000" w:themeColor="text1"/>
          <w:lang w:val="es-CO"/>
        </w:rPr>
      </w:pPr>
    </w:p>
    <w:p w14:paraId="7D6C72FA" w14:textId="77777777" w:rsidR="00606DD5" w:rsidRPr="00F503ED" w:rsidRDefault="00606DD5" w:rsidP="0006302B">
      <w:pPr>
        <w:pStyle w:val="NormalWeb"/>
        <w:spacing w:before="0" w:beforeAutospacing="0" w:after="0" w:afterAutospacing="0"/>
        <w:jc w:val="center"/>
        <w:rPr>
          <w:rFonts w:ascii="Bookman Old Style" w:hAnsi="Bookman Old Style" w:cs="Arial"/>
          <w:color w:val="000000" w:themeColor="text1"/>
        </w:rPr>
        <w:sectPr w:rsidR="00606DD5" w:rsidRPr="00F503ED" w:rsidSect="003D0624">
          <w:pgSz w:w="12247" w:h="18705" w:code="121"/>
          <w:pgMar w:top="2342" w:right="1185" w:bottom="1758" w:left="1701" w:header="709" w:footer="709" w:gutter="0"/>
          <w:cols w:space="708"/>
          <w:titlePg/>
          <w:docGrid w:linePitch="360"/>
        </w:sectPr>
      </w:pPr>
    </w:p>
    <w:p w14:paraId="74DF9091" w14:textId="23E40026" w:rsidR="006A3773" w:rsidRPr="00F503ED" w:rsidRDefault="006A3773" w:rsidP="006A3773">
      <w:pPr>
        <w:pStyle w:val="Ttulo1"/>
        <w:ind w:left="0"/>
        <w:rPr>
          <w:rFonts w:ascii="Bookman Old Style" w:hAnsi="Bookman Old Style"/>
          <w:color w:val="000000" w:themeColor="text1"/>
          <w:szCs w:val="24"/>
        </w:rPr>
      </w:pPr>
      <w:r w:rsidRPr="00F503ED">
        <w:rPr>
          <w:rFonts w:ascii="Bookman Old Style" w:hAnsi="Bookman Old Style"/>
          <w:color w:val="000000" w:themeColor="text1"/>
        </w:rPr>
        <w:lastRenderedPageBreak/>
        <w:t xml:space="preserve">Anexo </w:t>
      </w:r>
      <w:r w:rsidR="00277A0F" w:rsidRPr="00F503ED">
        <w:rPr>
          <w:rFonts w:ascii="Bookman Old Style" w:hAnsi="Bookman Old Style"/>
          <w:color w:val="000000" w:themeColor="text1"/>
        </w:rPr>
        <w:t>6</w:t>
      </w:r>
    </w:p>
    <w:p w14:paraId="1C79D787" w14:textId="4A4D29E6" w:rsidR="006A3773" w:rsidRPr="00F503ED" w:rsidRDefault="006A3773" w:rsidP="0006302B">
      <w:pPr>
        <w:pStyle w:val="NormalWeb"/>
        <w:spacing w:before="0" w:beforeAutospacing="0" w:after="0" w:afterAutospacing="0"/>
        <w:jc w:val="center"/>
        <w:rPr>
          <w:rFonts w:ascii="Bookman Old Style" w:hAnsi="Bookman Old Style" w:cs="Arial"/>
          <w:b/>
          <w:bCs/>
          <w:color w:val="000000" w:themeColor="text1"/>
        </w:rPr>
      </w:pPr>
      <w:r w:rsidRPr="00F503ED">
        <w:rPr>
          <w:rFonts w:ascii="Bookman Old Style" w:hAnsi="Bookman Old Style" w:cs="Arial"/>
          <w:b/>
          <w:bCs/>
          <w:color w:val="000000" w:themeColor="text1"/>
        </w:rPr>
        <w:t xml:space="preserve">Tipos de garantías </w:t>
      </w:r>
    </w:p>
    <w:p w14:paraId="0D4D2CBB" w14:textId="64B9C30B" w:rsidR="00285922" w:rsidRPr="00F503ED" w:rsidRDefault="00285922" w:rsidP="0006302B">
      <w:pPr>
        <w:pStyle w:val="NormalWeb"/>
        <w:spacing w:before="0" w:beforeAutospacing="0" w:after="0" w:afterAutospacing="0"/>
        <w:jc w:val="center"/>
        <w:rPr>
          <w:rFonts w:ascii="Bookman Old Style" w:hAnsi="Bookman Old Style" w:cs="Arial"/>
          <w:b/>
          <w:bCs/>
          <w:color w:val="000000" w:themeColor="text1"/>
        </w:rPr>
      </w:pPr>
    </w:p>
    <w:p w14:paraId="71E40C55" w14:textId="3CEEA8C6" w:rsidR="00285922" w:rsidRPr="00F503ED" w:rsidRDefault="00285922" w:rsidP="00285922">
      <w:pPr>
        <w:tabs>
          <w:tab w:val="left" w:pos="567"/>
        </w:tabs>
        <w:ind w:left="0"/>
        <w:jc w:val="both"/>
        <w:rPr>
          <w:rFonts w:ascii="Bookman Old Style" w:hAnsi="Bookman Old Style" w:cs="Arial"/>
          <w:b/>
          <w:bCs/>
          <w:color w:val="000000" w:themeColor="text1"/>
        </w:rPr>
      </w:pPr>
      <w:r w:rsidRPr="00F503ED">
        <w:rPr>
          <w:rFonts w:ascii="Bookman Old Style" w:hAnsi="Bookman Old Style" w:cs="Arial"/>
          <w:b/>
          <w:bCs/>
          <w:color w:val="000000" w:themeColor="text1"/>
        </w:rPr>
        <w:t xml:space="preserve">Los tipos de garantías que serán aceptadas en las negociaciones de los contratos bajo las modalidades establecidas por la CREG de acuerdo con el </w:t>
      </w:r>
      <w:r w:rsidR="007A5C4A">
        <w:rPr>
          <w:rFonts w:ascii="Bookman Old Style" w:hAnsi="Bookman Old Style" w:cs="Arial"/>
          <w:b/>
          <w:bCs/>
          <w:color w:val="000000" w:themeColor="text1"/>
        </w:rPr>
        <w:t>a</w:t>
      </w:r>
      <w:r w:rsidRPr="00F503ED">
        <w:rPr>
          <w:rFonts w:ascii="Bookman Old Style" w:hAnsi="Bookman Old Style" w:cs="Arial"/>
          <w:b/>
          <w:bCs/>
          <w:color w:val="000000" w:themeColor="text1"/>
        </w:rPr>
        <w:t>rtículo 8 de la presente resolución</w:t>
      </w:r>
      <w:r w:rsidR="00EF0E61" w:rsidRPr="00F503ED">
        <w:rPr>
          <w:rFonts w:ascii="Bookman Old Style" w:hAnsi="Bookman Old Style" w:cs="Arial"/>
          <w:b/>
          <w:bCs/>
          <w:color w:val="000000" w:themeColor="text1"/>
        </w:rPr>
        <w:t>,</w:t>
      </w:r>
      <w:r w:rsidRPr="00F503ED">
        <w:rPr>
          <w:rFonts w:ascii="Bookman Old Style" w:hAnsi="Bookman Old Style" w:cs="Arial"/>
          <w:b/>
          <w:bCs/>
          <w:color w:val="000000" w:themeColor="text1"/>
        </w:rPr>
        <w:t xml:space="preserve"> para efectos de lo establecido en el literal j) del </w:t>
      </w:r>
      <w:r w:rsidR="00260FD1">
        <w:rPr>
          <w:rFonts w:ascii="Bookman Old Style" w:hAnsi="Bookman Old Style" w:cs="Arial"/>
          <w:b/>
          <w:bCs/>
          <w:color w:val="000000" w:themeColor="text1"/>
        </w:rPr>
        <w:t>a</w:t>
      </w:r>
      <w:r w:rsidRPr="00F503ED">
        <w:rPr>
          <w:rFonts w:ascii="Bookman Old Style" w:hAnsi="Bookman Old Style" w:cs="Arial"/>
          <w:b/>
          <w:bCs/>
          <w:color w:val="000000" w:themeColor="text1"/>
        </w:rPr>
        <w:t xml:space="preserve">rtículo 23 de la misma, son los siguientes: </w:t>
      </w:r>
    </w:p>
    <w:p w14:paraId="54BA0E4A" w14:textId="77777777" w:rsidR="00285922" w:rsidRPr="00F503ED" w:rsidRDefault="00285922" w:rsidP="00285922">
      <w:pPr>
        <w:tabs>
          <w:tab w:val="left" w:pos="567"/>
        </w:tabs>
        <w:ind w:left="0"/>
        <w:jc w:val="both"/>
        <w:rPr>
          <w:rFonts w:ascii="Bookman Old Style" w:hAnsi="Bookman Old Style" w:cs="Arial"/>
          <w:b/>
          <w:bCs/>
          <w:color w:val="000000" w:themeColor="text1"/>
        </w:rPr>
      </w:pPr>
    </w:p>
    <w:p w14:paraId="00C31F01" w14:textId="77777777" w:rsidR="00285922" w:rsidRPr="00F503ED" w:rsidRDefault="00285922" w:rsidP="00285922">
      <w:pPr>
        <w:pStyle w:val="Prrafodelista"/>
        <w:numPr>
          <w:ilvl w:val="0"/>
          <w:numId w:val="104"/>
        </w:numPr>
        <w:tabs>
          <w:tab w:val="left" w:pos="1478"/>
        </w:tabs>
        <w:ind w:left="567" w:hanging="567"/>
        <w:jc w:val="both"/>
        <w:rPr>
          <w:rFonts w:ascii="Bookman Old Style" w:hAnsi="Bookman Old Style"/>
          <w:b/>
          <w:bCs/>
          <w:color w:val="000000" w:themeColor="text1"/>
          <w:sz w:val="24"/>
          <w:szCs w:val="24"/>
          <w:lang w:val="es-ES"/>
        </w:rPr>
      </w:pPr>
      <w:bookmarkStart w:id="173" w:name="_Ref410740570"/>
      <w:r w:rsidRPr="00F503ED">
        <w:rPr>
          <w:rFonts w:ascii="Bookman Old Style" w:hAnsi="Bookman Old Style"/>
          <w:b/>
          <w:bCs/>
          <w:color w:val="000000" w:themeColor="text1"/>
          <w:sz w:val="24"/>
          <w:szCs w:val="24"/>
          <w:lang w:val="es-ES"/>
        </w:rPr>
        <w:t>Garantía bancaria de una entidad financiera en Colombia: instrumento mediante el cual una institución financiera, debidamente autorizada por la Superintendencia Financiera, garantiza de forma incondicional e irrevocable el pago de las obligaciones indicadas en la presente resolución. La forma y perfeccionamiento de esta garantía se regirá por las normas del Código de Comercio que regulan la materia y por las demás disposiciones aplicables o aquellas que las modifiquen, adicionen o sustituyan.</w:t>
      </w:r>
      <w:bookmarkEnd w:id="173"/>
    </w:p>
    <w:p w14:paraId="58890EFA" w14:textId="77777777" w:rsidR="00285922" w:rsidRPr="00F503ED" w:rsidRDefault="00285922" w:rsidP="00285922">
      <w:pPr>
        <w:pStyle w:val="Prrafodelista"/>
        <w:tabs>
          <w:tab w:val="left" w:pos="1478"/>
        </w:tabs>
        <w:ind w:left="567" w:hanging="567"/>
        <w:jc w:val="both"/>
        <w:rPr>
          <w:rFonts w:ascii="Bookman Old Style" w:hAnsi="Bookman Old Style"/>
          <w:b/>
          <w:bCs/>
          <w:color w:val="000000" w:themeColor="text1"/>
          <w:sz w:val="24"/>
          <w:szCs w:val="24"/>
          <w:lang w:val="es-ES"/>
        </w:rPr>
      </w:pPr>
    </w:p>
    <w:p w14:paraId="1D106DB5" w14:textId="77777777" w:rsidR="00285922" w:rsidRPr="00F503ED" w:rsidRDefault="00285922" w:rsidP="00285922">
      <w:pPr>
        <w:pStyle w:val="Prrafodelista"/>
        <w:numPr>
          <w:ilvl w:val="0"/>
          <w:numId w:val="104"/>
        </w:numPr>
        <w:tabs>
          <w:tab w:val="left" w:pos="1478"/>
        </w:tabs>
        <w:ind w:left="567" w:hanging="567"/>
        <w:jc w:val="both"/>
        <w:rPr>
          <w:rFonts w:ascii="Bookman Old Style" w:hAnsi="Bookman Old Style"/>
          <w:b/>
          <w:bCs/>
          <w:color w:val="000000" w:themeColor="text1"/>
          <w:sz w:val="24"/>
          <w:szCs w:val="24"/>
          <w:lang w:val="es-ES"/>
        </w:rPr>
      </w:pPr>
      <w:r w:rsidRPr="00F503ED">
        <w:rPr>
          <w:rFonts w:ascii="Bookman Old Style" w:hAnsi="Bookman Old Style"/>
          <w:b/>
          <w:bCs/>
          <w:color w:val="000000" w:themeColor="text1"/>
          <w:sz w:val="24"/>
          <w:szCs w:val="24"/>
          <w:lang w:val="es-ES"/>
        </w:rPr>
        <w:t xml:space="preserve">Carta de crédito stand </w:t>
      </w:r>
      <w:proofErr w:type="spellStart"/>
      <w:r w:rsidRPr="00F503ED">
        <w:rPr>
          <w:rFonts w:ascii="Bookman Old Style" w:hAnsi="Bookman Old Style"/>
          <w:b/>
          <w:bCs/>
          <w:color w:val="000000" w:themeColor="text1"/>
          <w:sz w:val="24"/>
          <w:szCs w:val="24"/>
          <w:lang w:val="es-ES"/>
        </w:rPr>
        <w:t>by</w:t>
      </w:r>
      <w:proofErr w:type="spellEnd"/>
      <w:r w:rsidRPr="00F503ED">
        <w:rPr>
          <w:rFonts w:ascii="Bookman Old Style" w:hAnsi="Bookman Old Style"/>
          <w:b/>
          <w:bCs/>
          <w:color w:val="000000" w:themeColor="text1"/>
          <w:sz w:val="24"/>
          <w:szCs w:val="24"/>
          <w:lang w:val="es-ES"/>
        </w:rPr>
        <w:t xml:space="preserve"> de una entidad financiera en Colombia: crédito documental e irrevocable, mediante el cual una institución financiera, debidamente autorizada por la Superintendencia Financiera, se compromete directamente o por intermedio de un banco corresponsal, al pago de las obligaciones indicadas en la presente resolución, contra la previa presentación de la carta de crédito stand </w:t>
      </w:r>
      <w:proofErr w:type="spellStart"/>
      <w:r w:rsidRPr="00F503ED">
        <w:rPr>
          <w:rFonts w:ascii="Bookman Old Style" w:hAnsi="Bookman Old Style"/>
          <w:b/>
          <w:bCs/>
          <w:color w:val="000000" w:themeColor="text1"/>
          <w:sz w:val="24"/>
          <w:szCs w:val="24"/>
          <w:lang w:val="es-ES"/>
        </w:rPr>
        <w:t>by</w:t>
      </w:r>
      <w:proofErr w:type="spellEnd"/>
      <w:r w:rsidRPr="00F503ED">
        <w:rPr>
          <w:rFonts w:ascii="Bookman Old Style" w:hAnsi="Bookman Old Style"/>
          <w:b/>
          <w:bCs/>
          <w:color w:val="000000" w:themeColor="text1"/>
          <w:sz w:val="24"/>
          <w:szCs w:val="24"/>
          <w:lang w:val="es-ES"/>
        </w:rPr>
        <w:t>. La forma y perfeccionamiento de ésta se regirán por las normas del Código de Comercio que regulan la materia y por las demás disposiciones aplicables o aquellas que las modifiquen, adicionen o sustituyan.</w:t>
      </w:r>
    </w:p>
    <w:p w14:paraId="1A4D7260" w14:textId="77777777" w:rsidR="00285922" w:rsidRPr="00F503ED" w:rsidRDefault="00285922" w:rsidP="00285922">
      <w:pPr>
        <w:tabs>
          <w:tab w:val="left" w:pos="1478"/>
        </w:tabs>
        <w:ind w:hanging="567"/>
        <w:jc w:val="both"/>
        <w:rPr>
          <w:rFonts w:ascii="Bookman Old Style" w:hAnsi="Bookman Old Style"/>
          <w:b/>
          <w:bCs/>
          <w:color w:val="000000" w:themeColor="text1"/>
          <w:lang w:eastAsia="x-none"/>
        </w:rPr>
      </w:pPr>
    </w:p>
    <w:p w14:paraId="28299A81" w14:textId="77777777" w:rsidR="00285922" w:rsidRPr="00F503ED" w:rsidRDefault="00285922" w:rsidP="00285922">
      <w:pPr>
        <w:pStyle w:val="Prrafodelista"/>
        <w:numPr>
          <w:ilvl w:val="0"/>
          <w:numId w:val="104"/>
        </w:numPr>
        <w:tabs>
          <w:tab w:val="left" w:pos="1478"/>
        </w:tabs>
        <w:ind w:left="567" w:hanging="567"/>
        <w:jc w:val="both"/>
        <w:rPr>
          <w:rFonts w:ascii="Bookman Old Style" w:hAnsi="Bookman Old Style"/>
          <w:b/>
          <w:bCs/>
          <w:color w:val="000000" w:themeColor="text1"/>
          <w:sz w:val="24"/>
          <w:szCs w:val="24"/>
          <w:lang w:val="es-ES"/>
        </w:rPr>
      </w:pPr>
      <w:r w:rsidRPr="00F503ED">
        <w:rPr>
          <w:rFonts w:ascii="Bookman Old Style" w:hAnsi="Bookman Old Style"/>
          <w:b/>
          <w:bCs/>
          <w:color w:val="000000" w:themeColor="text1"/>
          <w:sz w:val="24"/>
          <w:szCs w:val="24"/>
          <w:lang w:val="es-ES"/>
        </w:rPr>
        <w:t xml:space="preserve">Carta de crédito stand </w:t>
      </w:r>
      <w:proofErr w:type="spellStart"/>
      <w:r w:rsidRPr="00F503ED">
        <w:rPr>
          <w:rFonts w:ascii="Bookman Old Style" w:hAnsi="Bookman Old Style"/>
          <w:b/>
          <w:bCs/>
          <w:color w:val="000000" w:themeColor="text1"/>
          <w:sz w:val="24"/>
          <w:szCs w:val="24"/>
          <w:lang w:val="es-ES"/>
        </w:rPr>
        <w:t>by</w:t>
      </w:r>
      <w:proofErr w:type="spellEnd"/>
      <w:r w:rsidRPr="00F503ED">
        <w:rPr>
          <w:rFonts w:ascii="Bookman Old Style" w:hAnsi="Bookman Old Style"/>
          <w:b/>
          <w:bCs/>
          <w:color w:val="000000" w:themeColor="text1"/>
          <w:sz w:val="24"/>
          <w:szCs w:val="24"/>
          <w:lang w:val="es-ES"/>
        </w:rPr>
        <w:t xml:space="preserve"> de una entidad financiera del exterior: crédito documental e irrevocable mediante el cual una institución financiera del exterior se compromete directamente o por intermedio de un banco corresponsal al pago de las obligaciones establecidas en la presente resolución, contra la previa presentación de la carta de crédito stand </w:t>
      </w:r>
      <w:proofErr w:type="spellStart"/>
      <w:r w:rsidRPr="00F503ED">
        <w:rPr>
          <w:rFonts w:ascii="Bookman Old Style" w:hAnsi="Bookman Old Style"/>
          <w:b/>
          <w:bCs/>
          <w:color w:val="000000" w:themeColor="text1"/>
          <w:sz w:val="24"/>
          <w:szCs w:val="24"/>
          <w:lang w:val="es-ES"/>
        </w:rPr>
        <w:t>by</w:t>
      </w:r>
      <w:proofErr w:type="spellEnd"/>
      <w:r w:rsidRPr="00F503ED">
        <w:rPr>
          <w:rFonts w:ascii="Bookman Old Style" w:hAnsi="Bookman Old Style"/>
          <w:b/>
          <w:bCs/>
          <w:color w:val="000000" w:themeColor="text1"/>
          <w:sz w:val="24"/>
          <w:szCs w:val="24"/>
          <w:lang w:val="es-ES"/>
        </w:rPr>
        <w:t>.</w:t>
      </w:r>
    </w:p>
    <w:p w14:paraId="5F19013B" w14:textId="77777777" w:rsidR="00285922" w:rsidRPr="00F503ED" w:rsidRDefault="00285922" w:rsidP="00285922">
      <w:pPr>
        <w:pStyle w:val="Prrafodelista"/>
        <w:ind w:left="567" w:hanging="567"/>
        <w:rPr>
          <w:rFonts w:ascii="Bookman Old Style" w:hAnsi="Bookman Old Style"/>
          <w:b/>
          <w:bCs/>
          <w:color w:val="000000" w:themeColor="text1"/>
          <w:sz w:val="24"/>
          <w:szCs w:val="24"/>
          <w:lang w:val="es-ES"/>
        </w:rPr>
      </w:pPr>
    </w:p>
    <w:p w14:paraId="5D512161" w14:textId="302F7127" w:rsidR="00285922" w:rsidRPr="00F503ED" w:rsidRDefault="00285922" w:rsidP="00285922">
      <w:pPr>
        <w:pStyle w:val="Prrafodelista"/>
        <w:numPr>
          <w:ilvl w:val="0"/>
          <w:numId w:val="104"/>
        </w:numPr>
        <w:tabs>
          <w:tab w:val="left" w:pos="1478"/>
        </w:tabs>
        <w:ind w:left="567" w:hanging="567"/>
        <w:jc w:val="both"/>
        <w:rPr>
          <w:rFonts w:ascii="Bookman Old Style" w:hAnsi="Bookman Old Style"/>
          <w:b/>
          <w:bCs/>
          <w:color w:val="000000" w:themeColor="text1"/>
          <w:sz w:val="24"/>
          <w:szCs w:val="24"/>
          <w:lang w:val="es-ES"/>
        </w:rPr>
      </w:pPr>
      <w:bookmarkStart w:id="174" w:name="_Ref410740577"/>
      <w:r w:rsidRPr="00F503ED">
        <w:rPr>
          <w:rFonts w:ascii="Bookman Old Style" w:hAnsi="Bookman Old Style"/>
          <w:b/>
          <w:bCs/>
          <w:color w:val="000000" w:themeColor="text1"/>
          <w:sz w:val="24"/>
          <w:szCs w:val="24"/>
          <w:lang w:val="es-ES"/>
        </w:rPr>
        <w:t xml:space="preserve">Prepago. Recursos en moneda </w:t>
      </w:r>
      <w:r w:rsidR="00277A0F" w:rsidRPr="00F503ED">
        <w:rPr>
          <w:rFonts w:ascii="Bookman Old Style" w:hAnsi="Bookman Old Style"/>
          <w:b/>
          <w:bCs/>
          <w:color w:val="000000" w:themeColor="text1"/>
          <w:sz w:val="24"/>
          <w:szCs w:val="24"/>
          <w:lang w:val="es-ES"/>
        </w:rPr>
        <w:t>c</w:t>
      </w:r>
      <w:r w:rsidRPr="00F503ED">
        <w:rPr>
          <w:rFonts w:ascii="Bookman Old Style" w:hAnsi="Bookman Old Style"/>
          <w:b/>
          <w:bCs/>
          <w:color w:val="000000" w:themeColor="text1"/>
          <w:sz w:val="24"/>
          <w:szCs w:val="24"/>
          <w:lang w:val="es-ES"/>
        </w:rPr>
        <w:t>olombiana que cubren el 100% del valor de la garantía.</w:t>
      </w:r>
      <w:bookmarkEnd w:id="174"/>
    </w:p>
    <w:p w14:paraId="457C7747" w14:textId="1030F7FD" w:rsidR="00285922" w:rsidRPr="002858A9" w:rsidRDefault="00285922" w:rsidP="0006302B">
      <w:pPr>
        <w:pStyle w:val="NormalWeb"/>
        <w:spacing w:before="0" w:beforeAutospacing="0" w:after="0" w:afterAutospacing="0"/>
        <w:jc w:val="center"/>
        <w:rPr>
          <w:rFonts w:ascii="Bookman Old Style" w:hAnsi="Bookman Old Style" w:cs="Arial"/>
          <w:b/>
          <w:bCs/>
          <w:color w:val="000000" w:themeColor="text1"/>
          <w:u w:val="single"/>
        </w:rPr>
      </w:pPr>
    </w:p>
    <w:p w14:paraId="0A572C93" w14:textId="77777777" w:rsidR="002C7DB8" w:rsidRPr="002858A9" w:rsidRDefault="002C7DB8" w:rsidP="002C7DB8">
      <w:pPr>
        <w:tabs>
          <w:tab w:val="left" w:pos="1478"/>
        </w:tabs>
        <w:ind w:left="0"/>
        <w:jc w:val="both"/>
        <w:rPr>
          <w:rFonts w:ascii="Bookman Old Style" w:hAnsi="Bookman Old Style" w:cs="Arial"/>
          <w:b/>
          <w:bCs/>
          <w:color w:val="000000" w:themeColor="text1"/>
          <w:lang w:eastAsia="es-CO"/>
        </w:rPr>
      </w:pPr>
      <w:r w:rsidRPr="002858A9">
        <w:rPr>
          <w:rFonts w:ascii="Bookman Old Style" w:hAnsi="Bookman Old Style" w:cs="Arial"/>
          <w:b/>
          <w:bCs/>
          <w:color w:val="000000" w:themeColor="text1"/>
        </w:rPr>
        <w:t xml:space="preserve">Los vendedores y compradores </w:t>
      </w:r>
      <w:r w:rsidRPr="002858A9">
        <w:rPr>
          <w:rFonts w:ascii="Bookman Old Style" w:hAnsi="Bookman Old Style" w:cs="Arial"/>
          <w:b/>
          <w:bCs/>
          <w:color w:val="000000" w:themeColor="text1"/>
          <w:lang w:eastAsia="es-CO"/>
        </w:rPr>
        <w:t>podrán combinar los tipos de garantías contempladas.</w:t>
      </w:r>
    </w:p>
    <w:p w14:paraId="4D55B59B" w14:textId="77777777" w:rsidR="002C7DB8" w:rsidRPr="002858A9" w:rsidRDefault="002C7DB8" w:rsidP="002C7DB8">
      <w:pPr>
        <w:tabs>
          <w:tab w:val="left" w:pos="1478"/>
        </w:tabs>
        <w:ind w:left="0"/>
        <w:jc w:val="both"/>
        <w:rPr>
          <w:rFonts w:ascii="Bookman Old Style" w:hAnsi="Bookman Old Style" w:cs="Arial"/>
          <w:b/>
          <w:bCs/>
          <w:color w:val="000000" w:themeColor="text1"/>
          <w:lang w:eastAsia="es-CO"/>
        </w:rPr>
      </w:pPr>
    </w:p>
    <w:p w14:paraId="6C24C99B" w14:textId="77777777" w:rsidR="002C7DB8" w:rsidRPr="002858A9" w:rsidRDefault="002C7DB8" w:rsidP="002C7DB8">
      <w:pPr>
        <w:tabs>
          <w:tab w:val="left" w:pos="1478"/>
        </w:tabs>
        <w:ind w:left="0"/>
        <w:jc w:val="both"/>
        <w:rPr>
          <w:rFonts w:ascii="Bookman Old Style" w:hAnsi="Bookman Old Style" w:cs="Arial"/>
          <w:b/>
          <w:bCs/>
          <w:color w:val="000000" w:themeColor="text1"/>
          <w:lang w:eastAsia="es-CO"/>
        </w:rPr>
      </w:pPr>
      <w:r w:rsidRPr="002858A9">
        <w:rPr>
          <w:rFonts w:ascii="Bookman Old Style" w:hAnsi="Bookman Old Style" w:cs="Arial"/>
          <w:b/>
          <w:bCs/>
          <w:color w:val="000000" w:themeColor="text1"/>
          <w:lang w:eastAsia="es-CO"/>
        </w:rPr>
        <w:t>En los casos en donde un vendedor y / o un comprador utilice diferentes tipos de garantías, le corresponde al gestor del mercado, a través de la fiducia mercantil que para tales efectos constituya, adoptar los mecanismos para que efectivamente puedan ser aceptadas las mismas.</w:t>
      </w:r>
    </w:p>
    <w:p w14:paraId="5A573864" w14:textId="77777777" w:rsidR="002C7DB8" w:rsidRPr="002858A9" w:rsidRDefault="002C7DB8" w:rsidP="002C7DB8">
      <w:pPr>
        <w:tabs>
          <w:tab w:val="left" w:pos="1478"/>
        </w:tabs>
        <w:ind w:left="0"/>
        <w:jc w:val="both"/>
        <w:rPr>
          <w:rFonts w:ascii="Bookman Old Style" w:hAnsi="Bookman Old Style" w:cs="Arial"/>
          <w:b/>
          <w:bCs/>
          <w:color w:val="000000" w:themeColor="text1"/>
          <w:lang w:eastAsia="es-CO"/>
        </w:rPr>
      </w:pPr>
    </w:p>
    <w:p w14:paraId="5F1B428C" w14:textId="77777777" w:rsidR="002C7DB8" w:rsidRPr="002858A9" w:rsidRDefault="002C7DB8" w:rsidP="002C7DB8">
      <w:pPr>
        <w:tabs>
          <w:tab w:val="left" w:pos="1478"/>
        </w:tabs>
        <w:ind w:left="0"/>
        <w:jc w:val="both"/>
        <w:rPr>
          <w:rFonts w:ascii="Bookman Old Style" w:hAnsi="Bookman Old Style" w:cs="Arial"/>
          <w:b/>
          <w:bCs/>
          <w:color w:val="000000" w:themeColor="text1"/>
        </w:rPr>
      </w:pPr>
      <w:r w:rsidRPr="002858A9">
        <w:rPr>
          <w:rFonts w:ascii="Bookman Old Style" w:hAnsi="Bookman Old Style" w:cs="Arial"/>
          <w:b/>
          <w:bCs/>
          <w:color w:val="000000" w:themeColor="text1"/>
        </w:rPr>
        <w:t>Todas las garantías, en caso de ejecución, deberán liquidarse en pesos colombianos en las cuentas bancarias que para tales efectos disponga la fiducia mercantil, que el gestor del mercado constituya.</w:t>
      </w:r>
    </w:p>
    <w:p w14:paraId="653B6F3C" w14:textId="77777777" w:rsidR="002C7DB8" w:rsidRPr="002858A9" w:rsidRDefault="002C7DB8" w:rsidP="0006302B">
      <w:pPr>
        <w:pStyle w:val="NormalWeb"/>
        <w:spacing w:before="0" w:beforeAutospacing="0" w:after="0" w:afterAutospacing="0"/>
        <w:jc w:val="center"/>
        <w:rPr>
          <w:rFonts w:ascii="Bookman Old Style" w:hAnsi="Bookman Old Style" w:cs="Arial"/>
          <w:b/>
          <w:bCs/>
          <w:color w:val="000000" w:themeColor="text1"/>
        </w:rPr>
      </w:pPr>
    </w:p>
    <w:p w14:paraId="15E16E7D" w14:textId="77777777" w:rsidR="005C0F94" w:rsidRDefault="005C0F94" w:rsidP="0006302B">
      <w:pPr>
        <w:pStyle w:val="NormalWeb"/>
        <w:spacing w:before="0" w:beforeAutospacing="0" w:after="0" w:afterAutospacing="0"/>
        <w:jc w:val="center"/>
        <w:rPr>
          <w:rFonts w:ascii="Bookman Old Style" w:hAnsi="Bookman Old Style" w:cs="Arial"/>
          <w:b/>
          <w:bCs/>
          <w:color w:val="000000" w:themeColor="text1"/>
          <w:highlight w:val="green"/>
          <w:u w:val="single"/>
        </w:rPr>
        <w:sectPr w:rsidR="005C0F94" w:rsidSect="00606DD5">
          <w:pgSz w:w="12247" w:h="18705" w:code="121"/>
          <w:pgMar w:top="2342" w:right="1185" w:bottom="1758" w:left="1701" w:header="709" w:footer="709" w:gutter="0"/>
          <w:cols w:space="708"/>
          <w:titlePg/>
          <w:docGrid w:linePitch="360"/>
        </w:sectPr>
      </w:pPr>
    </w:p>
    <w:p w14:paraId="72412FC8" w14:textId="653BABA6" w:rsidR="005C0F94" w:rsidRPr="00483BFD" w:rsidRDefault="005C0F94" w:rsidP="005C0F94">
      <w:pPr>
        <w:pStyle w:val="Ttulo1"/>
        <w:ind w:left="0"/>
        <w:rPr>
          <w:rFonts w:ascii="Bookman Old Style" w:hAnsi="Bookman Old Style"/>
          <w:color w:val="000000" w:themeColor="text1"/>
          <w:szCs w:val="24"/>
        </w:rPr>
      </w:pPr>
      <w:r w:rsidRPr="00483BFD">
        <w:rPr>
          <w:rFonts w:ascii="Bookman Old Style" w:hAnsi="Bookman Old Style"/>
          <w:color w:val="000000" w:themeColor="text1"/>
          <w:szCs w:val="24"/>
        </w:rPr>
        <w:lastRenderedPageBreak/>
        <w:t xml:space="preserve">Anexo </w:t>
      </w:r>
      <w:r>
        <w:rPr>
          <w:rFonts w:ascii="Bookman Old Style" w:hAnsi="Bookman Old Style"/>
          <w:color w:val="000000" w:themeColor="text1"/>
          <w:szCs w:val="24"/>
        </w:rPr>
        <w:t>7</w:t>
      </w:r>
    </w:p>
    <w:p w14:paraId="49D30317" w14:textId="6A4FBF1F" w:rsidR="005C0F94" w:rsidRPr="002858A9" w:rsidRDefault="005C0F94" w:rsidP="005C0F94">
      <w:pPr>
        <w:pStyle w:val="ARTICULOS"/>
        <w:numPr>
          <w:ilvl w:val="0"/>
          <w:numId w:val="0"/>
        </w:numPr>
        <w:jc w:val="center"/>
        <w:rPr>
          <w:b/>
          <w:color w:val="000000" w:themeColor="text1"/>
          <w:lang w:val="es-CO"/>
        </w:rPr>
      </w:pPr>
      <w:r w:rsidRPr="00483BFD">
        <w:rPr>
          <w:b/>
          <w:color w:val="000000" w:themeColor="text1"/>
          <w:lang w:val="es-CO"/>
        </w:rPr>
        <w:t xml:space="preserve">Reglamento de la subasta de </w:t>
      </w:r>
      <w:r w:rsidRPr="002858A9">
        <w:rPr>
          <w:b/>
          <w:color w:val="000000" w:themeColor="text1"/>
          <w:lang w:val="es-CO"/>
        </w:rPr>
        <w:t>gas natural</w:t>
      </w:r>
      <w:r w:rsidR="00EA1FC4" w:rsidRPr="002858A9">
        <w:rPr>
          <w:b/>
          <w:color w:val="000000" w:themeColor="text1"/>
          <w:lang w:val="es-CO"/>
        </w:rPr>
        <w:t xml:space="preserve"> para </w:t>
      </w:r>
      <w:r w:rsidR="00FE6F1F" w:rsidRPr="002858A9">
        <w:rPr>
          <w:b/>
          <w:color w:val="000000" w:themeColor="text1"/>
          <w:lang w:val="es-CO"/>
        </w:rPr>
        <w:t xml:space="preserve">un </w:t>
      </w:r>
      <w:r w:rsidR="00EA1FC4" w:rsidRPr="002858A9">
        <w:rPr>
          <w:b/>
          <w:color w:val="000000" w:themeColor="text1"/>
          <w:lang w:val="es-CO"/>
        </w:rPr>
        <w:t>trimestre estándar deficitario</w:t>
      </w:r>
    </w:p>
    <w:p w14:paraId="3F2A77E0" w14:textId="77777777" w:rsidR="005C0F94" w:rsidRPr="002858A9" w:rsidRDefault="005C0F94" w:rsidP="005C0F94">
      <w:pPr>
        <w:pStyle w:val="ARTICULOS"/>
        <w:numPr>
          <w:ilvl w:val="0"/>
          <w:numId w:val="0"/>
        </w:numPr>
        <w:jc w:val="center"/>
        <w:rPr>
          <w:b/>
          <w:color w:val="000000" w:themeColor="text1"/>
          <w:lang w:val="es-CO"/>
        </w:rPr>
      </w:pPr>
    </w:p>
    <w:p w14:paraId="5B45A324" w14:textId="77777777" w:rsidR="005C0F94" w:rsidRPr="002858A9" w:rsidRDefault="005C0F94" w:rsidP="005C0F94">
      <w:pPr>
        <w:pStyle w:val="ARTICULOS"/>
        <w:numPr>
          <w:ilvl w:val="0"/>
          <w:numId w:val="0"/>
        </w:numPr>
        <w:jc w:val="center"/>
        <w:rPr>
          <w:b/>
          <w:color w:val="000000" w:themeColor="text1"/>
          <w:lang w:val="es-CO"/>
        </w:rPr>
      </w:pPr>
    </w:p>
    <w:p w14:paraId="199082F5" w14:textId="77777777" w:rsidR="005C0F94" w:rsidRPr="002858A9" w:rsidRDefault="005C0F94" w:rsidP="005C0F94">
      <w:pPr>
        <w:pStyle w:val="Prrafodelista"/>
        <w:numPr>
          <w:ilvl w:val="0"/>
          <w:numId w:val="109"/>
        </w:numPr>
        <w:ind w:left="567" w:hanging="567"/>
        <w:rPr>
          <w:rFonts w:ascii="Bookman Old Style" w:hAnsi="Bookman Old Style"/>
          <w:b/>
          <w:color w:val="000000" w:themeColor="text1"/>
          <w:sz w:val="24"/>
          <w:szCs w:val="24"/>
        </w:rPr>
      </w:pPr>
      <w:r w:rsidRPr="002858A9">
        <w:rPr>
          <w:rFonts w:ascii="Bookman Old Style" w:hAnsi="Bookman Old Style"/>
          <w:b/>
          <w:color w:val="000000" w:themeColor="text1"/>
          <w:sz w:val="24"/>
          <w:szCs w:val="24"/>
        </w:rPr>
        <w:t>Objeto</w:t>
      </w:r>
    </w:p>
    <w:p w14:paraId="57FCB38A" w14:textId="77777777" w:rsidR="005C0F94" w:rsidRPr="002858A9" w:rsidRDefault="005C0F94" w:rsidP="005C0F94">
      <w:pPr>
        <w:ind w:left="0"/>
        <w:rPr>
          <w:rFonts w:ascii="Bookman Old Style" w:hAnsi="Bookman Old Style"/>
          <w:b/>
          <w:color w:val="000000" w:themeColor="text1"/>
        </w:rPr>
      </w:pPr>
    </w:p>
    <w:p w14:paraId="24AEA479" w14:textId="1AE4F470" w:rsidR="005C0F94" w:rsidRPr="002858A9" w:rsidRDefault="005C0F94" w:rsidP="00B04003">
      <w:pPr>
        <w:ind w:left="0"/>
        <w:jc w:val="both"/>
        <w:rPr>
          <w:rFonts w:ascii="Bookman Old Style" w:hAnsi="Bookman Old Style"/>
          <w:bCs/>
          <w:color w:val="000000" w:themeColor="text1"/>
          <w:lang w:val="es-ES_tradnl" w:eastAsia="x-none"/>
        </w:rPr>
      </w:pPr>
      <w:r w:rsidRPr="002858A9">
        <w:rPr>
          <w:rFonts w:ascii="Bookman Old Style" w:hAnsi="Bookman Old Style"/>
          <w:bCs/>
          <w:color w:val="000000" w:themeColor="text1"/>
          <w:lang w:val="es-ES_tradnl" w:eastAsia="x-none"/>
        </w:rPr>
        <w:t xml:space="preserve">El presente reglamento tiene por objeto establecer las condiciones y procedimientos para la negociación del suministro de gas natural mediante subasta, </w:t>
      </w:r>
      <w:r w:rsidRPr="002858A9">
        <w:rPr>
          <w:rFonts w:ascii="Bookman Old Style" w:hAnsi="Bookman Old Style"/>
          <w:b/>
          <w:color w:val="000000" w:themeColor="text1"/>
          <w:lang w:val="es-ES_tradnl" w:eastAsia="x-none"/>
        </w:rPr>
        <w:t xml:space="preserve">según lo dispuesto en el </w:t>
      </w:r>
      <w:r w:rsidR="00B04003" w:rsidRPr="002858A9">
        <w:rPr>
          <w:rFonts w:ascii="Bookman Old Style" w:hAnsi="Bookman Old Style"/>
          <w:b/>
          <w:color w:val="000000" w:themeColor="text1"/>
          <w:lang w:val="es-ES_tradnl" w:eastAsia="x-none"/>
        </w:rPr>
        <w:t xml:space="preserve">literal </w:t>
      </w:r>
      <w:r w:rsidR="00696E58">
        <w:rPr>
          <w:rFonts w:ascii="Bookman Old Style" w:hAnsi="Bookman Old Style"/>
          <w:b/>
          <w:color w:val="000000" w:themeColor="text1"/>
          <w:lang w:val="es-ES_tradnl" w:eastAsia="x-none"/>
        </w:rPr>
        <w:t>p.</w:t>
      </w:r>
      <w:r w:rsidR="00B04003" w:rsidRPr="002858A9">
        <w:rPr>
          <w:rFonts w:ascii="Bookman Old Style" w:hAnsi="Bookman Old Style"/>
          <w:b/>
          <w:color w:val="000000" w:themeColor="text1"/>
          <w:lang w:val="es-ES_tradnl" w:eastAsia="x-none"/>
        </w:rPr>
        <w:t xml:space="preserve"> del numeral 2 del </w:t>
      </w:r>
      <w:r w:rsidR="00907CBD">
        <w:rPr>
          <w:rFonts w:ascii="Bookman Old Style" w:hAnsi="Bookman Old Style"/>
          <w:b/>
          <w:color w:val="000000" w:themeColor="text1"/>
          <w:lang w:val="es-ES_tradnl" w:eastAsia="x-none"/>
        </w:rPr>
        <w:t>a</w:t>
      </w:r>
      <w:r w:rsidR="00B04003" w:rsidRPr="002858A9">
        <w:rPr>
          <w:rFonts w:ascii="Bookman Old Style" w:hAnsi="Bookman Old Style"/>
          <w:b/>
          <w:color w:val="000000" w:themeColor="text1"/>
          <w:lang w:val="es-ES_tradnl" w:eastAsia="x-none"/>
        </w:rPr>
        <w:t>rtículo 22 de la presente resolución</w:t>
      </w:r>
      <w:r w:rsidR="00B04003" w:rsidRPr="002858A9">
        <w:rPr>
          <w:rFonts w:ascii="Bookman Old Style" w:hAnsi="Bookman Old Style"/>
          <w:bCs/>
          <w:color w:val="000000" w:themeColor="text1"/>
          <w:lang w:val="es-ES_tradnl" w:eastAsia="x-none"/>
        </w:rPr>
        <w:t>.</w:t>
      </w:r>
    </w:p>
    <w:p w14:paraId="1A777431" w14:textId="77777777" w:rsidR="00B04003" w:rsidRPr="002858A9" w:rsidRDefault="00B04003" w:rsidP="002D5416">
      <w:pPr>
        <w:ind w:left="0"/>
        <w:jc w:val="both"/>
        <w:rPr>
          <w:rFonts w:ascii="Bookman Old Style" w:hAnsi="Bookman Old Style"/>
          <w:b/>
          <w:color w:val="000000" w:themeColor="text1"/>
          <w:lang w:val="es-ES_tradnl"/>
        </w:rPr>
      </w:pPr>
    </w:p>
    <w:p w14:paraId="5AE882C2" w14:textId="77777777" w:rsidR="005C0F94" w:rsidRPr="002858A9" w:rsidRDefault="005C0F94" w:rsidP="005C0F94">
      <w:pPr>
        <w:pStyle w:val="Prrafodelista"/>
        <w:numPr>
          <w:ilvl w:val="0"/>
          <w:numId w:val="109"/>
        </w:numPr>
        <w:ind w:left="567" w:hanging="567"/>
        <w:rPr>
          <w:rFonts w:ascii="Bookman Old Style" w:hAnsi="Bookman Old Style"/>
          <w:b/>
          <w:color w:val="000000" w:themeColor="text1"/>
          <w:sz w:val="24"/>
          <w:szCs w:val="24"/>
        </w:rPr>
      </w:pPr>
      <w:r w:rsidRPr="002858A9">
        <w:rPr>
          <w:rFonts w:ascii="Bookman Old Style" w:hAnsi="Bookman Old Style"/>
          <w:b/>
          <w:color w:val="000000" w:themeColor="text1"/>
          <w:sz w:val="24"/>
          <w:szCs w:val="24"/>
        </w:rPr>
        <w:t>Definiciones</w:t>
      </w:r>
    </w:p>
    <w:p w14:paraId="24ED2D49" w14:textId="77777777" w:rsidR="005C0F94" w:rsidRPr="002858A9" w:rsidRDefault="005C0F94" w:rsidP="005C0F94">
      <w:pPr>
        <w:ind w:left="0"/>
        <w:rPr>
          <w:rFonts w:ascii="Bookman Old Style" w:hAnsi="Bookman Old Style"/>
          <w:color w:val="000000" w:themeColor="text1"/>
        </w:rPr>
      </w:pPr>
    </w:p>
    <w:p w14:paraId="39EF1712"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Administrador de la subasta: </w:t>
      </w:r>
      <w:r w:rsidRPr="002858A9">
        <w:rPr>
          <w:rFonts w:ascii="Bookman Old Style" w:hAnsi="Bookman Old Style"/>
          <w:color w:val="000000" w:themeColor="text1"/>
        </w:rPr>
        <w:t>persona natural o jurídica encargada de organizar la subasta.</w:t>
      </w:r>
    </w:p>
    <w:p w14:paraId="2454E74E" w14:textId="77777777" w:rsidR="005C0F94" w:rsidRPr="002858A9" w:rsidRDefault="005C0F94" w:rsidP="005C0F94">
      <w:pPr>
        <w:ind w:left="0"/>
        <w:jc w:val="both"/>
        <w:rPr>
          <w:rFonts w:ascii="Bookman Old Style" w:hAnsi="Bookman Old Style"/>
          <w:color w:val="000000" w:themeColor="text1"/>
        </w:rPr>
      </w:pPr>
    </w:p>
    <w:p w14:paraId="683A660A"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Auditor de la subasta: </w:t>
      </w:r>
      <w:r w:rsidRPr="002858A9">
        <w:rPr>
          <w:rFonts w:ascii="Bookman Old Style" w:hAnsi="Bookman Old Style"/>
          <w:color w:val="000000" w:themeColor="text1"/>
        </w:rPr>
        <w:t xml:space="preserve">persona natural o jurídica, </w:t>
      </w:r>
      <w:r w:rsidRPr="002858A9">
        <w:rPr>
          <w:rFonts w:ascii="Bookman Old Style" w:hAnsi="Bookman Old Style" w:cs="Arial"/>
          <w:color w:val="000000" w:themeColor="text1"/>
        </w:rPr>
        <w:t>con reconocida experiencia en procesos de auditoría,</w:t>
      </w:r>
      <w:r w:rsidRPr="002858A9">
        <w:rPr>
          <w:rFonts w:ascii="Bookman Old Style" w:hAnsi="Bookman Old Style"/>
          <w:color w:val="000000" w:themeColor="text1"/>
        </w:rPr>
        <w:t xml:space="preserve"> contratada por el administrador de la subasta para auditar el desarrollo de </w:t>
      </w:r>
      <w:proofErr w:type="gramStart"/>
      <w:r w:rsidRPr="002858A9">
        <w:rPr>
          <w:rFonts w:ascii="Bookman Old Style" w:hAnsi="Bookman Old Style"/>
          <w:color w:val="000000" w:themeColor="text1"/>
        </w:rPr>
        <w:t>la misma</w:t>
      </w:r>
      <w:proofErr w:type="gramEnd"/>
      <w:r w:rsidRPr="002858A9">
        <w:rPr>
          <w:rFonts w:ascii="Bookman Old Style" w:hAnsi="Bookman Old Style"/>
          <w:color w:val="000000" w:themeColor="text1"/>
        </w:rPr>
        <w:t>.</w:t>
      </w:r>
    </w:p>
    <w:p w14:paraId="23696B25" w14:textId="77777777" w:rsidR="005C0F94" w:rsidRPr="002858A9" w:rsidRDefault="005C0F94" w:rsidP="005C0F94">
      <w:pPr>
        <w:ind w:left="0"/>
        <w:jc w:val="both"/>
        <w:rPr>
          <w:rFonts w:ascii="Bookman Old Style" w:hAnsi="Bookman Old Style"/>
          <w:b/>
          <w:color w:val="000000" w:themeColor="text1"/>
        </w:rPr>
      </w:pPr>
    </w:p>
    <w:p w14:paraId="1E40384B" w14:textId="571C79A5"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Compradores habilitados:</w:t>
      </w:r>
      <w:r w:rsidRPr="002858A9">
        <w:rPr>
          <w:rFonts w:ascii="Bookman Old Style" w:hAnsi="Bookman Old Style"/>
          <w:color w:val="000000" w:themeColor="text1"/>
        </w:rPr>
        <w:t xml:space="preserve"> compradores a los que se hace referencia en el </w:t>
      </w:r>
      <w:r w:rsidRPr="002858A9">
        <w:rPr>
          <w:rFonts w:ascii="Bookman Old Style" w:hAnsi="Bookman Old Style"/>
          <w:color w:val="000000" w:themeColor="text1"/>
        </w:rPr>
        <w:fldChar w:fldCharType="begin"/>
      </w:r>
      <w:r w:rsidRPr="002858A9">
        <w:rPr>
          <w:rFonts w:ascii="Bookman Old Style" w:hAnsi="Bookman Old Style"/>
          <w:color w:val="000000" w:themeColor="text1"/>
        </w:rPr>
        <w:instrText xml:space="preserve"> REF _Ref359853524 \n \h  \* MERGEFORMAT </w:instrText>
      </w:r>
      <w:r w:rsidRPr="002858A9">
        <w:rPr>
          <w:rFonts w:ascii="Bookman Old Style" w:hAnsi="Bookman Old Style"/>
          <w:color w:val="000000" w:themeColor="text1"/>
        </w:rPr>
      </w:r>
      <w:r w:rsidRPr="002858A9">
        <w:rPr>
          <w:rFonts w:ascii="Bookman Old Style" w:hAnsi="Bookman Old Style"/>
          <w:color w:val="000000" w:themeColor="text1"/>
        </w:rPr>
        <w:fldChar w:fldCharType="separate"/>
      </w:r>
      <w:r w:rsidR="00636B6A">
        <w:rPr>
          <w:rFonts w:ascii="Bookman Old Style" w:hAnsi="Bookman Old Style"/>
          <w:color w:val="000000" w:themeColor="text1"/>
        </w:rPr>
        <w:t xml:space="preserve">Artículo </w:t>
      </w:r>
      <w:r w:rsidR="00636B6A" w:rsidRPr="00996A90">
        <w:rPr>
          <w:rFonts w:ascii="Bookman Old Style" w:hAnsi="Bookman Old Style"/>
          <w:b/>
          <w:bCs/>
          <w:color w:val="000000" w:themeColor="text1"/>
        </w:rPr>
        <w:t>17</w:t>
      </w:r>
      <w:r w:rsidRPr="002858A9">
        <w:rPr>
          <w:rFonts w:ascii="Bookman Old Style" w:hAnsi="Bookman Old Style"/>
          <w:color w:val="000000" w:themeColor="text1"/>
        </w:rPr>
        <w:fldChar w:fldCharType="end"/>
      </w:r>
      <w:r w:rsidRPr="002858A9">
        <w:rPr>
          <w:rFonts w:ascii="Bookman Old Style" w:hAnsi="Bookman Old Style"/>
          <w:color w:val="000000" w:themeColor="text1"/>
        </w:rPr>
        <w:t xml:space="preserve"> de esta Resolución que cumplen cabalmente con lo señalado en el numeral </w:t>
      </w:r>
      <w:r w:rsidRPr="002858A9">
        <w:rPr>
          <w:rFonts w:ascii="Bookman Old Style" w:hAnsi="Bookman Old Style"/>
          <w:color w:val="000000" w:themeColor="text1"/>
        </w:rPr>
        <w:fldChar w:fldCharType="begin"/>
      </w:r>
      <w:r w:rsidRPr="002858A9">
        <w:rPr>
          <w:rFonts w:ascii="Bookman Old Style" w:hAnsi="Bookman Old Style"/>
          <w:color w:val="000000" w:themeColor="text1"/>
        </w:rPr>
        <w:instrText xml:space="preserve"> REF _Ref336367227 \r \h  \* MERGEFORMAT </w:instrText>
      </w:r>
      <w:r w:rsidRPr="002858A9">
        <w:rPr>
          <w:rFonts w:ascii="Bookman Old Style" w:hAnsi="Bookman Old Style"/>
          <w:color w:val="000000" w:themeColor="text1"/>
        </w:rPr>
      </w:r>
      <w:r w:rsidRPr="002858A9">
        <w:rPr>
          <w:rFonts w:ascii="Bookman Old Style" w:hAnsi="Bookman Old Style"/>
          <w:color w:val="000000" w:themeColor="text1"/>
        </w:rPr>
        <w:fldChar w:fldCharType="separate"/>
      </w:r>
      <w:r w:rsidR="00636B6A">
        <w:rPr>
          <w:rFonts w:ascii="Bookman Old Style" w:hAnsi="Bookman Old Style"/>
          <w:color w:val="000000" w:themeColor="text1"/>
        </w:rPr>
        <w:t>5.5</w:t>
      </w:r>
      <w:r w:rsidRPr="002858A9">
        <w:rPr>
          <w:rFonts w:ascii="Bookman Old Style" w:hAnsi="Bookman Old Style"/>
          <w:color w:val="000000" w:themeColor="text1"/>
        </w:rPr>
        <w:fldChar w:fldCharType="end"/>
      </w:r>
      <w:r w:rsidRPr="002858A9">
        <w:rPr>
          <w:rFonts w:ascii="Bookman Old Style" w:hAnsi="Bookman Old Style"/>
          <w:color w:val="000000" w:themeColor="text1"/>
        </w:rPr>
        <w:t xml:space="preserve"> de este Anexo.</w:t>
      </w:r>
    </w:p>
    <w:p w14:paraId="20BC6486" w14:textId="77777777" w:rsidR="005C0F94" w:rsidRPr="002858A9" w:rsidRDefault="005C0F94" w:rsidP="005C0F94">
      <w:pPr>
        <w:ind w:left="0"/>
        <w:jc w:val="both"/>
        <w:rPr>
          <w:rFonts w:ascii="Bookman Old Style" w:hAnsi="Bookman Old Style"/>
          <w:color w:val="000000" w:themeColor="text1"/>
        </w:rPr>
      </w:pPr>
    </w:p>
    <w:p w14:paraId="766922E5"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Precio de adjudicación:</w:t>
      </w:r>
      <w:r w:rsidRPr="002858A9">
        <w:rPr>
          <w:rFonts w:ascii="Bookman Old Style" w:hAnsi="Bookman Old Style"/>
          <w:color w:val="000000" w:themeColor="text1"/>
        </w:rPr>
        <w:t xml:space="preserve"> es el precio que pagarán los compradores por el gas natural adjudicado a través de la subasta. Corresponde al precio de cierre de la última ronda de la subasta o al precio con el cual los compradores habilitados no reducirían cantidades de producto, según sea el caso.</w:t>
      </w:r>
    </w:p>
    <w:p w14:paraId="3A6CB090" w14:textId="77777777" w:rsidR="005C0F94" w:rsidRPr="002858A9" w:rsidRDefault="005C0F94" w:rsidP="005C0F94">
      <w:pPr>
        <w:tabs>
          <w:tab w:val="left" w:pos="1615"/>
        </w:tabs>
        <w:ind w:left="0"/>
        <w:jc w:val="both"/>
        <w:rPr>
          <w:rFonts w:ascii="Bookman Old Style" w:hAnsi="Bookman Old Style"/>
          <w:color w:val="000000" w:themeColor="text1"/>
        </w:rPr>
      </w:pPr>
    </w:p>
    <w:p w14:paraId="76BE6A70"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Precio de cierre: </w:t>
      </w:r>
      <w:r w:rsidRPr="002858A9">
        <w:rPr>
          <w:rFonts w:ascii="Bookman Old Style" w:hAnsi="Bookman Old Style"/>
          <w:color w:val="000000" w:themeColor="text1"/>
        </w:rPr>
        <w:t>es el precio máximo establecido por el subastador para cada una de las rondas siguientes a la ronda cero (0).</w:t>
      </w:r>
    </w:p>
    <w:p w14:paraId="02063AA2" w14:textId="77777777" w:rsidR="005C0F94" w:rsidRPr="002858A9" w:rsidRDefault="005C0F94" w:rsidP="005C0F94">
      <w:pPr>
        <w:ind w:left="0"/>
        <w:jc w:val="both"/>
        <w:rPr>
          <w:rFonts w:ascii="Bookman Old Style" w:hAnsi="Bookman Old Style"/>
          <w:color w:val="000000" w:themeColor="text1"/>
        </w:rPr>
      </w:pPr>
    </w:p>
    <w:p w14:paraId="44041AB7" w14:textId="4BAD2CEE" w:rsidR="005C0F94" w:rsidRPr="002858A9" w:rsidRDefault="005C0F94" w:rsidP="005C0F94">
      <w:pPr>
        <w:ind w:left="0"/>
        <w:jc w:val="both"/>
        <w:rPr>
          <w:rFonts w:ascii="Bookman Old Style" w:hAnsi="Bookman Old Style"/>
          <w:b/>
          <w:color w:val="000000" w:themeColor="text1"/>
          <w:lang w:val="es-ES_tradnl" w:eastAsia="x-none"/>
        </w:rPr>
      </w:pPr>
      <w:r w:rsidRPr="002858A9">
        <w:rPr>
          <w:rFonts w:ascii="Bookman Old Style" w:hAnsi="Bookman Old Style"/>
          <w:b/>
          <w:bCs/>
          <w:color w:val="000000" w:themeColor="text1"/>
          <w:lang w:val="es-ES_tradnl" w:eastAsia="x-none"/>
        </w:rPr>
        <w:t xml:space="preserve">Precio de reserva: </w:t>
      </w:r>
      <w:r w:rsidRPr="002858A9">
        <w:rPr>
          <w:rFonts w:ascii="Bookman Old Style" w:hAnsi="Bookman Old Style"/>
          <w:bCs/>
          <w:color w:val="000000" w:themeColor="text1"/>
          <w:lang w:val="es-ES_tradnl" w:eastAsia="x-none"/>
        </w:rPr>
        <w:t>precio mínimo al cual se ofrece para la venta un producto en la subasta.</w:t>
      </w:r>
      <w:r w:rsidR="00B52CC6" w:rsidRPr="002858A9">
        <w:rPr>
          <w:rFonts w:ascii="Bookman Old Style" w:hAnsi="Bookman Old Style"/>
          <w:bCs/>
          <w:color w:val="000000" w:themeColor="text1"/>
          <w:lang w:val="es-ES_tradnl" w:eastAsia="x-none"/>
        </w:rPr>
        <w:t xml:space="preserve"> </w:t>
      </w:r>
      <w:r w:rsidR="00B52CC6" w:rsidRPr="002858A9">
        <w:rPr>
          <w:rFonts w:ascii="Bookman Old Style" w:hAnsi="Bookman Old Style"/>
          <w:b/>
          <w:color w:val="000000" w:themeColor="text1"/>
          <w:lang w:val="es-ES_tradnl" w:eastAsia="x-none"/>
        </w:rPr>
        <w:t xml:space="preserve">Corresponde al precio declarado </w:t>
      </w:r>
      <w:r w:rsidR="004E2B1C" w:rsidRPr="002858A9">
        <w:rPr>
          <w:rFonts w:ascii="Bookman Old Style" w:hAnsi="Bookman Old Style"/>
          <w:b/>
          <w:color w:val="000000" w:themeColor="text1"/>
          <w:lang w:val="es-ES_tradnl" w:eastAsia="x-none"/>
        </w:rPr>
        <w:t xml:space="preserve">por cada vendedor </w:t>
      </w:r>
      <w:r w:rsidR="00B52CC6" w:rsidRPr="002858A9">
        <w:rPr>
          <w:rFonts w:ascii="Bookman Old Style" w:hAnsi="Bookman Old Style"/>
          <w:b/>
          <w:color w:val="000000" w:themeColor="text1"/>
          <w:lang w:val="es-ES_tradnl" w:eastAsia="x-none"/>
        </w:rPr>
        <w:t xml:space="preserve">para </w:t>
      </w:r>
      <w:r w:rsidR="004E2B1C" w:rsidRPr="002858A9">
        <w:rPr>
          <w:rFonts w:ascii="Bookman Old Style" w:hAnsi="Bookman Old Style"/>
          <w:b/>
          <w:color w:val="000000" w:themeColor="text1"/>
          <w:lang w:val="es-ES_tradnl" w:eastAsia="x-none"/>
        </w:rPr>
        <w:t>cada</w:t>
      </w:r>
      <w:r w:rsidR="00B52CC6" w:rsidRPr="002858A9">
        <w:rPr>
          <w:rFonts w:ascii="Bookman Old Style" w:hAnsi="Bookman Old Style"/>
          <w:b/>
          <w:color w:val="000000" w:themeColor="text1"/>
          <w:lang w:val="es-ES_tradnl" w:eastAsia="x-none"/>
        </w:rPr>
        <w:t xml:space="preserve"> fuente de suministro, en virtud de</w:t>
      </w:r>
      <w:r w:rsidR="002E0493" w:rsidRPr="002858A9">
        <w:rPr>
          <w:rFonts w:ascii="Bookman Old Style" w:hAnsi="Bookman Old Style"/>
          <w:b/>
          <w:color w:val="000000" w:themeColor="text1"/>
          <w:lang w:val="es-ES_tradnl" w:eastAsia="x-none"/>
        </w:rPr>
        <w:t xml:space="preserve"> lo establecido en e</w:t>
      </w:r>
      <w:r w:rsidR="00B52CC6" w:rsidRPr="002858A9">
        <w:rPr>
          <w:rFonts w:ascii="Bookman Old Style" w:hAnsi="Bookman Old Style"/>
          <w:b/>
          <w:color w:val="000000" w:themeColor="text1"/>
          <w:lang w:val="es-ES_tradnl" w:eastAsia="x-none"/>
        </w:rPr>
        <w:t xml:space="preserve">l literal </w:t>
      </w:r>
      <w:r w:rsidR="00B83BC3" w:rsidRPr="002858A9">
        <w:rPr>
          <w:rFonts w:ascii="Bookman Old Style" w:hAnsi="Bookman Old Style"/>
          <w:b/>
          <w:color w:val="000000" w:themeColor="text1"/>
          <w:lang w:val="es-ES_tradnl" w:eastAsia="x-none"/>
        </w:rPr>
        <w:t>c</w:t>
      </w:r>
      <w:r w:rsidR="00B52CC6" w:rsidRPr="002858A9">
        <w:rPr>
          <w:rFonts w:ascii="Bookman Old Style" w:hAnsi="Bookman Old Style"/>
          <w:b/>
          <w:color w:val="000000" w:themeColor="text1"/>
          <w:lang w:val="es-ES_tradnl" w:eastAsia="x-none"/>
        </w:rPr>
        <w:t xml:space="preserve">. del numeral </w:t>
      </w:r>
      <w:r w:rsidR="004E2B1C" w:rsidRPr="002858A9">
        <w:rPr>
          <w:rFonts w:ascii="Bookman Old Style" w:hAnsi="Bookman Old Style"/>
          <w:b/>
          <w:color w:val="000000" w:themeColor="text1"/>
          <w:lang w:val="es-ES_tradnl" w:eastAsia="x-none"/>
        </w:rPr>
        <w:t>2.</w:t>
      </w:r>
      <w:r w:rsidR="00B52CC6" w:rsidRPr="002858A9">
        <w:rPr>
          <w:rFonts w:ascii="Bookman Old Style" w:hAnsi="Bookman Old Style"/>
          <w:b/>
          <w:color w:val="000000" w:themeColor="text1"/>
          <w:lang w:val="es-ES_tradnl" w:eastAsia="x-none"/>
        </w:rPr>
        <w:t xml:space="preserve"> del </w:t>
      </w:r>
      <w:r w:rsidR="006E37DD">
        <w:rPr>
          <w:rFonts w:ascii="Bookman Old Style" w:hAnsi="Bookman Old Style"/>
          <w:b/>
          <w:color w:val="000000" w:themeColor="text1"/>
          <w:lang w:val="es-ES_tradnl" w:eastAsia="x-none"/>
        </w:rPr>
        <w:t>a</w:t>
      </w:r>
      <w:r w:rsidR="00B52CC6" w:rsidRPr="002858A9">
        <w:rPr>
          <w:rFonts w:ascii="Bookman Old Style" w:hAnsi="Bookman Old Style"/>
          <w:b/>
          <w:color w:val="000000" w:themeColor="text1"/>
          <w:lang w:val="es-ES_tradnl" w:eastAsia="x-none"/>
        </w:rPr>
        <w:t>rtículo 2</w:t>
      </w:r>
      <w:r w:rsidR="004E2B1C" w:rsidRPr="002858A9">
        <w:rPr>
          <w:rFonts w:ascii="Bookman Old Style" w:hAnsi="Bookman Old Style"/>
          <w:b/>
          <w:color w:val="000000" w:themeColor="text1"/>
          <w:lang w:val="es-ES_tradnl" w:eastAsia="x-none"/>
        </w:rPr>
        <w:t>2</w:t>
      </w:r>
      <w:r w:rsidR="00B52CC6" w:rsidRPr="002858A9">
        <w:rPr>
          <w:rFonts w:ascii="Bookman Old Style" w:hAnsi="Bookman Old Style"/>
          <w:b/>
          <w:color w:val="000000" w:themeColor="text1"/>
          <w:lang w:val="es-ES_tradnl" w:eastAsia="x-none"/>
        </w:rPr>
        <w:t xml:space="preserve"> de la presente resolución. </w:t>
      </w:r>
      <w:r w:rsidRPr="002858A9">
        <w:rPr>
          <w:rFonts w:ascii="Bookman Old Style" w:hAnsi="Bookman Old Style"/>
          <w:b/>
          <w:color w:val="000000" w:themeColor="text1"/>
          <w:lang w:val="es-ES_tradnl" w:eastAsia="x-none"/>
        </w:rPr>
        <w:t xml:space="preserve"> </w:t>
      </w:r>
    </w:p>
    <w:p w14:paraId="6C81AB5B" w14:textId="77777777" w:rsidR="005C0F94" w:rsidRPr="002858A9" w:rsidRDefault="005C0F94" w:rsidP="005C0F94">
      <w:pPr>
        <w:ind w:left="0"/>
        <w:jc w:val="both"/>
        <w:rPr>
          <w:rFonts w:ascii="Bookman Old Style" w:hAnsi="Bookman Old Style"/>
          <w:color w:val="000000" w:themeColor="text1"/>
        </w:rPr>
      </w:pPr>
    </w:p>
    <w:p w14:paraId="4597C0D6"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Prima de la opción: </w:t>
      </w:r>
      <w:r w:rsidRPr="002858A9">
        <w:rPr>
          <w:rFonts w:ascii="Bookman Old Style" w:hAnsi="Bookman Old Style"/>
          <w:color w:val="000000" w:themeColor="text1"/>
        </w:rPr>
        <w:t xml:space="preserve">corresponde al precio que se paga por </w:t>
      </w:r>
      <w:r w:rsidRPr="002858A9">
        <w:rPr>
          <w:rFonts w:ascii="Bookman Old Style" w:hAnsi="Bookman Old Style"/>
          <w:bCs/>
          <w:color w:val="000000" w:themeColor="text1"/>
        </w:rPr>
        <w:t xml:space="preserve">el derecho a tomar hasta una cantidad determinada de energía, dentro </w:t>
      </w:r>
      <w:r w:rsidRPr="002858A9">
        <w:rPr>
          <w:rFonts w:ascii="Bookman Old Style" w:hAnsi="Bookman Old Style"/>
          <w:color w:val="000000" w:themeColor="text1"/>
        </w:rPr>
        <w:t>del marco de un contrato de opción de compra de gas.</w:t>
      </w:r>
    </w:p>
    <w:p w14:paraId="69CDB877" w14:textId="77777777" w:rsidR="005C0F94" w:rsidRPr="002858A9" w:rsidRDefault="005C0F94" w:rsidP="005C0F94">
      <w:pPr>
        <w:ind w:left="0"/>
        <w:jc w:val="both"/>
        <w:rPr>
          <w:rFonts w:ascii="Bookman Old Style" w:hAnsi="Bookman Old Style"/>
          <w:color w:val="000000" w:themeColor="text1"/>
        </w:rPr>
      </w:pPr>
    </w:p>
    <w:p w14:paraId="142AAE8F" w14:textId="4607904F"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Producto:</w:t>
      </w:r>
      <w:r w:rsidRPr="002858A9">
        <w:rPr>
          <w:rFonts w:ascii="Bookman Old Style" w:hAnsi="Bookman Old Style"/>
          <w:color w:val="000000" w:themeColor="text1"/>
        </w:rPr>
        <w:t xml:space="preserve"> cantidad de energía </w:t>
      </w:r>
      <w:r w:rsidR="002A43C6" w:rsidRPr="002858A9">
        <w:rPr>
          <w:rFonts w:ascii="Bookman Old Style" w:hAnsi="Bookman Old Style"/>
          <w:b/>
          <w:bCs/>
          <w:color w:val="000000" w:themeColor="text1"/>
        </w:rPr>
        <w:t>en</w:t>
      </w:r>
      <w:r w:rsidR="00F86F56" w:rsidRPr="002858A9">
        <w:rPr>
          <w:rFonts w:ascii="Bookman Old Style" w:hAnsi="Bookman Old Style"/>
          <w:b/>
          <w:bCs/>
          <w:color w:val="000000" w:themeColor="text1"/>
        </w:rPr>
        <w:t xml:space="preserve"> gas natural</w:t>
      </w:r>
      <w:r w:rsidR="00F86F56" w:rsidRPr="002858A9">
        <w:rPr>
          <w:rFonts w:ascii="Bookman Old Style" w:hAnsi="Bookman Old Style"/>
          <w:color w:val="000000" w:themeColor="text1"/>
        </w:rPr>
        <w:t xml:space="preserve"> </w:t>
      </w:r>
      <w:r w:rsidRPr="002858A9">
        <w:rPr>
          <w:rFonts w:ascii="Bookman Old Style" w:hAnsi="Bookman Old Style"/>
          <w:color w:val="000000" w:themeColor="text1"/>
        </w:rPr>
        <w:t xml:space="preserve">bajo la modalidad de contrato </w:t>
      </w:r>
      <w:r w:rsidR="00F86F56" w:rsidRPr="002858A9">
        <w:rPr>
          <w:rFonts w:ascii="Bookman Old Style" w:hAnsi="Bookman Old Style"/>
          <w:b/>
          <w:bCs/>
          <w:color w:val="000000" w:themeColor="text1"/>
        </w:rPr>
        <w:t>CF95</w:t>
      </w:r>
      <w:r w:rsidRPr="002858A9">
        <w:rPr>
          <w:rFonts w:ascii="Bookman Old Style" w:hAnsi="Bookman Old Style"/>
          <w:color w:val="000000" w:themeColor="text1"/>
        </w:rPr>
        <w:t xml:space="preserve">, de suministro con firmeza condicionada </w:t>
      </w:r>
      <w:r w:rsidR="00F47E1A" w:rsidRPr="002858A9">
        <w:rPr>
          <w:rFonts w:ascii="Bookman Old Style" w:hAnsi="Bookman Old Style"/>
          <w:b/>
          <w:bCs/>
          <w:color w:val="000000" w:themeColor="text1"/>
        </w:rPr>
        <w:t>CFC</w:t>
      </w:r>
      <w:r w:rsidR="00F47E1A" w:rsidRPr="002858A9">
        <w:rPr>
          <w:rFonts w:ascii="Bookman Old Style" w:hAnsi="Bookman Old Style"/>
          <w:color w:val="000000" w:themeColor="text1"/>
        </w:rPr>
        <w:t xml:space="preserve"> </w:t>
      </w:r>
      <w:r w:rsidRPr="002858A9">
        <w:rPr>
          <w:rFonts w:ascii="Bookman Old Style" w:hAnsi="Bookman Old Style"/>
          <w:color w:val="000000" w:themeColor="text1"/>
        </w:rPr>
        <w:t>o de opción de compra de gas</w:t>
      </w:r>
      <w:r w:rsidR="00F47E1A" w:rsidRPr="002858A9">
        <w:rPr>
          <w:rFonts w:ascii="Bookman Old Style" w:hAnsi="Bookman Old Style"/>
          <w:color w:val="000000" w:themeColor="text1"/>
        </w:rPr>
        <w:t xml:space="preserve"> </w:t>
      </w:r>
      <w:r w:rsidR="00F47E1A" w:rsidRPr="002858A9">
        <w:rPr>
          <w:rFonts w:ascii="Bookman Old Style" w:hAnsi="Bookman Old Style"/>
          <w:b/>
          <w:bCs/>
          <w:color w:val="000000" w:themeColor="text1"/>
        </w:rPr>
        <w:t>OCG</w:t>
      </w:r>
      <w:r w:rsidRPr="002858A9">
        <w:rPr>
          <w:rFonts w:ascii="Bookman Old Style" w:hAnsi="Bookman Old Style"/>
          <w:color w:val="000000" w:themeColor="text1"/>
        </w:rPr>
        <w:t xml:space="preserve">, que se </w:t>
      </w:r>
      <w:r w:rsidR="00F86F56" w:rsidRPr="002858A9">
        <w:rPr>
          <w:rFonts w:ascii="Bookman Old Style" w:hAnsi="Bookman Old Style"/>
          <w:b/>
          <w:bCs/>
          <w:color w:val="000000" w:themeColor="text1"/>
        </w:rPr>
        <w:t xml:space="preserve">debe garantizar </w:t>
      </w:r>
      <w:r w:rsidRPr="002858A9">
        <w:rPr>
          <w:rFonts w:ascii="Bookman Old Style" w:hAnsi="Bookman Old Style"/>
          <w:color w:val="000000" w:themeColor="text1"/>
        </w:rPr>
        <w:t xml:space="preserve">diariamente en un punto de entrada al SNT </w:t>
      </w:r>
      <w:r w:rsidRPr="002858A9">
        <w:rPr>
          <w:rFonts w:ascii="Bookman Old Style" w:hAnsi="Bookman Old Style" w:cs="Arial"/>
          <w:color w:val="000000" w:themeColor="text1"/>
        </w:rPr>
        <w:t>de alguno de los tramos de gasoductos definidos para efectos tarifarios,</w:t>
      </w:r>
      <w:r w:rsidRPr="002858A9">
        <w:rPr>
          <w:rFonts w:ascii="Bookman Old Style" w:hAnsi="Bookman Old Style"/>
          <w:color w:val="000000" w:themeColor="text1"/>
        </w:rPr>
        <w:t xml:space="preserve"> y cuya duración </w:t>
      </w:r>
      <w:r w:rsidR="00F86F56" w:rsidRPr="002858A9">
        <w:rPr>
          <w:rFonts w:ascii="Bookman Old Style" w:hAnsi="Bookman Old Style"/>
          <w:color w:val="000000" w:themeColor="text1"/>
        </w:rPr>
        <w:t xml:space="preserve">es de </w:t>
      </w:r>
      <w:r w:rsidR="00F86F56" w:rsidRPr="002858A9">
        <w:rPr>
          <w:rFonts w:ascii="Bookman Old Style" w:hAnsi="Bookman Old Style"/>
          <w:b/>
          <w:bCs/>
          <w:color w:val="000000" w:themeColor="text1"/>
        </w:rPr>
        <w:t>un trimestre estándar</w:t>
      </w:r>
      <w:r w:rsidRPr="002858A9">
        <w:rPr>
          <w:rFonts w:ascii="Bookman Old Style" w:hAnsi="Bookman Old Style"/>
          <w:color w:val="000000" w:themeColor="text1"/>
        </w:rPr>
        <w:t>.</w:t>
      </w:r>
    </w:p>
    <w:p w14:paraId="44776B0E" w14:textId="77777777" w:rsidR="005C0F94" w:rsidRPr="002858A9" w:rsidRDefault="005C0F94" w:rsidP="005C0F94">
      <w:pPr>
        <w:ind w:left="0"/>
        <w:rPr>
          <w:rFonts w:ascii="Bookman Old Style" w:hAnsi="Bookman Old Style"/>
          <w:color w:val="000000" w:themeColor="text1"/>
        </w:rPr>
      </w:pPr>
    </w:p>
    <w:p w14:paraId="3452E063"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Ronda: </w:t>
      </w:r>
      <w:r w:rsidRPr="002858A9">
        <w:rPr>
          <w:rFonts w:ascii="Bookman Old Style" w:hAnsi="Bookman Old Style"/>
          <w:color w:val="000000" w:themeColor="text1"/>
        </w:rPr>
        <w:t>período de tiempo definido por el subastador durante el cual los compradores habilitados presentan sus solicitudes de compra, de acuerdo con lo establecido en este Anexo.</w:t>
      </w:r>
    </w:p>
    <w:p w14:paraId="6A7709CF" w14:textId="77777777" w:rsidR="005C0F94" w:rsidRPr="002858A9" w:rsidRDefault="005C0F94" w:rsidP="005C0F94">
      <w:pPr>
        <w:ind w:left="0"/>
        <w:rPr>
          <w:rFonts w:ascii="Bookman Old Style" w:hAnsi="Bookman Old Style"/>
          <w:color w:val="000000" w:themeColor="text1"/>
        </w:rPr>
      </w:pPr>
    </w:p>
    <w:p w14:paraId="73C02DDA" w14:textId="77777777" w:rsidR="005C0F94" w:rsidRPr="00483BFD" w:rsidRDefault="005C0F94" w:rsidP="005C0F94">
      <w:pPr>
        <w:ind w:left="0"/>
        <w:jc w:val="both"/>
        <w:rPr>
          <w:rFonts w:ascii="Bookman Old Style" w:hAnsi="Bookman Old Style"/>
          <w:color w:val="000000" w:themeColor="text1"/>
        </w:rPr>
      </w:pPr>
      <w:r w:rsidRPr="002858A9">
        <w:rPr>
          <w:rFonts w:ascii="Bookman Old Style" w:hAnsi="Bookman Old Style"/>
          <w:b/>
          <w:color w:val="000000" w:themeColor="text1"/>
        </w:rPr>
        <w:t xml:space="preserve">Sistema de subasta: </w:t>
      </w:r>
      <w:r w:rsidRPr="002858A9">
        <w:rPr>
          <w:rFonts w:ascii="Bookman Old Style" w:hAnsi="Bookman Old Style"/>
          <w:color w:val="000000" w:themeColor="text1"/>
        </w:rPr>
        <w:t>corresponde a la plataforma tecnológica en la cual se desarrollará la subasta que se reglamenta en este Anexo</w:t>
      </w:r>
      <w:r w:rsidRPr="00483BFD">
        <w:rPr>
          <w:rFonts w:ascii="Bookman Old Style" w:hAnsi="Bookman Old Style"/>
          <w:color w:val="000000" w:themeColor="text1"/>
        </w:rPr>
        <w:t>.</w:t>
      </w:r>
    </w:p>
    <w:p w14:paraId="2EABF45D" w14:textId="77777777" w:rsidR="005C0F94" w:rsidRPr="00483BFD" w:rsidRDefault="005C0F94" w:rsidP="005C0F94">
      <w:pPr>
        <w:ind w:left="0"/>
        <w:jc w:val="both"/>
        <w:rPr>
          <w:rFonts w:ascii="Bookman Old Style" w:hAnsi="Bookman Old Style"/>
          <w:color w:val="000000" w:themeColor="text1"/>
        </w:rPr>
      </w:pPr>
    </w:p>
    <w:p w14:paraId="15CA6A7B"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b/>
          <w:color w:val="000000" w:themeColor="text1"/>
        </w:rPr>
        <w:t xml:space="preserve">Subasta: </w:t>
      </w:r>
      <w:r w:rsidRPr="00483BFD">
        <w:rPr>
          <w:rFonts w:ascii="Bookman Old Style" w:hAnsi="Bookman Old Style"/>
          <w:color w:val="000000" w:themeColor="text1"/>
        </w:rPr>
        <w:t>proceso dinámico de negociación, con reglas definidas para la formación de los precios y las asignaciones de los productos, de acuerdo con lo establecido en este Anexo.</w:t>
      </w:r>
    </w:p>
    <w:p w14:paraId="1163AA3B" w14:textId="77777777" w:rsidR="005C0F94" w:rsidRPr="00483BFD" w:rsidRDefault="005C0F94" w:rsidP="005C0F94">
      <w:pPr>
        <w:ind w:left="0"/>
        <w:jc w:val="both"/>
        <w:rPr>
          <w:rFonts w:ascii="Bookman Old Style" w:hAnsi="Bookman Old Style"/>
          <w:color w:val="000000" w:themeColor="text1"/>
        </w:rPr>
      </w:pPr>
    </w:p>
    <w:p w14:paraId="37866018" w14:textId="77777777" w:rsidR="005C0F94" w:rsidRPr="002858A9" w:rsidRDefault="005C0F94" w:rsidP="005C0F94">
      <w:pPr>
        <w:ind w:left="0"/>
        <w:jc w:val="both"/>
        <w:rPr>
          <w:rFonts w:ascii="Bookman Old Style" w:hAnsi="Bookman Old Style"/>
          <w:color w:val="000000" w:themeColor="text1"/>
        </w:rPr>
      </w:pPr>
      <w:r w:rsidRPr="00483BFD">
        <w:rPr>
          <w:rFonts w:ascii="Bookman Old Style" w:hAnsi="Bookman Old Style"/>
          <w:b/>
          <w:color w:val="000000" w:themeColor="text1"/>
        </w:rPr>
        <w:t xml:space="preserve">Subastador: </w:t>
      </w:r>
      <w:r w:rsidRPr="00483BFD">
        <w:rPr>
          <w:rFonts w:ascii="Bookman Old Style" w:hAnsi="Bookman Old Style"/>
          <w:color w:val="000000" w:themeColor="text1"/>
        </w:rPr>
        <w:t xml:space="preserve">persona natural o jurídica, con más de cinco (5) años de experiencia reconocida en la materia, en al menos tres (3) países, que da aplicación al </w:t>
      </w:r>
      <w:r w:rsidRPr="002858A9">
        <w:rPr>
          <w:rFonts w:ascii="Bookman Old Style" w:hAnsi="Bookman Old Style"/>
          <w:color w:val="000000" w:themeColor="text1"/>
        </w:rPr>
        <w:t>procedimiento de la subasta. Puede ser el administrador de la subasta u otra persona que éste contrate.</w:t>
      </w:r>
    </w:p>
    <w:p w14:paraId="39213736" w14:textId="77777777" w:rsidR="005C0F94" w:rsidRPr="002858A9" w:rsidRDefault="005C0F94" w:rsidP="005C0F94">
      <w:pPr>
        <w:ind w:left="0"/>
        <w:rPr>
          <w:rFonts w:ascii="Bookman Old Style" w:hAnsi="Bookman Old Style"/>
          <w:color w:val="000000" w:themeColor="text1"/>
        </w:rPr>
      </w:pPr>
    </w:p>
    <w:p w14:paraId="4A4FD8D3" w14:textId="3F139E27" w:rsidR="005C0F94" w:rsidRPr="002858A9" w:rsidRDefault="005C0F94" w:rsidP="005C0F94">
      <w:pPr>
        <w:ind w:left="0"/>
        <w:jc w:val="both"/>
        <w:rPr>
          <w:rFonts w:ascii="Bookman Old Style" w:hAnsi="Bookman Old Style"/>
          <w:b/>
          <w:color w:val="000000" w:themeColor="text1"/>
        </w:rPr>
      </w:pPr>
      <w:r w:rsidRPr="002858A9">
        <w:rPr>
          <w:rFonts w:ascii="Bookman Old Style" w:hAnsi="Bookman Old Style"/>
          <w:b/>
          <w:color w:val="000000" w:themeColor="text1"/>
        </w:rPr>
        <w:t xml:space="preserve">Vendedores habilitados: </w:t>
      </w:r>
      <w:r w:rsidRPr="002858A9">
        <w:rPr>
          <w:rFonts w:ascii="Bookman Old Style" w:hAnsi="Bookman Old Style"/>
          <w:color w:val="000000" w:themeColor="text1"/>
        </w:rPr>
        <w:t>vendedores a los que se hace referencia en el</w:t>
      </w:r>
      <w:r w:rsidR="00784F6E">
        <w:rPr>
          <w:rFonts w:ascii="Bookman Old Style" w:hAnsi="Bookman Old Style"/>
          <w:color w:val="000000" w:themeColor="text1"/>
        </w:rPr>
        <w:t xml:space="preserve"> </w:t>
      </w:r>
      <w:r w:rsidR="00784F6E" w:rsidRPr="00996A90">
        <w:rPr>
          <w:rFonts w:ascii="Bookman Old Style" w:hAnsi="Bookman Old Style"/>
          <w:b/>
          <w:bCs/>
          <w:color w:val="000000" w:themeColor="text1"/>
        </w:rPr>
        <w:t>artículo 16</w:t>
      </w:r>
      <w:r w:rsidRPr="00996A90">
        <w:rPr>
          <w:rFonts w:ascii="Bookman Old Style" w:hAnsi="Bookman Old Style"/>
          <w:b/>
          <w:bCs/>
          <w:color w:val="000000" w:themeColor="text1"/>
        </w:rPr>
        <w:t xml:space="preserve"> </w:t>
      </w:r>
      <w:r w:rsidRPr="002858A9">
        <w:rPr>
          <w:rFonts w:ascii="Bookman Old Style" w:hAnsi="Bookman Old Style"/>
          <w:color w:val="000000" w:themeColor="text1"/>
        </w:rPr>
        <w:t xml:space="preserve">de esta Resolución que cumplen cabalmente con lo señalado en el numeral </w:t>
      </w:r>
      <w:r w:rsidRPr="002858A9">
        <w:rPr>
          <w:rFonts w:ascii="Bookman Old Style" w:hAnsi="Bookman Old Style"/>
          <w:color w:val="000000" w:themeColor="text1"/>
        </w:rPr>
        <w:fldChar w:fldCharType="begin"/>
      </w:r>
      <w:r w:rsidRPr="002858A9">
        <w:rPr>
          <w:rFonts w:ascii="Bookman Old Style" w:hAnsi="Bookman Old Style"/>
          <w:color w:val="000000" w:themeColor="text1"/>
        </w:rPr>
        <w:instrText xml:space="preserve"> REF _Ref336432085 \r \h  \* MERGEFORMAT </w:instrText>
      </w:r>
      <w:r w:rsidRPr="002858A9">
        <w:rPr>
          <w:rFonts w:ascii="Bookman Old Style" w:hAnsi="Bookman Old Style"/>
          <w:color w:val="000000" w:themeColor="text1"/>
        </w:rPr>
      </w:r>
      <w:r w:rsidRPr="002858A9">
        <w:rPr>
          <w:rFonts w:ascii="Bookman Old Style" w:hAnsi="Bookman Old Style"/>
          <w:color w:val="000000" w:themeColor="text1"/>
        </w:rPr>
        <w:fldChar w:fldCharType="separate"/>
      </w:r>
      <w:r w:rsidR="00636B6A">
        <w:rPr>
          <w:rFonts w:ascii="Bookman Old Style" w:hAnsi="Bookman Old Style"/>
          <w:color w:val="000000" w:themeColor="text1"/>
        </w:rPr>
        <w:t>5.4</w:t>
      </w:r>
      <w:r w:rsidRPr="002858A9">
        <w:rPr>
          <w:rFonts w:ascii="Bookman Old Style" w:hAnsi="Bookman Old Style"/>
          <w:color w:val="000000" w:themeColor="text1"/>
        </w:rPr>
        <w:fldChar w:fldCharType="end"/>
      </w:r>
      <w:r w:rsidRPr="002858A9">
        <w:rPr>
          <w:rFonts w:ascii="Bookman Old Style" w:hAnsi="Bookman Old Style"/>
          <w:color w:val="000000" w:themeColor="text1"/>
        </w:rPr>
        <w:t xml:space="preserve"> de este Anexo.</w:t>
      </w:r>
    </w:p>
    <w:p w14:paraId="743DF80E" w14:textId="77777777" w:rsidR="005C0F94" w:rsidRPr="002858A9" w:rsidRDefault="005C0F94" w:rsidP="005C0F94">
      <w:pPr>
        <w:ind w:left="0"/>
        <w:rPr>
          <w:rFonts w:ascii="Bookman Old Style" w:hAnsi="Bookman Old Style"/>
          <w:color w:val="000000" w:themeColor="text1"/>
        </w:rPr>
      </w:pPr>
    </w:p>
    <w:p w14:paraId="08623663" w14:textId="77777777" w:rsidR="005C0F94" w:rsidRPr="002858A9" w:rsidRDefault="005C0F94" w:rsidP="005C0F94">
      <w:pPr>
        <w:pStyle w:val="Prrafodelista"/>
        <w:numPr>
          <w:ilvl w:val="0"/>
          <w:numId w:val="109"/>
        </w:numPr>
        <w:ind w:left="567" w:hanging="567"/>
        <w:rPr>
          <w:rFonts w:ascii="Bookman Old Style" w:hAnsi="Bookman Old Style"/>
          <w:b/>
          <w:color w:val="000000" w:themeColor="text1"/>
          <w:sz w:val="24"/>
          <w:szCs w:val="24"/>
        </w:rPr>
      </w:pPr>
      <w:r w:rsidRPr="002858A9">
        <w:rPr>
          <w:rFonts w:ascii="Bookman Old Style" w:hAnsi="Bookman Old Style"/>
          <w:b/>
          <w:color w:val="000000" w:themeColor="text1"/>
          <w:sz w:val="24"/>
          <w:szCs w:val="24"/>
        </w:rPr>
        <w:t>Principios generales de la subasta</w:t>
      </w:r>
    </w:p>
    <w:p w14:paraId="3ACD2CD6" w14:textId="77777777" w:rsidR="005C0F94" w:rsidRPr="002858A9" w:rsidRDefault="005C0F94" w:rsidP="005C0F94">
      <w:pPr>
        <w:ind w:left="0"/>
        <w:rPr>
          <w:rFonts w:ascii="Bookman Old Style" w:hAnsi="Bookman Old Style"/>
          <w:color w:val="000000" w:themeColor="text1"/>
        </w:rPr>
      </w:pPr>
    </w:p>
    <w:p w14:paraId="6C3DE269" w14:textId="77777777" w:rsidR="005C0F94" w:rsidRPr="002858A9" w:rsidRDefault="005C0F94" w:rsidP="005C0F94">
      <w:pPr>
        <w:pStyle w:val="ARTICULOS"/>
        <w:numPr>
          <w:ilvl w:val="0"/>
          <w:numId w:val="0"/>
        </w:numPr>
        <w:rPr>
          <w:rFonts w:cs="Arial"/>
          <w:color w:val="000000" w:themeColor="text1"/>
        </w:rPr>
      </w:pPr>
      <w:r w:rsidRPr="002858A9">
        <w:rPr>
          <w:rFonts w:cs="Arial"/>
          <w:color w:val="000000" w:themeColor="text1"/>
        </w:rPr>
        <w:t>La subasta se regirá por los siguientes principios:</w:t>
      </w:r>
    </w:p>
    <w:p w14:paraId="1D23B9BA" w14:textId="77777777" w:rsidR="005C0F94" w:rsidRPr="002858A9" w:rsidRDefault="005C0F94" w:rsidP="005C0F94">
      <w:pPr>
        <w:pStyle w:val="ARTICULOS"/>
        <w:numPr>
          <w:ilvl w:val="0"/>
          <w:numId w:val="0"/>
        </w:numPr>
        <w:rPr>
          <w:rFonts w:cs="Arial"/>
          <w:color w:val="000000" w:themeColor="text1"/>
        </w:rPr>
      </w:pPr>
    </w:p>
    <w:p w14:paraId="7E98D77A" w14:textId="77777777" w:rsidR="005C0F94" w:rsidRPr="002858A9" w:rsidRDefault="005C0F94" w:rsidP="005C0F94">
      <w:pPr>
        <w:numPr>
          <w:ilvl w:val="0"/>
          <w:numId w:val="13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Eficiencia: el desarrollo de la subasta conducirá a la formación de precios eficientes de cada uno de los productos.</w:t>
      </w:r>
    </w:p>
    <w:p w14:paraId="488F6B64"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4117AFC6" w14:textId="77777777" w:rsidR="005C0F94" w:rsidRPr="002858A9" w:rsidRDefault="005C0F94" w:rsidP="005C0F94">
      <w:pPr>
        <w:numPr>
          <w:ilvl w:val="0"/>
          <w:numId w:val="13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Publicidad: se garantizará a través de los mecanismos dispuestos en la presente Resolución.</w:t>
      </w:r>
    </w:p>
    <w:p w14:paraId="44BF0D9B"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7079C281" w14:textId="77777777" w:rsidR="005C0F94" w:rsidRPr="002858A9" w:rsidRDefault="005C0F94" w:rsidP="005C0F94">
      <w:pPr>
        <w:numPr>
          <w:ilvl w:val="0"/>
          <w:numId w:val="13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Neutralidad: el diseño de la subasta y el reglamento de </w:t>
      </w:r>
      <w:proofErr w:type="gramStart"/>
      <w:r w:rsidRPr="002858A9">
        <w:rPr>
          <w:rFonts w:ascii="Bookman Old Style" w:hAnsi="Bookman Old Style" w:cs="Arial"/>
          <w:color w:val="000000" w:themeColor="text1"/>
        </w:rPr>
        <w:t>la misma</w:t>
      </w:r>
      <w:proofErr w:type="gramEnd"/>
      <w:r w:rsidRPr="002858A9">
        <w:rPr>
          <w:rFonts w:ascii="Bookman Old Style" w:hAnsi="Bookman Old Style" w:cs="Arial"/>
          <w:color w:val="000000" w:themeColor="text1"/>
        </w:rPr>
        <w:t xml:space="preserve"> no permitirán, inducirán o adoptarán prácticas de discriminación indebida en contra de alguno de los participantes.</w:t>
      </w:r>
    </w:p>
    <w:p w14:paraId="0A27CED8"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3436F13D" w14:textId="77777777" w:rsidR="005C0F94" w:rsidRPr="002858A9" w:rsidRDefault="005C0F94" w:rsidP="005C0F94">
      <w:pPr>
        <w:numPr>
          <w:ilvl w:val="0"/>
          <w:numId w:val="13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Simplicidad y transparencia: los mecanismos de la subasta serán claros, explícitos y constarán por escrito, de tal forma que puedan ser comprendidos sin duda ni ambigüedad.</w:t>
      </w:r>
    </w:p>
    <w:p w14:paraId="3AD1708D"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0FD79E54" w14:textId="77777777" w:rsidR="005C0F94" w:rsidRPr="002858A9" w:rsidRDefault="005C0F94" w:rsidP="005C0F94">
      <w:pPr>
        <w:numPr>
          <w:ilvl w:val="0"/>
          <w:numId w:val="13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Objetividad: los criterios de adjudicación serán claros e imparciales.</w:t>
      </w:r>
    </w:p>
    <w:p w14:paraId="5DE1AC78" w14:textId="77777777" w:rsidR="005C0F94" w:rsidRPr="002858A9" w:rsidRDefault="005C0F94" w:rsidP="005C0F94">
      <w:pPr>
        <w:pStyle w:val="Prrafodelista"/>
        <w:rPr>
          <w:rFonts w:ascii="Bookman Old Style" w:hAnsi="Bookman Old Style" w:cs="Arial"/>
          <w:bCs/>
          <w:color w:val="000000" w:themeColor="text1"/>
          <w:sz w:val="24"/>
          <w:szCs w:val="24"/>
        </w:rPr>
      </w:pPr>
    </w:p>
    <w:p w14:paraId="35A25B06" w14:textId="77777777" w:rsidR="005C0F94" w:rsidRPr="002858A9" w:rsidRDefault="005C0F94" w:rsidP="005C0F94">
      <w:pPr>
        <w:pStyle w:val="Prrafodelista"/>
        <w:numPr>
          <w:ilvl w:val="0"/>
          <w:numId w:val="109"/>
        </w:numPr>
        <w:ind w:left="567" w:hanging="567"/>
        <w:rPr>
          <w:rFonts w:ascii="Bookman Old Style" w:hAnsi="Bookman Old Style"/>
          <w:b/>
          <w:color w:val="000000" w:themeColor="text1"/>
          <w:sz w:val="24"/>
          <w:szCs w:val="24"/>
        </w:rPr>
      </w:pPr>
      <w:r w:rsidRPr="002858A9">
        <w:rPr>
          <w:rFonts w:ascii="Bookman Old Style" w:hAnsi="Bookman Old Style"/>
          <w:b/>
          <w:color w:val="000000" w:themeColor="text1"/>
          <w:sz w:val="24"/>
          <w:szCs w:val="24"/>
        </w:rPr>
        <w:t>Organización de la subasta</w:t>
      </w:r>
    </w:p>
    <w:p w14:paraId="308AD072" w14:textId="77777777" w:rsidR="005C0F94" w:rsidRPr="002858A9" w:rsidRDefault="005C0F94" w:rsidP="005C0F94">
      <w:pPr>
        <w:pStyle w:val="Prrafodelista"/>
        <w:ind w:left="360"/>
        <w:rPr>
          <w:rFonts w:ascii="Bookman Old Style" w:hAnsi="Bookman Old Style"/>
          <w:color w:val="000000" w:themeColor="text1"/>
          <w:sz w:val="24"/>
          <w:szCs w:val="24"/>
        </w:rPr>
      </w:pPr>
    </w:p>
    <w:p w14:paraId="586B6208" w14:textId="77777777" w:rsidR="005C0F94" w:rsidRPr="002858A9" w:rsidRDefault="005C0F94" w:rsidP="005C0F94">
      <w:pPr>
        <w:pStyle w:val="Prrafodelista"/>
        <w:numPr>
          <w:ilvl w:val="1"/>
          <w:numId w:val="147"/>
        </w:numPr>
        <w:ind w:left="567" w:hanging="567"/>
        <w:rPr>
          <w:rFonts w:ascii="Bookman Old Style" w:hAnsi="Bookman Old Style"/>
          <w:color w:val="000000" w:themeColor="text1"/>
          <w:sz w:val="24"/>
          <w:szCs w:val="24"/>
        </w:rPr>
      </w:pPr>
      <w:bookmarkStart w:id="175" w:name="_Ref363553086"/>
      <w:r w:rsidRPr="002858A9">
        <w:rPr>
          <w:rFonts w:ascii="Bookman Old Style" w:hAnsi="Bookman Old Style"/>
          <w:color w:val="000000" w:themeColor="text1"/>
          <w:sz w:val="24"/>
          <w:szCs w:val="24"/>
        </w:rPr>
        <w:t>Responsabilidades y deberes del administrador de la subasta</w:t>
      </w:r>
      <w:bookmarkEnd w:id="175"/>
    </w:p>
    <w:p w14:paraId="2A9CA4B9" w14:textId="77777777" w:rsidR="005C0F94" w:rsidRPr="002858A9" w:rsidRDefault="005C0F94" w:rsidP="005C0F94">
      <w:pPr>
        <w:ind w:left="0"/>
        <w:rPr>
          <w:rFonts w:ascii="Bookman Old Style" w:hAnsi="Bookman Old Style"/>
          <w:color w:val="000000" w:themeColor="text1"/>
        </w:rPr>
      </w:pPr>
    </w:p>
    <w:p w14:paraId="36C3BA56" w14:textId="3D3D2583" w:rsidR="00102C02" w:rsidRPr="002858A9" w:rsidRDefault="00102C02" w:rsidP="005C0F94">
      <w:pPr>
        <w:numPr>
          <w:ilvl w:val="0"/>
          <w:numId w:val="151"/>
        </w:numPr>
        <w:autoSpaceDE w:val="0"/>
        <w:autoSpaceDN w:val="0"/>
        <w:adjustRightInd w:val="0"/>
        <w:ind w:left="1134" w:hanging="567"/>
        <w:jc w:val="both"/>
        <w:rPr>
          <w:rFonts w:ascii="Bookman Old Style" w:hAnsi="Bookman Old Style" w:cs="Arial"/>
          <w:b/>
          <w:bCs/>
          <w:color w:val="000000" w:themeColor="text1"/>
        </w:rPr>
      </w:pPr>
      <w:r w:rsidRPr="002858A9">
        <w:rPr>
          <w:rFonts w:ascii="Bookman Old Style" w:hAnsi="Bookman Old Style" w:cs="Arial"/>
          <w:b/>
          <w:bCs/>
          <w:color w:val="000000" w:themeColor="text1"/>
        </w:rPr>
        <w:t>Establecer las actividades a desarrollar como parte de la subasta y el cronograma de ejecución.</w:t>
      </w:r>
    </w:p>
    <w:p w14:paraId="41BA6E40" w14:textId="2BD8C9D5" w:rsidR="00102C02" w:rsidRPr="002858A9" w:rsidRDefault="00102C02" w:rsidP="002D5416">
      <w:pPr>
        <w:autoSpaceDE w:val="0"/>
        <w:autoSpaceDN w:val="0"/>
        <w:adjustRightInd w:val="0"/>
        <w:ind w:left="1134"/>
        <w:jc w:val="both"/>
        <w:rPr>
          <w:rFonts w:ascii="Bookman Old Style" w:hAnsi="Bookman Old Style" w:cs="Arial"/>
          <w:b/>
          <w:bCs/>
          <w:color w:val="000000" w:themeColor="text1"/>
        </w:rPr>
      </w:pPr>
      <w:r w:rsidRPr="002858A9">
        <w:rPr>
          <w:rFonts w:ascii="Bookman Old Style" w:hAnsi="Bookman Old Style" w:cs="Arial"/>
          <w:b/>
          <w:bCs/>
          <w:color w:val="000000" w:themeColor="text1"/>
        </w:rPr>
        <w:t xml:space="preserve"> </w:t>
      </w:r>
    </w:p>
    <w:p w14:paraId="5668228D" w14:textId="77777777"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Establecer, operar y mantener el sistema</w:t>
      </w:r>
      <w:r w:rsidRPr="00483BFD">
        <w:rPr>
          <w:rFonts w:ascii="Bookman Old Style" w:hAnsi="Bookman Old Style" w:cs="Arial"/>
          <w:color w:val="000000" w:themeColor="text1"/>
        </w:rPr>
        <w:t xml:space="preserve"> de subasta, el cual deberá estar disponible a más tardar veinte (20) días calendario antes de la fecha programada para la realización de la </w:t>
      </w:r>
      <w:r w:rsidRPr="002858A9">
        <w:rPr>
          <w:rFonts w:ascii="Bookman Old Style" w:hAnsi="Bookman Old Style" w:cs="Arial"/>
          <w:color w:val="000000" w:themeColor="text1"/>
        </w:rPr>
        <w:t>subasta.</w:t>
      </w:r>
    </w:p>
    <w:p w14:paraId="740250CA"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17E23FDC" w14:textId="3643A1E4"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Realizar a más tardar quince (15) días calendario antes de la fecha programada para la realización de la subasta</w:t>
      </w:r>
      <w:r w:rsidR="00F86F56" w:rsidRPr="002858A9">
        <w:rPr>
          <w:rFonts w:ascii="Bookman Old Style" w:hAnsi="Bookman Old Style" w:cs="Arial"/>
          <w:color w:val="000000" w:themeColor="text1"/>
        </w:rPr>
        <w:t xml:space="preserve"> </w:t>
      </w:r>
      <w:r w:rsidR="00F86F56" w:rsidRPr="002858A9">
        <w:rPr>
          <w:rFonts w:ascii="Bookman Old Style" w:hAnsi="Bookman Old Style" w:cs="Arial"/>
          <w:b/>
          <w:bCs/>
          <w:color w:val="000000" w:themeColor="text1"/>
        </w:rPr>
        <w:t>del primer trimestre estándar de negociación de cada año de gas</w:t>
      </w:r>
      <w:r w:rsidRPr="002858A9">
        <w:rPr>
          <w:rFonts w:ascii="Bookman Old Style" w:hAnsi="Bookman Old Style" w:cs="Arial"/>
          <w:b/>
          <w:bCs/>
          <w:color w:val="000000" w:themeColor="text1"/>
        </w:rPr>
        <w:t>,</w:t>
      </w:r>
      <w:r w:rsidRPr="002858A9">
        <w:rPr>
          <w:rFonts w:ascii="Bookman Old Style" w:hAnsi="Bookman Old Style" w:cs="Arial"/>
          <w:color w:val="000000" w:themeColor="text1"/>
        </w:rPr>
        <w:t xml:space="preserve"> a través de una </w:t>
      </w:r>
      <w:r w:rsidRPr="002858A9">
        <w:rPr>
          <w:rFonts w:ascii="Bookman Old Style" w:hAnsi="Bookman Old Style" w:cs="Arial"/>
          <w:color w:val="000000" w:themeColor="text1"/>
        </w:rPr>
        <w:lastRenderedPageBreak/>
        <w:t>empresa especializada, una auditoría operativa y de sistemas para verificar el adecuado funcionamiento del sistema de subasta y certificar su correcta operación frente a las especificaciones técnicas, operativas y de seguridad, respecto del programa y de los equipos. Igualmente, deberá remitir el certificado de dicha auditoría al auditor de la subasta antes de la fecha programada para la realización de la subasta.</w:t>
      </w:r>
    </w:p>
    <w:p w14:paraId="5DB892BE" w14:textId="77777777" w:rsidR="005C0F94" w:rsidRPr="002858A9" w:rsidRDefault="005C0F94" w:rsidP="005C0F94">
      <w:pPr>
        <w:pStyle w:val="Prrafodelista"/>
        <w:rPr>
          <w:rFonts w:ascii="Bookman Old Style" w:hAnsi="Bookman Old Style" w:cs="Arial"/>
          <w:color w:val="000000" w:themeColor="text1"/>
          <w:sz w:val="24"/>
          <w:szCs w:val="24"/>
          <w:lang w:val="es-ES"/>
        </w:rPr>
      </w:pPr>
    </w:p>
    <w:p w14:paraId="0CE2693B" w14:textId="77675AFF"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Elaborar </w:t>
      </w:r>
      <w:r w:rsidR="003768E3" w:rsidRPr="002858A9">
        <w:rPr>
          <w:rFonts w:ascii="Bookman Old Style" w:hAnsi="Bookman Old Style" w:cs="Arial"/>
          <w:color w:val="000000" w:themeColor="text1"/>
        </w:rPr>
        <w:t xml:space="preserve">las </w:t>
      </w:r>
      <w:r w:rsidR="003768E3" w:rsidRPr="002858A9">
        <w:rPr>
          <w:rFonts w:ascii="Bookman Old Style" w:hAnsi="Bookman Old Style" w:cs="Arial"/>
          <w:b/>
          <w:bCs/>
          <w:color w:val="000000" w:themeColor="text1"/>
        </w:rPr>
        <w:t>propuestas de</w:t>
      </w:r>
      <w:r w:rsidRPr="002858A9">
        <w:rPr>
          <w:rFonts w:ascii="Bookman Old Style" w:hAnsi="Bookman Old Style" w:cs="Arial"/>
          <w:b/>
          <w:bCs/>
          <w:color w:val="000000" w:themeColor="text1"/>
        </w:rPr>
        <w:t xml:space="preserve"> </w:t>
      </w:r>
      <w:r w:rsidRPr="002858A9">
        <w:rPr>
          <w:rFonts w:ascii="Bookman Old Style" w:hAnsi="Bookman Old Style" w:cs="Arial"/>
          <w:color w:val="000000" w:themeColor="text1"/>
        </w:rPr>
        <w:t>reglamentos que considere necesarios para llevar a cabo las actividades encomendadas, los cuales deberán ser puestos a consideración de la CREG para su concepto de no objeción a más tardar sesenta (60) días calendario antes de la fecha programada para la realización de la</w:t>
      </w:r>
      <w:r w:rsidR="00F86F56" w:rsidRPr="002858A9">
        <w:rPr>
          <w:rFonts w:ascii="Bookman Old Style" w:hAnsi="Bookman Old Style" w:cs="Arial"/>
          <w:color w:val="000000" w:themeColor="text1"/>
        </w:rPr>
        <w:t xml:space="preserve"> </w:t>
      </w:r>
      <w:r w:rsidR="00F86F56" w:rsidRPr="002858A9">
        <w:rPr>
          <w:rFonts w:ascii="Bookman Old Style" w:hAnsi="Bookman Old Style" w:cs="Arial"/>
          <w:b/>
          <w:bCs/>
          <w:color w:val="000000" w:themeColor="text1"/>
        </w:rPr>
        <w:t>primera</w:t>
      </w:r>
      <w:r w:rsidRPr="002858A9">
        <w:rPr>
          <w:rFonts w:ascii="Bookman Old Style" w:hAnsi="Bookman Old Style" w:cs="Arial"/>
          <w:color w:val="000000" w:themeColor="text1"/>
        </w:rPr>
        <w:t xml:space="preserve"> subasta</w:t>
      </w:r>
      <w:r w:rsidR="00F86F56" w:rsidRPr="002858A9">
        <w:rPr>
          <w:rFonts w:ascii="Bookman Old Style" w:hAnsi="Bookman Old Style" w:cs="Arial"/>
          <w:color w:val="000000" w:themeColor="text1"/>
        </w:rPr>
        <w:t xml:space="preserve"> </w:t>
      </w:r>
      <w:r w:rsidR="00F86F56" w:rsidRPr="002858A9">
        <w:rPr>
          <w:rFonts w:ascii="Bookman Old Style" w:hAnsi="Bookman Old Style"/>
          <w:b/>
          <w:bCs/>
          <w:color w:val="000000" w:themeColor="text1"/>
          <w:lang w:val="es-CO"/>
        </w:rPr>
        <w:t>para trimestre estándar deficitario</w:t>
      </w:r>
      <w:r w:rsidR="00102C02" w:rsidRPr="002858A9">
        <w:rPr>
          <w:rFonts w:ascii="Bookman Old Style" w:hAnsi="Bookman Old Style"/>
          <w:b/>
          <w:bCs/>
          <w:color w:val="000000" w:themeColor="text1"/>
          <w:lang w:val="es-CO"/>
        </w:rPr>
        <w:t>, o cada vez que se considere necesario</w:t>
      </w:r>
      <w:r w:rsidR="003768E3" w:rsidRPr="002858A9">
        <w:rPr>
          <w:rFonts w:ascii="Bookman Old Style" w:hAnsi="Bookman Old Style"/>
          <w:b/>
          <w:bCs/>
          <w:color w:val="000000" w:themeColor="text1"/>
          <w:lang w:val="es-CO"/>
        </w:rPr>
        <w:t xml:space="preserve"> realizar ajustes a los mismos</w:t>
      </w:r>
      <w:r w:rsidRPr="002858A9">
        <w:rPr>
          <w:rFonts w:ascii="Bookman Old Style" w:hAnsi="Bookman Old Style" w:cs="Arial"/>
          <w:color w:val="000000" w:themeColor="text1"/>
        </w:rPr>
        <w:t>. En especial deberá establecer la estructura computacional y de comunicaciones requerida para el acceso al sistema de subasta, así como los canales formales para su comunicación con el administrador y con el subastador.</w:t>
      </w:r>
    </w:p>
    <w:p w14:paraId="64EBA69E" w14:textId="77777777" w:rsidR="005C0F94" w:rsidRPr="002858A9" w:rsidRDefault="005C0F94" w:rsidP="005C0F94">
      <w:pPr>
        <w:autoSpaceDE w:val="0"/>
        <w:autoSpaceDN w:val="0"/>
        <w:adjustRightInd w:val="0"/>
        <w:ind w:left="1134" w:hanging="567"/>
        <w:jc w:val="both"/>
        <w:rPr>
          <w:rFonts w:ascii="Bookman Old Style" w:hAnsi="Bookman Old Style" w:cs="Arial"/>
          <w:color w:val="000000" w:themeColor="text1"/>
        </w:rPr>
      </w:pPr>
    </w:p>
    <w:p w14:paraId="3F63DF5A" w14:textId="0419A1B1" w:rsidR="005C0F94" w:rsidRPr="002858A9" w:rsidRDefault="00F92DBC" w:rsidP="005C0F94">
      <w:pPr>
        <w:autoSpaceDE w:val="0"/>
        <w:autoSpaceDN w:val="0"/>
        <w:adjustRightInd w:val="0"/>
        <w:ind w:left="1134"/>
        <w:jc w:val="both"/>
        <w:rPr>
          <w:rFonts w:ascii="Bookman Old Style" w:hAnsi="Bookman Old Style" w:cs="Arial"/>
          <w:color w:val="000000" w:themeColor="text1"/>
        </w:rPr>
      </w:pPr>
      <w:r w:rsidRPr="002858A9">
        <w:rPr>
          <w:rFonts w:ascii="Bookman Old Style" w:hAnsi="Bookman Old Style" w:cs="Arial"/>
          <w:color w:val="000000" w:themeColor="text1"/>
        </w:rPr>
        <w:t>El comité de expertos de la</w:t>
      </w:r>
      <w:r w:rsidR="005C0F94" w:rsidRPr="002858A9">
        <w:rPr>
          <w:rFonts w:ascii="Bookman Old Style" w:hAnsi="Bookman Old Style" w:cs="Arial"/>
          <w:color w:val="000000" w:themeColor="text1"/>
        </w:rPr>
        <w:t xml:space="preserve"> CREG dará su concepto de no objeción</w:t>
      </w:r>
      <w:r w:rsidR="00D4753A" w:rsidRPr="002858A9">
        <w:rPr>
          <w:rFonts w:ascii="Bookman Old Style" w:hAnsi="Bookman Old Style" w:cs="Arial"/>
          <w:color w:val="000000" w:themeColor="text1"/>
        </w:rPr>
        <w:t xml:space="preserve"> mediante comunicación de su dirección ejecutiva</w:t>
      </w:r>
      <w:r w:rsidR="005C0F94" w:rsidRPr="002858A9">
        <w:rPr>
          <w:rFonts w:ascii="Bookman Old Style" w:hAnsi="Bookman Old Style" w:cs="Arial"/>
          <w:color w:val="000000" w:themeColor="text1"/>
        </w:rPr>
        <w:t xml:space="preserve">, de tal manera que a más tardar cuarenta (40) días calendario antes de la realización de la subasta sean públicos </w:t>
      </w:r>
      <w:r w:rsidR="00C15425" w:rsidRPr="002858A9">
        <w:rPr>
          <w:rFonts w:ascii="Bookman Old Style" w:hAnsi="Bookman Old Style" w:cs="Arial"/>
          <w:b/>
          <w:bCs/>
          <w:color w:val="000000" w:themeColor="text1"/>
        </w:rPr>
        <w:t>dichos</w:t>
      </w:r>
      <w:r w:rsidR="005C0F94" w:rsidRPr="002858A9">
        <w:rPr>
          <w:rFonts w:ascii="Bookman Old Style" w:hAnsi="Bookman Old Style" w:cs="Arial"/>
          <w:b/>
          <w:bCs/>
          <w:color w:val="000000" w:themeColor="text1"/>
        </w:rPr>
        <w:t xml:space="preserve"> reglamentos</w:t>
      </w:r>
      <w:r w:rsidR="00C15425" w:rsidRPr="002858A9">
        <w:rPr>
          <w:rFonts w:ascii="Bookman Old Style" w:hAnsi="Bookman Old Style" w:cs="Arial"/>
          <w:b/>
          <w:bCs/>
          <w:color w:val="000000" w:themeColor="text1"/>
        </w:rPr>
        <w:t>.</w:t>
      </w:r>
    </w:p>
    <w:p w14:paraId="757C655F"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4049DA02" w14:textId="48CF2F9E" w:rsidR="005C0F94" w:rsidRPr="00483BFD"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Ofrecer e impartir la capacitación y asistencia necesaria en el manejo y operación del sistema de subasta a los vendedores y compradores a los que se hace referencia en los </w:t>
      </w:r>
      <w:r w:rsidR="00432998">
        <w:rPr>
          <w:rFonts w:ascii="Bookman Old Style" w:hAnsi="Bookman Old Style" w:cs="Arial"/>
          <w:color w:val="000000" w:themeColor="text1"/>
        </w:rPr>
        <w:t>a</w:t>
      </w:r>
      <w:r w:rsidRPr="002858A9">
        <w:rPr>
          <w:rFonts w:ascii="Bookman Old Style" w:hAnsi="Bookman Old Style" w:cs="Arial"/>
          <w:color w:val="000000" w:themeColor="text1"/>
        </w:rPr>
        <w:t xml:space="preserve">rtículos </w:t>
      </w:r>
      <w:r w:rsidR="00F86F56" w:rsidRPr="002858A9">
        <w:rPr>
          <w:rFonts w:ascii="Bookman Old Style" w:hAnsi="Bookman Old Style"/>
          <w:b/>
          <w:bCs/>
          <w:color w:val="000000" w:themeColor="text1"/>
        </w:rPr>
        <w:t>16 y 17</w:t>
      </w:r>
      <w:r w:rsidRPr="002858A9">
        <w:rPr>
          <w:rFonts w:ascii="Bookman Old Style" w:hAnsi="Bookman Old Style"/>
          <w:color w:val="000000" w:themeColor="text1"/>
        </w:rPr>
        <w:t xml:space="preserve"> </w:t>
      </w:r>
      <w:r w:rsidRPr="002858A9">
        <w:rPr>
          <w:rFonts w:ascii="Bookman Old Style" w:hAnsi="Bookman Old Style" w:cs="Arial"/>
          <w:color w:val="000000" w:themeColor="text1"/>
        </w:rPr>
        <w:t>de esta Resolución</w:t>
      </w:r>
      <w:r w:rsidRPr="00483BFD">
        <w:rPr>
          <w:rFonts w:ascii="Bookman Old Style" w:hAnsi="Bookman Old Style" w:cs="Arial"/>
          <w:color w:val="000000" w:themeColor="text1"/>
        </w:rPr>
        <w:t>.</w:t>
      </w:r>
    </w:p>
    <w:p w14:paraId="6C3D592A"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08928351" w14:textId="77777777" w:rsidR="005C0F94" w:rsidRPr="00483BFD"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Emitir los certificados de capacitación a las personas que la reciban y que demuestren un adecuado manejo y operación del sistema de subasta.</w:t>
      </w:r>
    </w:p>
    <w:p w14:paraId="77C472FE"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467C7FCC" w14:textId="402646E1"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Contratar el auditor </w:t>
      </w:r>
      <w:r w:rsidRPr="002858A9">
        <w:rPr>
          <w:rFonts w:ascii="Bookman Old Style" w:hAnsi="Bookman Old Style" w:cs="Arial"/>
          <w:color w:val="000000" w:themeColor="text1"/>
        </w:rPr>
        <w:t xml:space="preserve">de la subasta, proceso que debe estar finalizado por lo menos treinta (30) días calendario antes de la fecha programada para la realización de la </w:t>
      </w:r>
      <w:r w:rsidR="00F86F56" w:rsidRPr="002858A9">
        <w:rPr>
          <w:rFonts w:ascii="Bookman Old Style" w:hAnsi="Bookman Old Style" w:cs="Arial"/>
          <w:b/>
          <w:bCs/>
          <w:color w:val="000000" w:themeColor="text1"/>
        </w:rPr>
        <w:t>primera</w:t>
      </w:r>
      <w:r w:rsidR="00F86F56" w:rsidRPr="002858A9">
        <w:rPr>
          <w:rFonts w:ascii="Bookman Old Style" w:hAnsi="Bookman Old Style" w:cs="Arial"/>
          <w:color w:val="000000" w:themeColor="text1"/>
        </w:rPr>
        <w:t xml:space="preserve"> </w:t>
      </w:r>
      <w:r w:rsidRPr="002858A9">
        <w:rPr>
          <w:rFonts w:ascii="Bookman Old Style" w:hAnsi="Bookman Old Style" w:cs="Arial"/>
          <w:color w:val="000000" w:themeColor="text1"/>
        </w:rPr>
        <w:t>subasta</w:t>
      </w:r>
      <w:r w:rsidR="00F86F56" w:rsidRPr="002858A9">
        <w:rPr>
          <w:rFonts w:ascii="Bookman Old Style" w:hAnsi="Bookman Old Style" w:cs="Arial"/>
          <w:color w:val="000000" w:themeColor="text1"/>
        </w:rPr>
        <w:t xml:space="preserve"> </w:t>
      </w:r>
      <w:r w:rsidR="00F86F56" w:rsidRPr="002858A9">
        <w:rPr>
          <w:rFonts w:ascii="Bookman Old Style" w:hAnsi="Bookman Old Style"/>
          <w:b/>
          <w:color w:val="000000" w:themeColor="text1"/>
          <w:lang w:val="es-CO"/>
        </w:rPr>
        <w:t>para trimestre estándar deficitario</w:t>
      </w:r>
      <w:r w:rsidRPr="002858A9">
        <w:rPr>
          <w:rFonts w:ascii="Bookman Old Style" w:hAnsi="Bookman Old Style" w:cs="Arial"/>
          <w:color w:val="000000" w:themeColor="text1"/>
        </w:rPr>
        <w:t>.</w:t>
      </w:r>
    </w:p>
    <w:p w14:paraId="313F82F6" w14:textId="77777777" w:rsidR="005C0F94" w:rsidRPr="002858A9" w:rsidRDefault="005C0F94" w:rsidP="005C0F94">
      <w:pPr>
        <w:autoSpaceDE w:val="0"/>
        <w:autoSpaceDN w:val="0"/>
        <w:adjustRightInd w:val="0"/>
        <w:ind w:left="1134" w:hanging="567"/>
        <w:jc w:val="both"/>
        <w:rPr>
          <w:rFonts w:ascii="Bookman Old Style" w:hAnsi="Bookman Old Style" w:cs="Arial"/>
          <w:color w:val="000000" w:themeColor="text1"/>
        </w:rPr>
      </w:pPr>
    </w:p>
    <w:p w14:paraId="6B10497D" w14:textId="77777777" w:rsidR="00F86F56" w:rsidRPr="002858A9" w:rsidRDefault="005C0F94" w:rsidP="00F86F56">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Si el administrador de la subasta no desempeña el papel de subastador, deberá contratarlo, proceso que deberá estar finalizado por lo menos treinta (30) días calendario antes de la fecha programada para la realización de la </w:t>
      </w:r>
      <w:r w:rsidR="00F86F56" w:rsidRPr="002858A9">
        <w:rPr>
          <w:rFonts w:ascii="Bookman Old Style" w:hAnsi="Bookman Old Style" w:cs="Arial"/>
          <w:b/>
          <w:bCs/>
          <w:color w:val="000000" w:themeColor="text1"/>
        </w:rPr>
        <w:t>primera</w:t>
      </w:r>
      <w:r w:rsidR="00F86F56" w:rsidRPr="002858A9">
        <w:rPr>
          <w:rFonts w:ascii="Bookman Old Style" w:hAnsi="Bookman Old Style" w:cs="Arial"/>
          <w:color w:val="000000" w:themeColor="text1"/>
        </w:rPr>
        <w:t xml:space="preserve"> subasta </w:t>
      </w:r>
      <w:r w:rsidR="00F86F56" w:rsidRPr="002858A9">
        <w:rPr>
          <w:rFonts w:ascii="Bookman Old Style" w:hAnsi="Bookman Old Style"/>
          <w:b/>
          <w:color w:val="000000" w:themeColor="text1"/>
          <w:lang w:val="es-CO"/>
        </w:rPr>
        <w:t>para trimestre estándar deficitario</w:t>
      </w:r>
      <w:r w:rsidR="00F86F56" w:rsidRPr="002858A9">
        <w:rPr>
          <w:rFonts w:ascii="Bookman Old Style" w:hAnsi="Bookman Old Style" w:cs="Arial"/>
          <w:color w:val="000000" w:themeColor="text1"/>
        </w:rPr>
        <w:t>.</w:t>
      </w:r>
    </w:p>
    <w:p w14:paraId="67900229"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1AAFBDFB" w14:textId="3CA15A50" w:rsidR="005C0F94" w:rsidRPr="002858A9" w:rsidRDefault="005C0F94" w:rsidP="00F86F56">
      <w:pPr>
        <w:numPr>
          <w:ilvl w:val="0"/>
          <w:numId w:val="151"/>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Definir e informar, por lo menos veinte (20) días calendario antes de la fecha programada para la realización de la </w:t>
      </w:r>
      <w:r w:rsidR="00F86F56" w:rsidRPr="002858A9">
        <w:rPr>
          <w:rFonts w:ascii="Bookman Old Style" w:hAnsi="Bookman Old Style" w:cs="Arial"/>
          <w:b/>
          <w:bCs/>
          <w:color w:val="000000" w:themeColor="text1"/>
        </w:rPr>
        <w:t>primera</w:t>
      </w:r>
      <w:r w:rsidR="00F86F56" w:rsidRPr="002858A9">
        <w:rPr>
          <w:rFonts w:ascii="Bookman Old Style" w:hAnsi="Bookman Old Style" w:cs="Arial"/>
          <w:color w:val="000000" w:themeColor="text1"/>
        </w:rPr>
        <w:t xml:space="preserve"> subasta </w:t>
      </w:r>
      <w:r w:rsidR="00F86F56" w:rsidRPr="002858A9">
        <w:rPr>
          <w:rFonts w:ascii="Bookman Old Style" w:hAnsi="Bookman Old Style" w:cs="Arial"/>
          <w:b/>
          <w:bCs/>
          <w:color w:val="000000" w:themeColor="text1"/>
        </w:rPr>
        <w:t xml:space="preserve">de cada año de gas </w:t>
      </w:r>
      <w:r w:rsidR="00F86F56" w:rsidRPr="002858A9">
        <w:rPr>
          <w:rFonts w:ascii="Bookman Old Style" w:hAnsi="Bookman Old Style"/>
          <w:b/>
          <w:bCs/>
          <w:color w:val="000000" w:themeColor="text1"/>
          <w:lang w:val="es-CO"/>
        </w:rPr>
        <w:t>p</w:t>
      </w:r>
      <w:r w:rsidR="00F86F56" w:rsidRPr="002858A9">
        <w:rPr>
          <w:rFonts w:ascii="Bookman Old Style" w:hAnsi="Bookman Old Style"/>
          <w:b/>
          <w:color w:val="000000" w:themeColor="text1"/>
          <w:lang w:val="es-CO"/>
        </w:rPr>
        <w:t>ara trimestre estándar deficitario</w:t>
      </w:r>
      <w:r w:rsidRPr="002858A9">
        <w:rPr>
          <w:rFonts w:ascii="Bookman Old Style" w:hAnsi="Bookman Old Style" w:cs="Arial"/>
          <w:color w:val="000000" w:themeColor="text1"/>
        </w:rPr>
        <w:t xml:space="preserve">, el instrumento fiduciario mediante el cual se administrarán los mecanismos de cubrimiento de participación, según lo indicado en </w:t>
      </w:r>
      <w:r w:rsidRPr="002858A9">
        <w:rPr>
          <w:rFonts w:ascii="Bookman Old Style" w:hAnsi="Bookman Old Style"/>
          <w:color w:val="000000" w:themeColor="text1"/>
        </w:rPr>
        <w:t>el numeral</w:t>
      </w:r>
      <w:r w:rsidRPr="002858A9">
        <w:rPr>
          <w:rFonts w:ascii="Bookman Old Style" w:hAnsi="Bookman Old Style" w:cs="Arial"/>
          <w:color w:val="000000" w:themeColor="text1"/>
        </w:rPr>
        <w:t xml:space="preserve"> </w:t>
      </w:r>
      <w:r w:rsidRPr="002858A9">
        <w:rPr>
          <w:rFonts w:ascii="Bookman Old Style" w:hAnsi="Bookman Old Style" w:cs="Arial"/>
          <w:color w:val="000000" w:themeColor="text1"/>
        </w:rPr>
        <w:fldChar w:fldCharType="begin"/>
      </w:r>
      <w:r w:rsidRPr="002858A9">
        <w:rPr>
          <w:rFonts w:ascii="Bookman Old Style" w:hAnsi="Bookman Old Style" w:cs="Arial"/>
          <w:color w:val="000000" w:themeColor="text1"/>
        </w:rPr>
        <w:instrText xml:space="preserve"> REF _Ref337203593 \r \h  \* MERGEFORMAT </w:instrText>
      </w:r>
      <w:r w:rsidRPr="002858A9">
        <w:rPr>
          <w:rFonts w:ascii="Bookman Old Style" w:hAnsi="Bookman Old Style" w:cs="Arial"/>
          <w:color w:val="000000" w:themeColor="text1"/>
        </w:rPr>
      </w:r>
      <w:r w:rsidRPr="002858A9">
        <w:rPr>
          <w:rFonts w:ascii="Bookman Old Style" w:hAnsi="Bookman Old Style" w:cs="Arial"/>
          <w:color w:val="000000" w:themeColor="text1"/>
        </w:rPr>
        <w:fldChar w:fldCharType="separate"/>
      </w:r>
      <w:r w:rsidR="00636B6A">
        <w:rPr>
          <w:rFonts w:ascii="Bookman Old Style" w:hAnsi="Bookman Old Style" w:cs="Arial"/>
          <w:color w:val="000000" w:themeColor="text1"/>
        </w:rPr>
        <w:t>5.13.1</w:t>
      </w:r>
      <w:r w:rsidRPr="002858A9">
        <w:rPr>
          <w:rFonts w:ascii="Bookman Old Style" w:hAnsi="Bookman Old Style" w:cs="Arial"/>
          <w:color w:val="000000" w:themeColor="text1"/>
        </w:rPr>
        <w:fldChar w:fldCharType="end"/>
      </w:r>
      <w:r w:rsidRPr="002858A9">
        <w:rPr>
          <w:rFonts w:ascii="Bookman Old Style" w:hAnsi="Bookman Old Style" w:cs="Arial"/>
          <w:color w:val="000000" w:themeColor="text1"/>
        </w:rPr>
        <w:t xml:space="preserve"> de este Anexo.</w:t>
      </w:r>
    </w:p>
    <w:p w14:paraId="63180CEA" w14:textId="77777777" w:rsidR="005C0F94" w:rsidRPr="002858A9" w:rsidRDefault="005C0F94" w:rsidP="005C0F94">
      <w:pPr>
        <w:autoSpaceDE w:val="0"/>
        <w:autoSpaceDN w:val="0"/>
        <w:adjustRightInd w:val="0"/>
        <w:ind w:left="1134" w:hanging="567"/>
        <w:jc w:val="both"/>
        <w:rPr>
          <w:rFonts w:ascii="Bookman Old Style" w:hAnsi="Bookman Old Style" w:cs="Arial"/>
          <w:color w:val="000000" w:themeColor="text1"/>
        </w:rPr>
      </w:pPr>
    </w:p>
    <w:p w14:paraId="2CB458D5" w14:textId="16AEF71C"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bookmarkStart w:id="176" w:name="_Ref363553082"/>
      <w:r w:rsidRPr="002858A9">
        <w:rPr>
          <w:rFonts w:ascii="Bookman Old Style" w:hAnsi="Bookman Old Style" w:cs="Arial"/>
          <w:color w:val="000000" w:themeColor="text1"/>
        </w:rPr>
        <w:lastRenderedPageBreak/>
        <w:t xml:space="preserve">Realizar a más tardar quince (15) días calendario antes de la fecha programada para la realización de la </w:t>
      </w:r>
      <w:r w:rsidR="00F86F56" w:rsidRPr="002858A9">
        <w:rPr>
          <w:rFonts w:ascii="Bookman Old Style" w:hAnsi="Bookman Old Style" w:cs="Arial"/>
          <w:b/>
          <w:bCs/>
          <w:color w:val="000000" w:themeColor="text1"/>
        </w:rPr>
        <w:t>primera</w:t>
      </w:r>
      <w:r w:rsidR="00F86F56" w:rsidRPr="002858A9">
        <w:rPr>
          <w:rFonts w:ascii="Bookman Old Style" w:hAnsi="Bookman Old Style" w:cs="Arial"/>
          <w:color w:val="000000" w:themeColor="text1"/>
        </w:rPr>
        <w:t xml:space="preserve"> subasta </w:t>
      </w:r>
      <w:r w:rsidR="00F86F56" w:rsidRPr="002858A9">
        <w:rPr>
          <w:rFonts w:ascii="Bookman Old Style" w:hAnsi="Bookman Old Style"/>
          <w:b/>
          <w:bCs/>
          <w:color w:val="000000" w:themeColor="text1"/>
          <w:lang w:val="es-CO"/>
        </w:rPr>
        <w:t>para trimestre estándar deficitario</w:t>
      </w:r>
      <w:r w:rsidR="00417743" w:rsidRPr="002858A9">
        <w:rPr>
          <w:rFonts w:ascii="Bookman Old Style" w:hAnsi="Bookman Old Style"/>
          <w:b/>
          <w:bCs/>
          <w:color w:val="000000" w:themeColor="text1"/>
          <w:lang w:val="es-CO"/>
        </w:rPr>
        <w:t xml:space="preserve"> en que participe un comprador</w:t>
      </w:r>
      <w:r w:rsidRPr="002858A9">
        <w:rPr>
          <w:rFonts w:ascii="Bookman Old Style" w:hAnsi="Bookman Old Style" w:cs="Arial"/>
          <w:color w:val="000000" w:themeColor="text1"/>
        </w:rPr>
        <w:t>, a través de una empresa especializada, una auditoría de los sistemas computacionales y de comunicación requeridos por cada uno de los compradores, y de sus correspondientes sistemas de respaldo, para verificar su adecuado funcionamiento. Los resultados de esta auditoría deberán ser remitidos al administrador de la subasta y al auditor de la subasta antes de la fecha programada para la realización de la subasta. Los compradores sólo podrán acceder al sistema de subasta desde equipos localizados en el territorio nacional.</w:t>
      </w:r>
      <w:bookmarkEnd w:id="176"/>
    </w:p>
    <w:p w14:paraId="1DC0A578" w14:textId="77777777" w:rsidR="005C0F94" w:rsidRPr="002858A9" w:rsidRDefault="005C0F94" w:rsidP="005C0F94">
      <w:pPr>
        <w:autoSpaceDE w:val="0"/>
        <w:autoSpaceDN w:val="0"/>
        <w:adjustRightInd w:val="0"/>
        <w:ind w:left="1134" w:hanging="567"/>
        <w:jc w:val="both"/>
        <w:rPr>
          <w:rFonts w:ascii="Bookman Old Style" w:hAnsi="Bookman Old Style" w:cs="Arial"/>
          <w:color w:val="000000" w:themeColor="text1"/>
        </w:rPr>
      </w:pPr>
    </w:p>
    <w:p w14:paraId="0298A804" w14:textId="7A44228B"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bookmarkStart w:id="177" w:name="_Ref363553255"/>
      <w:r w:rsidRPr="002858A9">
        <w:rPr>
          <w:rFonts w:ascii="Bookman Old Style" w:hAnsi="Bookman Old Style" w:cs="Arial"/>
          <w:color w:val="000000" w:themeColor="text1"/>
        </w:rPr>
        <w:t xml:space="preserve">Elaborar un documento en el que se señale el nombre de los vendedores y de los compradores habilitados para participar en la subasta, según lo establecido en los numerales </w:t>
      </w:r>
      <w:r w:rsidRPr="002858A9">
        <w:rPr>
          <w:rFonts w:ascii="Bookman Old Style" w:hAnsi="Bookman Old Style" w:cs="Arial"/>
          <w:color w:val="000000" w:themeColor="text1"/>
        </w:rPr>
        <w:fldChar w:fldCharType="begin"/>
      </w:r>
      <w:r w:rsidRPr="002858A9">
        <w:rPr>
          <w:rFonts w:ascii="Bookman Old Style" w:hAnsi="Bookman Old Style" w:cs="Arial"/>
          <w:color w:val="000000" w:themeColor="text1"/>
        </w:rPr>
        <w:instrText xml:space="preserve"> REF _Ref336432085 \r \h  \* MERGEFORMAT </w:instrText>
      </w:r>
      <w:r w:rsidRPr="002858A9">
        <w:rPr>
          <w:rFonts w:ascii="Bookman Old Style" w:hAnsi="Bookman Old Style" w:cs="Arial"/>
          <w:color w:val="000000" w:themeColor="text1"/>
        </w:rPr>
      </w:r>
      <w:r w:rsidRPr="002858A9">
        <w:rPr>
          <w:rFonts w:ascii="Bookman Old Style" w:hAnsi="Bookman Old Style" w:cs="Arial"/>
          <w:color w:val="000000" w:themeColor="text1"/>
        </w:rPr>
        <w:fldChar w:fldCharType="separate"/>
      </w:r>
      <w:r w:rsidR="00636B6A">
        <w:rPr>
          <w:rFonts w:ascii="Bookman Old Style" w:hAnsi="Bookman Old Style" w:cs="Arial"/>
          <w:color w:val="000000" w:themeColor="text1"/>
        </w:rPr>
        <w:t>5.4</w:t>
      </w:r>
      <w:r w:rsidRPr="002858A9">
        <w:rPr>
          <w:rFonts w:ascii="Bookman Old Style" w:hAnsi="Bookman Old Style" w:cs="Arial"/>
          <w:color w:val="000000" w:themeColor="text1"/>
        </w:rPr>
        <w:fldChar w:fldCharType="end"/>
      </w:r>
      <w:r w:rsidRPr="002858A9">
        <w:rPr>
          <w:rFonts w:ascii="Bookman Old Style" w:hAnsi="Bookman Old Style" w:cs="Arial"/>
          <w:color w:val="000000" w:themeColor="text1"/>
        </w:rPr>
        <w:t xml:space="preserve"> y </w:t>
      </w:r>
      <w:r w:rsidRPr="002858A9">
        <w:rPr>
          <w:rFonts w:ascii="Bookman Old Style" w:hAnsi="Bookman Old Style" w:cs="Arial"/>
          <w:color w:val="000000" w:themeColor="text1"/>
        </w:rPr>
        <w:fldChar w:fldCharType="begin"/>
      </w:r>
      <w:r w:rsidRPr="002858A9">
        <w:rPr>
          <w:rFonts w:ascii="Bookman Old Style" w:hAnsi="Bookman Old Style" w:cs="Arial"/>
          <w:color w:val="000000" w:themeColor="text1"/>
        </w:rPr>
        <w:instrText xml:space="preserve"> REF _Ref336367227 \r \h  \* MERGEFORMAT </w:instrText>
      </w:r>
      <w:r w:rsidRPr="002858A9">
        <w:rPr>
          <w:rFonts w:ascii="Bookman Old Style" w:hAnsi="Bookman Old Style" w:cs="Arial"/>
          <w:color w:val="000000" w:themeColor="text1"/>
        </w:rPr>
      </w:r>
      <w:r w:rsidRPr="002858A9">
        <w:rPr>
          <w:rFonts w:ascii="Bookman Old Style" w:hAnsi="Bookman Old Style" w:cs="Arial"/>
          <w:color w:val="000000" w:themeColor="text1"/>
        </w:rPr>
        <w:fldChar w:fldCharType="separate"/>
      </w:r>
      <w:r w:rsidR="00636B6A">
        <w:rPr>
          <w:rFonts w:ascii="Bookman Old Style" w:hAnsi="Bookman Old Style" w:cs="Arial"/>
          <w:color w:val="000000" w:themeColor="text1"/>
        </w:rPr>
        <w:t>5.5</w:t>
      </w:r>
      <w:r w:rsidRPr="002858A9">
        <w:rPr>
          <w:rFonts w:ascii="Bookman Old Style" w:hAnsi="Bookman Old Style" w:cs="Arial"/>
          <w:color w:val="000000" w:themeColor="text1"/>
        </w:rPr>
        <w:fldChar w:fldCharType="end"/>
      </w:r>
      <w:r w:rsidRPr="002858A9">
        <w:rPr>
          <w:rFonts w:ascii="Bookman Old Style" w:hAnsi="Bookman Old Style" w:cs="Arial"/>
          <w:color w:val="000000" w:themeColor="text1"/>
        </w:rPr>
        <w:t xml:space="preserve"> de este Anexo. Este documento será confidencial y sólo lo conocerán el subastador y las autoridades competentes</w:t>
      </w:r>
      <w:r w:rsidR="003768E3" w:rsidRPr="002858A9">
        <w:rPr>
          <w:rFonts w:ascii="Bookman Old Style" w:hAnsi="Bookman Old Style" w:cs="Arial"/>
          <w:color w:val="000000" w:themeColor="text1"/>
        </w:rPr>
        <w:t xml:space="preserve"> </w:t>
      </w:r>
      <w:r w:rsidR="003768E3" w:rsidRPr="002858A9">
        <w:rPr>
          <w:rFonts w:ascii="Bookman Old Style" w:hAnsi="Bookman Old Style" w:cs="Arial"/>
          <w:b/>
          <w:bCs/>
          <w:color w:val="000000" w:themeColor="text1"/>
        </w:rPr>
        <w:t>que lo requieran</w:t>
      </w:r>
      <w:r w:rsidRPr="002858A9">
        <w:rPr>
          <w:rFonts w:ascii="Bookman Old Style" w:hAnsi="Bookman Old Style" w:cs="Arial"/>
          <w:color w:val="000000" w:themeColor="text1"/>
        </w:rPr>
        <w:t>.</w:t>
      </w:r>
      <w:bookmarkEnd w:id="177"/>
    </w:p>
    <w:p w14:paraId="35725681" w14:textId="77777777" w:rsidR="005C0F94" w:rsidRPr="00483BFD" w:rsidRDefault="005C0F94" w:rsidP="005C0F94">
      <w:pPr>
        <w:pStyle w:val="Prrafodelista"/>
        <w:ind w:left="1134" w:hanging="567"/>
        <w:rPr>
          <w:rFonts w:ascii="Bookman Old Style" w:hAnsi="Bookman Old Style" w:cs="Arial"/>
          <w:color w:val="000000" w:themeColor="text1"/>
          <w:sz w:val="24"/>
          <w:szCs w:val="24"/>
        </w:rPr>
      </w:pPr>
    </w:p>
    <w:p w14:paraId="7E6D5D6A" w14:textId="5DB34519" w:rsidR="005C0F94" w:rsidRPr="00483BFD"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Entregar al representante legal de cada uno de los compradores habilitados para participar en la subasta, según lo establecido en </w:t>
      </w:r>
      <w:r w:rsidRPr="00483BFD">
        <w:rPr>
          <w:rFonts w:ascii="Bookman Old Style" w:hAnsi="Bookman Old Style"/>
          <w:color w:val="000000" w:themeColor="text1"/>
        </w:rPr>
        <w:t>el numeral</w:t>
      </w:r>
      <w:r w:rsidRPr="00483BFD">
        <w:rPr>
          <w:rFonts w:ascii="Bookman Old Style" w:hAnsi="Bookman Old Style" w:cs="Arial"/>
          <w:color w:val="000000" w:themeColor="text1"/>
        </w:rPr>
        <w:t xml:space="preserve">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_Ref336367227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5.5</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Anexo, una clave de acceso al sistema de subasta. El comprador habilitado será el único responsable por el uso que sus operadores, funcionarios o cualquier persona hagan de la clave de acceso y deberá velar porque la misma se mantenga y use bajo estricta reserva y seguridad. El administrador de la subasta podrá establecer el uso de firma digital que sustituya las claves de que trata el presente literal.</w:t>
      </w:r>
    </w:p>
    <w:p w14:paraId="44A5B873"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24A1E0E1" w14:textId="77777777" w:rsidR="005C0F94" w:rsidRPr="00483BFD"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Suspender la subasta cuando sea requerido por el auditor de la subasta o el subastador de conformidad con las disposiciones contenidas en el presente Anexo.</w:t>
      </w:r>
    </w:p>
    <w:p w14:paraId="713CEE0E"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49857284" w14:textId="77777777" w:rsidR="005C0F94" w:rsidRPr="00483BFD"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Emitir los certificados en los que se informe a los vendedores habilitados y a los compradores habilitados el resultado de la subasta.</w:t>
      </w:r>
    </w:p>
    <w:p w14:paraId="1F870D4B"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1B15B9D6" w14:textId="77777777" w:rsidR="005C0F94" w:rsidRPr="002858A9" w:rsidRDefault="005C0F94" w:rsidP="005C0F94">
      <w:pPr>
        <w:numPr>
          <w:ilvl w:val="0"/>
          <w:numId w:val="151"/>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Conservar registros históricos, en medios electrónicos, de la totalidad de las operaciones realizadas durante el desarrollo de la subasta, de conformidad con las disposiciones legales vigentes en materia de conservación de </w:t>
      </w:r>
      <w:r w:rsidRPr="002858A9">
        <w:rPr>
          <w:rFonts w:ascii="Bookman Old Style" w:hAnsi="Bookman Old Style" w:cs="Arial"/>
          <w:color w:val="000000" w:themeColor="text1"/>
        </w:rPr>
        <w:t>documentos.</w:t>
      </w:r>
    </w:p>
    <w:p w14:paraId="2B86F413" w14:textId="77777777" w:rsidR="005C0F94" w:rsidRPr="002858A9" w:rsidRDefault="005C0F94" w:rsidP="005C0F94">
      <w:pPr>
        <w:ind w:left="0"/>
        <w:rPr>
          <w:rFonts w:ascii="Bookman Old Style" w:hAnsi="Bookman Old Style"/>
          <w:color w:val="000000" w:themeColor="text1"/>
        </w:rPr>
      </w:pPr>
    </w:p>
    <w:p w14:paraId="734E529E" w14:textId="383F8379"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color w:val="000000" w:themeColor="text1"/>
        </w:rPr>
        <w:t xml:space="preserve">En desarrollo del servicio al que se hace referencia en el numeral </w:t>
      </w:r>
      <w:r w:rsidRPr="002858A9">
        <w:rPr>
          <w:rFonts w:ascii="Bookman Old Style" w:hAnsi="Bookman Old Style"/>
          <w:color w:val="000000" w:themeColor="text1"/>
        </w:rPr>
        <w:fldChar w:fldCharType="begin"/>
      </w:r>
      <w:r w:rsidRPr="002858A9">
        <w:rPr>
          <w:rFonts w:ascii="Bookman Old Style" w:hAnsi="Bookman Old Style"/>
          <w:color w:val="000000" w:themeColor="text1"/>
        </w:rPr>
        <w:instrText xml:space="preserve"> REF _Ref329103688 \r \h  \* MERGEFORMAT </w:instrText>
      </w:r>
      <w:r w:rsidRPr="002858A9">
        <w:rPr>
          <w:rFonts w:ascii="Bookman Old Style" w:hAnsi="Bookman Old Style"/>
          <w:color w:val="000000" w:themeColor="text1"/>
        </w:rPr>
      </w:r>
      <w:r w:rsidRPr="002858A9">
        <w:rPr>
          <w:rFonts w:ascii="Bookman Old Style" w:hAnsi="Bookman Old Style"/>
          <w:color w:val="000000" w:themeColor="text1"/>
        </w:rPr>
        <w:fldChar w:fldCharType="separate"/>
      </w:r>
      <w:r w:rsidR="00636B6A">
        <w:rPr>
          <w:rFonts w:ascii="Bookman Old Style" w:hAnsi="Bookman Old Style"/>
          <w:color w:val="000000" w:themeColor="text1"/>
        </w:rPr>
        <w:t>4.3</w:t>
      </w:r>
      <w:r w:rsidRPr="002858A9">
        <w:rPr>
          <w:rFonts w:ascii="Bookman Old Style" w:hAnsi="Bookman Old Style"/>
          <w:color w:val="000000" w:themeColor="text1"/>
        </w:rPr>
        <w:fldChar w:fldCharType="end"/>
      </w:r>
      <w:r w:rsidRPr="002858A9">
        <w:rPr>
          <w:rFonts w:ascii="Bookman Old Style" w:hAnsi="Bookman Old Style"/>
          <w:color w:val="000000" w:themeColor="text1"/>
        </w:rPr>
        <w:t xml:space="preserve"> del</w:t>
      </w:r>
      <w:r w:rsidR="00784F6E">
        <w:rPr>
          <w:rFonts w:ascii="Bookman Old Style" w:hAnsi="Bookman Old Style"/>
          <w:color w:val="000000" w:themeColor="text1"/>
        </w:rPr>
        <w:t xml:space="preserve"> artículo </w:t>
      </w:r>
      <w:r w:rsidR="00784F6E" w:rsidRPr="00996A90">
        <w:rPr>
          <w:rFonts w:ascii="Bookman Old Style" w:hAnsi="Bookman Old Style"/>
          <w:b/>
          <w:bCs/>
          <w:color w:val="000000" w:themeColor="text1"/>
        </w:rPr>
        <w:t>5</w:t>
      </w:r>
      <w:r w:rsidRPr="002858A9">
        <w:rPr>
          <w:rFonts w:ascii="Bookman Old Style" w:hAnsi="Bookman Old Style"/>
          <w:color w:val="000000" w:themeColor="text1"/>
        </w:rPr>
        <w:t xml:space="preserve"> de esta Resolución, el gestor del mercado será el administrador de la subasta. </w:t>
      </w:r>
    </w:p>
    <w:p w14:paraId="1EC46FD0" w14:textId="77777777" w:rsidR="005C0F94" w:rsidRPr="002858A9" w:rsidRDefault="005C0F94" w:rsidP="005C0F94">
      <w:pPr>
        <w:pStyle w:val="Prrafodelista"/>
        <w:ind w:left="0"/>
        <w:jc w:val="both"/>
        <w:rPr>
          <w:rFonts w:ascii="Bookman Old Style" w:hAnsi="Bookman Old Style"/>
          <w:b/>
          <w:color w:val="000000" w:themeColor="text1"/>
          <w:sz w:val="24"/>
          <w:szCs w:val="24"/>
        </w:rPr>
      </w:pPr>
    </w:p>
    <w:p w14:paraId="71022E24" w14:textId="77777777" w:rsidR="005C0F94" w:rsidRPr="002858A9" w:rsidRDefault="005C0F94" w:rsidP="005C0F94">
      <w:pPr>
        <w:pStyle w:val="Prrafodelista"/>
        <w:numPr>
          <w:ilvl w:val="1"/>
          <w:numId w:val="147"/>
        </w:numPr>
        <w:ind w:left="567" w:hanging="567"/>
        <w:rPr>
          <w:rFonts w:ascii="Bookman Old Style" w:hAnsi="Bookman Old Style"/>
          <w:color w:val="000000" w:themeColor="text1"/>
          <w:sz w:val="24"/>
          <w:szCs w:val="24"/>
        </w:rPr>
      </w:pPr>
      <w:bookmarkStart w:id="178" w:name="_Ref357778933"/>
      <w:r w:rsidRPr="002858A9">
        <w:rPr>
          <w:rFonts w:ascii="Bookman Old Style" w:hAnsi="Bookman Old Style"/>
          <w:color w:val="000000" w:themeColor="text1"/>
          <w:sz w:val="24"/>
          <w:szCs w:val="24"/>
        </w:rPr>
        <w:t>Responsabilidades y deberes del auditor de la subasta</w:t>
      </w:r>
      <w:bookmarkEnd w:id="178"/>
    </w:p>
    <w:p w14:paraId="7BB10207"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50A7B68F" w14:textId="77777777" w:rsidR="005C0F94" w:rsidRPr="002858A9"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Verificar la correcta aplicación de la regulación prevista para la subasta.</w:t>
      </w:r>
    </w:p>
    <w:p w14:paraId="4D137B11"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7F652353" w14:textId="77777777" w:rsidR="005C0F94" w:rsidRPr="00483BFD"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Verificar que las comunicaciones con el administrador de la subasta y el subastador se realicen única y exclusivamente mediante los canales </w:t>
      </w:r>
      <w:r w:rsidRPr="00483BFD">
        <w:rPr>
          <w:rFonts w:ascii="Bookman Old Style" w:hAnsi="Bookman Old Style" w:cs="Arial"/>
          <w:color w:val="000000" w:themeColor="text1"/>
        </w:rPr>
        <w:lastRenderedPageBreak/>
        <w:t>formales de comunicación establecidos por el administrador de la subasta.</w:t>
      </w:r>
    </w:p>
    <w:p w14:paraId="6609136C"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053B0236" w14:textId="77777777" w:rsidR="005C0F94" w:rsidRPr="00483BFD"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Verificar que durante la subasta se sigan expresamente los pasos y reglas establecidos en este Anexo.</w:t>
      </w:r>
    </w:p>
    <w:p w14:paraId="43D07B47"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30162C55" w14:textId="77777777" w:rsidR="005C0F94" w:rsidRPr="00483BFD"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Informar al administrador de la subasta las situaciones en las que considere que el mismo administrador o el subastador no están dando cumplimiento a las disposiciones contenidas en la regulación vigente, para que el administrador de la subasta tome los correctivos del caso de manera inmediata.</w:t>
      </w:r>
    </w:p>
    <w:p w14:paraId="5DAF950A"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33F58A82" w14:textId="77777777" w:rsidR="005C0F94" w:rsidRPr="00483BFD"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Informar a los órganos responsables de la inspección, vigilancia y control las situaciones en las que considere que los </w:t>
      </w:r>
      <w:proofErr w:type="gramStart"/>
      <w:r w:rsidRPr="00483BFD">
        <w:rPr>
          <w:rFonts w:ascii="Bookman Old Style" w:hAnsi="Bookman Old Style" w:cs="Arial"/>
          <w:color w:val="000000" w:themeColor="text1"/>
        </w:rPr>
        <w:t>vendedores habilitados y los compradores habilitados</w:t>
      </w:r>
      <w:proofErr w:type="gramEnd"/>
      <w:r w:rsidRPr="00483BFD">
        <w:rPr>
          <w:rFonts w:ascii="Bookman Old Style" w:hAnsi="Bookman Old Style" w:cs="Arial"/>
          <w:color w:val="000000" w:themeColor="text1"/>
        </w:rPr>
        <w:t xml:space="preserve"> no están dando cumplimiento a las disposiciones contenidas en la regulación.</w:t>
      </w:r>
    </w:p>
    <w:p w14:paraId="6DCF69F3"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49208F7B" w14:textId="77777777" w:rsidR="005C0F94" w:rsidRPr="00483BFD" w:rsidRDefault="005C0F94" w:rsidP="005C0F94">
      <w:pPr>
        <w:numPr>
          <w:ilvl w:val="0"/>
          <w:numId w:val="13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Solicitar al administrador la suspensión de la subasta cuando considere que no se está dando cumplimiento a las disposiciones contenidas en la regulación.</w:t>
      </w:r>
    </w:p>
    <w:p w14:paraId="012D336F"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3E1AE352" w14:textId="04DCBB97" w:rsidR="005C0F94" w:rsidRPr="002858A9" w:rsidRDefault="00102C02" w:rsidP="005C0F94">
      <w:pPr>
        <w:numPr>
          <w:ilvl w:val="0"/>
          <w:numId w:val="132"/>
        </w:numPr>
        <w:autoSpaceDE w:val="0"/>
        <w:autoSpaceDN w:val="0"/>
        <w:adjustRightInd w:val="0"/>
        <w:ind w:left="1134" w:hanging="567"/>
        <w:jc w:val="both"/>
        <w:rPr>
          <w:rFonts w:ascii="Bookman Old Style" w:hAnsi="Bookman Old Style" w:cs="Arial"/>
          <w:color w:val="000000" w:themeColor="text1"/>
        </w:rPr>
      </w:pPr>
      <w:bookmarkStart w:id="179" w:name="_Ref357778931"/>
      <w:r w:rsidRPr="6D6D9AB5">
        <w:rPr>
          <w:rFonts w:ascii="Bookman Old Style" w:hAnsi="Bookman Old Style" w:cs="Arial"/>
          <w:color w:val="000000" w:themeColor="text1"/>
        </w:rPr>
        <w:t>R</w:t>
      </w:r>
      <w:r w:rsidR="005C0F94" w:rsidRPr="6D6D9AB5">
        <w:rPr>
          <w:rFonts w:ascii="Bookman Old Style" w:hAnsi="Bookman Old Style" w:cs="Arial"/>
          <w:color w:val="000000" w:themeColor="text1"/>
        </w:rPr>
        <w:t xml:space="preserve">emitir a la CREG, </w:t>
      </w:r>
      <w:r w:rsidR="005C0F94" w:rsidRPr="002858A9">
        <w:rPr>
          <w:rFonts w:ascii="Bookman Old Style" w:hAnsi="Bookman Old Style" w:cs="Arial"/>
          <w:color w:val="000000" w:themeColor="text1"/>
        </w:rPr>
        <w:t>dentro de los</w:t>
      </w:r>
      <w:r w:rsidR="000416E8" w:rsidRPr="002858A9">
        <w:rPr>
          <w:rFonts w:ascii="Bookman Old Style" w:hAnsi="Bookman Old Style" w:cs="Arial"/>
          <w:color w:val="000000" w:themeColor="text1"/>
        </w:rPr>
        <w:t xml:space="preserve"> </w:t>
      </w:r>
      <w:r w:rsidR="000416E8" w:rsidRPr="002858A9">
        <w:rPr>
          <w:rFonts w:ascii="Bookman Old Style" w:hAnsi="Bookman Old Style" w:cs="Arial"/>
          <w:b/>
          <w:bCs/>
          <w:color w:val="000000" w:themeColor="text1"/>
        </w:rPr>
        <w:t>tres</w:t>
      </w:r>
      <w:r w:rsidR="005C0F94" w:rsidRPr="002858A9">
        <w:rPr>
          <w:rFonts w:ascii="Bookman Old Style" w:hAnsi="Bookman Old Style" w:cs="Arial"/>
          <w:b/>
          <w:bCs/>
          <w:color w:val="000000" w:themeColor="text1"/>
        </w:rPr>
        <w:t xml:space="preserve"> (</w:t>
      </w:r>
      <w:r w:rsidR="000416E8" w:rsidRPr="002858A9">
        <w:rPr>
          <w:rFonts w:ascii="Bookman Old Style" w:hAnsi="Bookman Old Style" w:cs="Arial"/>
          <w:b/>
          <w:bCs/>
          <w:color w:val="000000" w:themeColor="text1"/>
        </w:rPr>
        <w:t>3</w:t>
      </w:r>
      <w:r w:rsidR="005C0F94" w:rsidRPr="002858A9">
        <w:rPr>
          <w:rFonts w:ascii="Bookman Old Style" w:hAnsi="Bookman Old Style" w:cs="Arial"/>
          <w:b/>
          <w:bCs/>
          <w:color w:val="000000" w:themeColor="text1"/>
        </w:rPr>
        <w:t xml:space="preserve">) días </w:t>
      </w:r>
      <w:r w:rsidR="000416E8" w:rsidRPr="002858A9">
        <w:rPr>
          <w:rFonts w:ascii="Bookman Old Style" w:hAnsi="Bookman Old Style" w:cs="Arial"/>
          <w:b/>
          <w:bCs/>
          <w:color w:val="000000" w:themeColor="text1"/>
        </w:rPr>
        <w:t>hábiles</w:t>
      </w:r>
      <w:r w:rsidR="005C0F94" w:rsidRPr="002858A9">
        <w:rPr>
          <w:rFonts w:ascii="Bookman Old Style" w:hAnsi="Bookman Old Style" w:cs="Arial"/>
          <w:b/>
          <w:bCs/>
          <w:color w:val="000000" w:themeColor="text1"/>
        </w:rPr>
        <w:t xml:space="preserve"> </w:t>
      </w:r>
      <w:r w:rsidR="005C0F94" w:rsidRPr="002858A9">
        <w:rPr>
          <w:rFonts w:ascii="Bookman Old Style" w:hAnsi="Bookman Old Style" w:cs="Arial"/>
          <w:color w:val="000000" w:themeColor="text1"/>
        </w:rPr>
        <w:t xml:space="preserve">siguientes a la finalización de la subasta, un informe en el cual se establezca sin ambigüedades, </w:t>
      </w:r>
      <w:r w:rsidR="0006123B" w:rsidRPr="002858A9">
        <w:rPr>
          <w:rFonts w:ascii="Bookman Old Style" w:hAnsi="Bookman Old Style" w:cs="Arial"/>
          <w:color w:val="000000" w:themeColor="text1"/>
        </w:rPr>
        <w:t>si</w:t>
      </w:r>
      <w:r w:rsidR="009F7280" w:rsidRPr="002858A9">
        <w:rPr>
          <w:rFonts w:ascii="Bookman Old Style" w:hAnsi="Bookman Old Style" w:cs="Arial"/>
          <w:color w:val="000000" w:themeColor="text1"/>
        </w:rPr>
        <w:t xml:space="preserve"> </w:t>
      </w:r>
      <w:r w:rsidR="005C0F94" w:rsidRPr="002858A9">
        <w:rPr>
          <w:rFonts w:ascii="Bookman Old Style" w:hAnsi="Bookman Old Style" w:cs="Arial"/>
          <w:color w:val="000000" w:themeColor="text1"/>
        </w:rPr>
        <w:t>se dio</w:t>
      </w:r>
      <w:r w:rsidR="0006123B" w:rsidRPr="002858A9">
        <w:rPr>
          <w:rFonts w:ascii="Bookman Old Style" w:hAnsi="Bookman Old Style" w:cs="Arial"/>
          <w:color w:val="000000" w:themeColor="text1"/>
        </w:rPr>
        <w:t xml:space="preserve"> o no</w:t>
      </w:r>
      <w:r w:rsidR="005C0F94" w:rsidRPr="002858A9">
        <w:rPr>
          <w:rFonts w:ascii="Bookman Old Style" w:hAnsi="Bookman Old Style" w:cs="Arial"/>
          <w:color w:val="000000" w:themeColor="text1"/>
        </w:rPr>
        <w:t xml:space="preserve"> cumplimiento a la regulación aplicable a dicho proceso.</w:t>
      </w:r>
      <w:bookmarkEnd w:id="179"/>
      <w:r w:rsidR="005C0F94" w:rsidRPr="002858A9">
        <w:rPr>
          <w:rFonts w:ascii="Bookman Old Style" w:hAnsi="Bookman Old Style" w:cs="Arial"/>
          <w:color w:val="000000" w:themeColor="text1"/>
        </w:rPr>
        <w:t xml:space="preserve"> La Dirección Ejecutiva de la CREG publicará este informe mediante circular</w:t>
      </w:r>
      <w:r w:rsidR="000416E8" w:rsidRPr="002858A9">
        <w:rPr>
          <w:rFonts w:ascii="Bookman Old Style" w:hAnsi="Bookman Old Style" w:cs="Arial"/>
          <w:color w:val="000000" w:themeColor="text1"/>
        </w:rPr>
        <w:t xml:space="preserve"> </w:t>
      </w:r>
      <w:r w:rsidR="003768E3" w:rsidRPr="002858A9">
        <w:rPr>
          <w:rFonts w:ascii="Bookman Old Style" w:hAnsi="Bookman Old Style" w:cs="Arial"/>
          <w:b/>
          <w:bCs/>
          <w:color w:val="000000" w:themeColor="text1"/>
        </w:rPr>
        <w:t>dentro de los tres (3)</w:t>
      </w:r>
      <w:r w:rsidR="000416E8" w:rsidRPr="002858A9">
        <w:rPr>
          <w:rFonts w:ascii="Bookman Old Style" w:hAnsi="Bookman Old Style" w:cs="Arial"/>
          <w:b/>
          <w:bCs/>
          <w:color w:val="000000" w:themeColor="text1"/>
        </w:rPr>
        <w:t xml:space="preserve"> siguiente</w:t>
      </w:r>
      <w:r w:rsidR="003768E3" w:rsidRPr="002858A9">
        <w:rPr>
          <w:rFonts w:ascii="Bookman Old Style" w:hAnsi="Bookman Old Style" w:cs="Arial"/>
          <w:b/>
          <w:bCs/>
          <w:color w:val="000000" w:themeColor="text1"/>
        </w:rPr>
        <w:t>s</w:t>
      </w:r>
      <w:r w:rsidR="000416E8" w:rsidRPr="002858A9">
        <w:rPr>
          <w:rFonts w:ascii="Bookman Old Style" w:hAnsi="Bookman Old Style" w:cs="Arial"/>
          <w:b/>
          <w:bCs/>
          <w:color w:val="000000" w:themeColor="text1"/>
        </w:rPr>
        <w:t xml:space="preserve"> día</w:t>
      </w:r>
      <w:r w:rsidR="003768E3" w:rsidRPr="002858A9">
        <w:rPr>
          <w:rFonts w:ascii="Bookman Old Style" w:hAnsi="Bookman Old Style" w:cs="Arial"/>
          <w:b/>
          <w:bCs/>
          <w:color w:val="000000" w:themeColor="text1"/>
        </w:rPr>
        <w:t>s</w:t>
      </w:r>
      <w:r w:rsidR="000416E8" w:rsidRPr="002858A9">
        <w:rPr>
          <w:rFonts w:ascii="Bookman Old Style" w:hAnsi="Bookman Old Style" w:cs="Arial"/>
          <w:b/>
          <w:bCs/>
          <w:color w:val="000000" w:themeColor="text1"/>
        </w:rPr>
        <w:t xml:space="preserve"> hábil</w:t>
      </w:r>
      <w:r w:rsidR="003768E3" w:rsidRPr="002858A9">
        <w:rPr>
          <w:rFonts w:ascii="Bookman Old Style" w:hAnsi="Bookman Old Style" w:cs="Arial"/>
          <w:b/>
          <w:bCs/>
          <w:color w:val="000000" w:themeColor="text1"/>
        </w:rPr>
        <w:t>es</w:t>
      </w:r>
      <w:r w:rsidR="005C0F94" w:rsidRPr="002858A9">
        <w:rPr>
          <w:rFonts w:ascii="Bookman Old Style" w:hAnsi="Bookman Old Style" w:cs="Arial"/>
          <w:b/>
          <w:bCs/>
          <w:color w:val="000000" w:themeColor="text1"/>
        </w:rPr>
        <w:t>.</w:t>
      </w:r>
    </w:p>
    <w:p w14:paraId="288F8AE5" w14:textId="77777777" w:rsidR="005C0F94" w:rsidRPr="002858A9" w:rsidRDefault="005C0F94" w:rsidP="005C0F94">
      <w:pPr>
        <w:rPr>
          <w:rFonts w:ascii="Bookman Old Style" w:hAnsi="Bookman Old Style" w:cs="Arial"/>
          <w:color w:val="000000" w:themeColor="text1"/>
        </w:rPr>
      </w:pPr>
    </w:p>
    <w:p w14:paraId="25D04AC9" w14:textId="77777777" w:rsidR="005C0F94" w:rsidRPr="00483BFD" w:rsidRDefault="005C0F94" w:rsidP="005C0F94">
      <w:pPr>
        <w:ind w:left="0"/>
        <w:jc w:val="both"/>
        <w:rPr>
          <w:rFonts w:ascii="Bookman Old Style" w:hAnsi="Bookman Old Style" w:cs="Arial"/>
          <w:color w:val="000000" w:themeColor="text1"/>
        </w:rPr>
      </w:pPr>
      <w:r w:rsidRPr="002858A9">
        <w:rPr>
          <w:rFonts w:ascii="Bookman Old Style" w:hAnsi="Bookman Old Style" w:cs="Arial"/>
          <w:color w:val="000000" w:themeColor="text1"/>
        </w:rPr>
        <w:t>Para los casos en los cuales el auditor de la subasta establezca que en la subasta respectiva no se dio cumplimiento a la regulación</w:t>
      </w:r>
      <w:r w:rsidRPr="00483BFD">
        <w:rPr>
          <w:rFonts w:ascii="Bookman Old Style" w:hAnsi="Bookman Old Style" w:cs="Arial"/>
          <w:color w:val="000000" w:themeColor="text1"/>
        </w:rPr>
        <w:t>, el proceso adelantado no producirá efectos, y se programará la subasta de nuevo. Lo anterior sin perjuicio de las acciones penales y/o civiles y las actuaciones administrativas a que haya lugar contra las personas que hayan incumplido la regulación.</w:t>
      </w:r>
    </w:p>
    <w:p w14:paraId="42D1C175" w14:textId="77777777" w:rsidR="005C0F94" w:rsidRPr="00483BFD" w:rsidRDefault="005C0F94" w:rsidP="005C0F94">
      <w:pPr>
        <w:ind w:left="0"/>
        <w:rPr>
          <w:rFonts w:ascii="Bookman Old Style" w:hAnsi="Bookman Old Style"/>
          <w:color w:val="000000" w:themeColor="text1"/>
        </w:rPr>
      </w:pPr>
    </w:p>
    <w:p w14:paraId="03F78770" w14:textId="77777777" w:rsidR="005C0F94" w:rsidRPr="00483BFD" w:rsidRDefault="005C0F94" w:rsidP="005C0F94">
      <w:pPr>
        <w:pStyle w:val="Prrafodelista"/>
        <w:keepNext/>
        <w:numPr>
          <w:ilvl w:val="1"/>
          <w:numId w:val="147"/>
        </w:numPr>
        <w:ind w:left="567" w:hanging="567"/>
        <w:rPr>
          <w:rFonts w:ascii="Bookman Old Style" w:hAnsi="Bookman Old Style"/>
          <w:color w:val="000000" w:themeColor="text1"/>
          <w:sz w:val="24"/>
          <w:szCs w:val="24"/>
        </w:rPr>
      </w:pPr>
      <w:bookmarkStart w:id="180" w:name="_Ref330148753"/>
      <w:r w:rsidRPr="00483BFD">
        <w:rPr>
          <w:rFonts w:ascii="Bookman Old Style" w:hAnsi="Bookman Old Style"/>
          <w:color w:val="000000" w:themeColor="text1"/>
          <w:sz w:val="24"/>
          <w:szCs w:val="24"/>
        </w:rPr>
        <w:t>Responsabilidades y deberes del subastador</w:t>
      </w:r>
      <w:bookmarkEnd w:id="180"/>
    </w:p>
    <w:p w14:paraId="4A1396AC" w14:textId="77777777" w:rsidR="005C0F94" w:rsidRPr="00483BFD" w:rsidRDefault="005C0F94" w:rsidP="005C0F94">
      <w:pPr>
        <w:ind w:left="0"/>
        <w:jc w:val="both"/>
        <w:rPr>
          <w:rFonts w:ascii="Bookman Old Style" w:hAnsi="Bookman Old Style" w:cs="Arial"/>
          <w:color w:val="000000" w:themeColor="text1"/>
        </w:rPr>
      </w:pPr>
    </w:p>
    <w:p w14:paraId="6C882D28" w14:textId="034F3219" w:rsidR="005C0F94" w:rsidRPr="00483BFD" w:rsidRDefault="005C0F94" w:rsidP="005C0F94">
      <w:pPr>
        <w:numPr>
          <w:ilvl w:val="0"/>
          <w:numId w:val="13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Anunciar, al inicio de la ronda cero (0), el menor precio de reserva de cada producto y la oferta correspondiente a este precio, en los términos del </w:t>
      </w:r>
      <w:r w:rsidRPr="00483BFD">
        <w:rPr>
          <w:rFonts w:ascii="Bookman Old Style" w:hAnsi="Bookman Old Style"/>
          <w:color w:val="000000" w:themeColor="text1"/>
        </w:rPr>
        <w:t>numeral</w:t>
      </w:r>
      <w:r w:rsidRPr="00483BFD">
        <w:rPr>
          <w:rFonts w:ascii="Bookman Old Style" w:hAnsi="Bookman Old Style" w:cs="Arial"/>
          <w:color w:val="000000" w:themeColor="text1"/>
        </w:rPr>
        <w:t xml:space="preserve">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_Ref336418743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5.6</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Anexo.</w:t>
      </w:r>
    </w:p>
    <w:p w14:paraId="3F394E38"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147A8965" w14:textId="41257FDB" w:rsidR="005C0F94" w:rsidRPr="00483BFD" w:rsidRDefault="005C0F94" w:rsidP="005C0F94">
      <w:pPr>
        <w:numPr>
          <w:ilvl w:val="0"/>
          <w:numId w:val="13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Anunciar, al finalizar cada ronda: i) si hay exceso de demanda de cada producto; ii) el precio de cierre de cada producto en la siguiente ronda; iii) la oferta correspondiente al precio de cierre de cada producto en la siguiente ronda; y iv) el tiempo de duración de la siguiente ronda. Lo anterior en los términos del numeral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_Ref336367133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5.7</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Anexo.</w:t>
      </w:r>
    </w:p>
    <w:p w14:paraId="3BF5B35F"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5BEF0885" w14:textId="77777777" w:rsidR="005C0F94" w:rsidRPr="00483BFD" w:rsidRDefault="005C0F94" w:rsidP="005C0F94">
      <w:pPr>
        <w:numPr>
          <w:ilvl w:val="0"/>
          <w:numId w:val="13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Declarar el cierre de la subasta e informar el precio de adjudicación de </w:t>
      </w:r>
      <w:proofErr w:type="gramStart"/>
      <w:r w:rsidRPr="00483BFD">
        <w:rPr>
          <w:rFonts w:ascii="Bookman Old Style" w:hAnsi="Bookman Old Style" w:cs="Arial"/>
          <w:color w:val="000000" w:themeColor="text1"/>
        </w:rPr>
        <w:t>la misma</w:t>
      </w:r>
      <w:proofErr w:type="gramEnd"/>
      <w:r w:rsidRPr="00483BFD">
        <w:rPr>
          <w:rFonts w:ascii="Bookman Old Style" w:hAnsi="Bookman Old Style" w:cs="Arial"/>
          <w:color w:val="000000" w:themeColor="text1"/>
        </w:rPr>
        <w:t xml:space="preserve"> para cada uno de los productos.</w:t>
      </w:r>
    </w:p>
    <w:p w14:paraId="7C26BB51" w14:textId="77777777" w:rsidR="005C0F94" w:rsidRPr="00483BFD" w:rsidRDefault="005C0F94" w:rsidP="005C0F94">
      <w:pPr>
        <w:pStyle w:val="Prrafodelista"/>
        <w:ind w:left="357"/>
        <w:contextualSpacing/>
        <w:jc w:val="both"/>
        <w:rPr>
          <w:rFonts w:ascii="Bookman Old Style" w:hAnsi="Bookman Old Style" w:cs="Arial"/>
          <w:color w:val="000000" w:themeColor="text1"/>
          <w:sz w:val="24"/>
          <w:szCs w:val="24"/>
        </w:rPr>
      </w:pPr>
    </w:p>
    <w:p w14:paraId="74ED0CEE"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s="Arial"/>
          <w:color w:val="000000" w:themeColor="text1"/>
        </w:rPr>
        <w:lastRenderedPageBreak/>
        <w:t>Para cada uno de los productos, el subastador pondrá en conocimiento de los vendedores habilitados y de los compradores habilitados, única y exclusivamente la información señalada en este numeral.</w:t>
      </w:r>
    </w:p>
    <w:p w14:paraId="45160610" w14:textId="77777777" w:rsidR="005C0F94" w:rsidRPr="00483BFD" w:rsidRDefault="005C0F94" w:rsidP="005C0F94">
      <w:pPr>
        <w:ind w:left="0"/>
        <w:jc w:val="both"/>
        <w:rPr>
          <w:rFonts w:ascii="Bookman Old Style" w:hAnsi="Bookman Old Style"/>
          <w:color w:val="000000" w:themeColor="text1"/>
        </w:rPr>
      </w:pPr>
    </w:p>
    <w:p w14:paraId="78F37A89" w14:textId="77777777" w:rsidR="005C0F94" w:rsidRPr="00483BFD" w:rsidRDefault="005C0F94" w:rsidP="005C0F94">
      <w:pPr>
        <w:pStyle w:val="Prrafodelista"/>
        <w:numPr>
          <w:ilvl w:val="1"/>
          <w:numId w:val="147"/>
        </w:numPr>
        <w:ind w:left="567" w:hanging="567"/>
        <w:jc w:val="both"/>
        <w:rPr>
          <w:rFonts w:ascii="Bookman Old Style" w:hAnsi="Bookman Old Style"/>
          <w:color w:val="000000" w:themeColor="text1"/>
          <w:sz w:val="24"/>
          <w:szCs w:val="24"/>
        </w:rPr>
      </w:pPr>
      <w:bookmarkStart w:id="181" w:name="_Toc328466687"/>
      <w:r w:rsidRPr="00483BFD">
        <w:rPr>
          <w:rFonts w:ascii="Bookman Old Style" w:hAnsi="Bookman Old Style"/>
          <w:color w:val="000000" w:themeColor="text1"/>
          <w:sz w:val="24"/>
          <w:szCs w:val="24"/>
        </w:rPr>
        <w:t xml:space="preserve">Obligaciones de los compradores habilitados en relación con el uso del sistema de </w:t>
      </w:r>
      <w:bookmarkEnd w:id="181"/>
      <w:r w:rsidRPr="00483BFD">
        <w:rPr>
          <w:rFonts w:ascii="Bookman Old Style" w:hAnsi="Bookman Old Style"/>
          <w:color w:val="000000" w:themeColor="text1"/>
          <w:sz w:val="24"/>
          <w:szCs w:val="24"/>
        </w:rPr>
        <w:t>subasta</w:t>
      </w:r>
    </w:p>
    <w:p w14:paraId="2FB0DB19" w14:textId="77777777" w:rsidR="005C0F94" w:rsidRPr="00483BFD" w:rsidRDefault="005C0F94" w:rsidP="005C0F94">
      <w:pPr>
        <w:jc w:val="both"/>
        <w:outlineLvl w:val="0"/>
        <w:rPr>
          <w:rFonts w:ascii="Bookman Old Style" w:hAnsi="Bookman Old Style" w:cs="Arial"/>
          <w:color w:val="000000" w:themeColor="text1"/>
          <w:lang w:val="es-CO"/>
        </w:rPr>
      </w:pPr>
    </w:p>
    <w:p w14:paraId="2ED21557"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bookmarkStart w:id="182" w:name="_Ref357674463"/>
      <w:r w:rsidRPr="00483BFD">
        <w:rPr>
          <w:rFonts w:ascii="Bookman Old Style" w:hAnsi="Bookman Old Style" w:cs="Arial"/>
          <w:color w:val="000000" w:themeColor="text1"/>
        </w:rPr>
        <w:t>Tener a su disposición la estructura operativa y el equipo computacional y de comunicaciones apropiado de acuerdo con las especificaciones operativas y técnicas establecidas por el administrador de la subasta.</w:t>
      </w:r>
      <w:bookmarkEnd w:id="182"/>
    </w:p>
    <w:p w14:paraId="4C897A7B"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512C8C49"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bookmarkStart w:id="183" w:name="_Ref357674465"/>
      <w:r w:rsidRPr="00483BFD">
        <w:rPr>
          <w:rFonts w:ascii="Bookman Old Style" w:hAnsi="Bookman Old Style" w:cs="Arial"/>
          <w:color w:val="000000" w:themeColor="text1"/>
        </w:rPr>
        <w:t>Utilizar y operar el sistema de subasta única y exclusivamente a través del personal debidamente capacitado para el efecto por el administrador de la subasta, que haya recibido el respectivo certificado de capacitación emitido por éste.</w:t>
      </w:r>
      <w:bookmarkEnd w:id="183"/>
    </w:p>
    <w:p w14:paraId="350EB0ED"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0FA636DD" w14:textId="0222E021"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Acreditar ante el administrador de la subasta el cumplimiento de las obligaciones a que se refieren los literales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_Ref357674463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a)</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y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_Ref357674465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b)</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numeral, previo al inicio de la subasta, mediante una declaración suscrita por el representante legal del comprador.</w:t>
      </w:r>
    </w:p>
    <w:p w14:paraId="769369B0"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104A87FE"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Permitir al administrador de la subasta la realización de las verificaciones a los sistemas computacionales y de comunicaciones utilizados por el comprador para su participación en la subasta.</w:t>
      </w:r>
    </w:p>
    <w:p w14:paraId="164FC2EA"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0CF541DC"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Mantener las claves de acceso al sistema de subasta bajo su exclusiva responsabilidad y estrictos estándares de seguridad y confidencialidad.</w:t>
      </w:r>
    </w:p>
    <w:p w14:paraId="37EC46E6"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7E68C54F"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Abstenerse de realizar actos contrarios a la libre competencia, actos contrarios a la legislación o a la regulación vigente y actos que afecten la transparencia del proceso o la adecuada formación de precios.</w:t>
      </w:r>
    </w:p>
    <w:p w14:paraId="14666D26"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3876119D" w14:textId="77777777" w:rsidR="005C0F94" w:rsidRPr="00483BFD" w:rsidRDefault="005C0F94" w:rsidP="005C0F94">
      <w:pPr>
        <w:numPr>
          <w:ilvl w:val="0"/>
          <w:numId w:val="13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Informar de manera inmediata al administrador de la subasta cualquier error o falla del sistema de subasta.</w:t>
      </w:r>
    </w:p>
    <w:p w14:paraId="248E8077" w14:textId="77777777" w:rsidR="005C0F94" w:rsidRPr="00483BFD" w:rsidRDefault="005C0F94" w:rsidP="005C0F94">
      <w:pPr>
        <w:autoSpaceDE w:val="0"/>
        <w:autoSpaceDN w:val="0"/>
        <w:adjustRightInd w:val="0"/>
        <w:ind w:left="1134"/>
        <w:jc w:val="both"/>
        <w:rPr>
          <w:rFonts w:ascii="Bookman Old Style" w:hAnsi="Bookman Old Style"/>
          <w:color w:val="000000" w:themeColor="text1"/>
        </w:rPr>
      </w:pPr>
    </w:p>
    <w:p w14:paraId="09E31333" w14:textId="77777777" w:rsidR="005C0F94" w:rsidRPr="00483BFD" w:rsidRDefault="005C0F94" w:rsidP="005C0F94">
      <w:pPr>
        <w:pStyle w:val="Prrafodelista"/>
        <w:numPr>
          <w:ilvl w:val="1"/>
          <w:numId w:val="147"/>
        </w:numPr>
        <w:ind w:left="567" w:hanging="567"/>
        <w:jc w:val="both"/>
        <w:rPr>
          <w:rFonts w:ascii="Bookman Old Style" w:hAnsi="Bookman Old Style"/>
          <w:color w:val="000000" w:themeColor="text1"/>
          <w:sz w:val="24"/>
          <w:szCs w:val="24"/>
        </w:rPr>
      </w:pPr>
      <w:r w:rsidRPr="00483BFD">
        <w:rPr>
          <w:rFonts w:ascii="Bookman Old Style" w:hAnsi="Bookman Old Style"/>
          <w:color w:val="000000" w:themeColor="text1"/>
          <w:sz w:val="24"/>
          <w:szCs w:val="24"/>
        </w:rPr>
        <w:t>Sistema de subasta</w:t>
      </w:r>
    </w:p>
    <w:p w14:paraId="67644751" w14:textId="77777777" w:rsidR="005C0F94" w:rsidRPr="00483BFD" w:rsidRDefault="005C0F94" w:rsidP="005C0F94">
      <w:pPr>
        <w:ind w:left="0"/>
        <w:rPr>
          <w:rFonts w:ascii="Bookman Old Style" w:hAnsi="Bookman Old Style"/>
          <w:color w:val="000000" w:themeColor="text1"/>
          <w:lang w:val="es-CO"/>
        </w:rPr>
      </w:pPr>
    </w:p>
    <w:p w14:paraId="0D10ECAF" w14:textId="77777777" w:rsidR="005C0F94" w:rsidRPr="00483BFD" w:rsidRDefault="005C0F94" w:rsidP="005C0F94">
      <w:pPr>
        <w:ind w:left="0"/>
        <w:jc w:val="both"/>
        <w:rPr>
          <w:rFonts w:ascii="Bookman Old Style" w:hAnsi="Bookman Old Style" w:cs="Arial"/>
          <w:color w:val="000000" w:themeColor="text1"/>
        </w:rPr>
      </w:pPr>
      <w:r w:rsidRPr="00483BFD">
        <w:rPr>
          <w:rFonts w:ascii="Bookman Old Style" w:hAnsi="Bookman Old Style" w:cs="Arial"/>
          <w:color w:val="000000" w:themeColor="text1"/>
        </w:rPr>
        <w:t>La plataforma tecnológica deberá cumplir con los siguientes requisitos mínimos:</w:t>
      </w:r>
    </w:p>
    <w:p w14:paraId="5D54AB85" w14:textId="77777777" w:rsidR="005C0F94" w:rsidRPr="00483BFD" w:rsidRDefault="005C0F94" w:rsidP="005C0F94">
      <w:pPr>
        <w:ind w:left="147"/>
        <w:rPr>
          <w:rFonts w:ascii="Bookman Old Style" w:hAnsi="Bookman Old Style" w:cs="Arial"/>
          <w:color w:val="000000" w:themeColor="text1"/>
        </w:rPr>
      </w:pPr>
    </w:p>
    <w:p w14:paraId="14450521"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Estar basada en protocolos de Internet.</w:t>
      </w:r>
    </w:p>
    <w:p w14:paraId="36E28779"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2B74078C"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Permitir el acceso a cada uno de los compradores habilitados desde el sitio en el territorio nacional donde estos dispongan de la infraestructura de computación y comunicaciones.</w:t>
      </w:r>
    </w:p>
    <w:p w14:paraId="1D52507E"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79E6A1F3"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Mantener las bases de datos y servidores del sistema de subasta en el sitio que para tal fin establezca el administrador de la subasta.</w:t>
      </w:r>
    </w:p>
    <w:p w14:paraId="1FDFDF9D"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6A925915"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Garantizar la autenticación de los usuarios que acceden al sistema.</w:t>
      </w:r>
    </w:p>
    <w:p w14:paraId="0B706CAC"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7305C77E"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lastRenderedPageBreak/>
        <w:t>Cumplir las exigencias establecidas en la legislación que rige en materia de comercio electrónico.</w:t>
      </w:r>
    </w:p>
    <w:p w14:paraId="3FC311C7"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398DD370"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Tener un sistema que permita el manejo de información confidencial o sujeta a reserva legal.</w:t>
      </w:r>
    </w:p>
    <w:p w14:paraId="10F548DB"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2CF8B2E1"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Incluir sistemas de respaldo que garanticen la operación continua durante el proceso de subasta.</w:t>
      </w:r>
    </w:p>
    <w:p w14:paraId="5BF339DA"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1CFF516A"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Estar dotado de un registro de todos los procesos realizados en él, incluyendo el registro de ingreso de cada uno de los usuarios. </w:t>
      </w:r>
    </w:p>
    <w:p w14:paraId="09E31498"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6799D0D3" w14:textId="77777777" w:rsidR="005C0F94" w:rsidRPr="00483BFD" w:rsidRDefault="005C0F94" w:rsidP="005C0F94">
      <w:pPr>
        <w:numPr>
          <w:ilvl w:val="0"/>
          <w:numId w:val="13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Contar con los sistemas de respaldo que el administrador de la subasta considere necesarios para el correcto funcionamiento del sistema. El administrador de la subasta no será responsable por la suspensión o interrupción de los servicios, ni por las deficiencias mecánicas, electrónicas o de </w:t>
      </w:r>
      <w:r w:rsidRPr="00483BFD">
        <w:rPr>
          <w:rFonts w:ascii="Bookman Old Style" w:hAnsi="Bookman Old Style" w:cs="Arial"/>
          <w:i/>
          <w:color w:val="000000" w:themeColor="text1"/>
        </w:rPr>
        <w:t>software</w:t>
      </w:r>
      <w:r w:rsidRPr="00483BFD">
        <w:rPr>
          <w:rFonts w:ascii="Bookman Old Style" w:hAnsi="Bookman Old Style" w:cs="Arial"/>
          <w:color w:val="000000" w:themeColor="text1"/>
        </w:rPr>
        <w:t xml:space="preserve"> que se observen en la prestación del servicio, derivadas de las limitaciones tecnológicas propias del sistema computacional, ni por cualquier otro hecho que escape al control del administrador, como caso fortuito o fuerza mayor.</w:t>
      </w:r>
    </w:p>
    <w:p w14:paraId="12ED250B" w14:textId="77777777" w:rsidR="005C0F94" w:rsidRPr="00483BFD" w:rsidRDefault="005C0F94" w:rsidP="005C0F94">
      <w:pPr>
        <w:autoSpaceDE w:val="0"/>
        <w:autoSpaceDN w:val="0"/>
        <w:adjustRightInd w:val="0"/>
        <w:ind w:left="1134" w:hanging="567"/>
        <w:jc w:val="both"/>
        <w:rPr>
          <w:rFonts w:ascii="Bookman Old Style" w:hAnsi="Bookman Old Style" w:cs="Arial"/>
          <w:color w:val="000000" w:themeColor="text1"/>
        </w:rPr>
      </w:pPr>
    </w:p>
    <w:p w14:paraId="2EB2CA2C" w14:textId="77777777" w:rsidR="005C0F94" w:rsidRPr="00483BFD" w:rsidRDefault="005C0F94" w:rsidP="005C0F94">
      <w:pPr>
        <w:autoSpaceDE w:val="0"/>
        <w:autoSpaceDN w:val="0"/>
        <w:adjustRightInd w:val="0"/>
        <w:ind w:left="0"/>
        <w:jc w:val="both"/>
        <w:rPr>
          <w:rFonts w:ascii="Bookman Old Style" w:hAnsi="Bookman Old Style" w:cs="Arial"/>
          <w:color w:val="000000" w:themeColor="text1"/>
        </w:rPr>
      </w:pPr>
      <w:r w:rsidRPr="00483BFD">
        <w:rPr>
          <w:rFonts w:ascii="Bookman Old Style" w:hAnsi="Bookman Old Style" w:cs="Arial"/>
          <w:color w:val="000000" w:themeColor="text1"/>
        </w:rPr>
        <w:t>El administrador de la subasta deberá contar con diez (10) estaciones de trabajo disponibles para la utilización por parte de aquellos compradores habilitados cuyos sistemas computacionales o de comunicaciones presenten fallas por cualquier hecho que escape del control de los compradores.</w:t>
      </w:r>
    </w:p>
    <w:p w14:paraId="1C02D626" w14:textId="77777777" w:rsidR="005C0F94" w:rsidRPr="00483BFD" w:rsidRDefault="005C0F94" w:rsidP="005C0F94">
      <w:pPr>
        <w:ind w:left="0"/>
        <w:rPr>
          <w:rFonts w:ascii="Bookman Old Style" w:hAnsi="Bookman Old Style"/>
          <w:color w:val="000000" w:themeColor="text1"/>
        </w:rPr>
      </w:pPr>
    </w:p>
    <w:p w14:paraId="33DE3351" w14:textId="77777777" w:rsidR="005C0F94" w:rsidRPr="00483BFD" w:rsidRDefault="005C0F94" w:rsidP="005C0F94">
      <w:pPr>
        <w:pStyle w:val="Prrafodelista"/>
        <w:numPr>
          <w:ilvl w:val="1"/>
          <w:numId w:val="147"/>
        </w:numPr>
        <w:ind w:left="567" w:hanging="567"/>
        <w:jc w:val="both"/>
        <w:rPr>
          <w:rFonts w:ascii="Bookman Old Style" w:hAnsi="Bookman Old Style"/>
          <w:color w:val="000000" w:themeColor="text1"/>
          <w:sz w:val="24"/>
          <w:szCs w:val="24"/>
        </w:rPr>
      </w:pPr>
      <w:bookmarkStart w:id="184" w:name="_Ref336432016"/>
      <w:r w:rsidRPr="00483BFD">
        <w:rPr>
          <w:rFonts w:ascii="Bookman Old Style" w:hAnsi="Bookman Old Style"/>
          <w:color w:val="000000" w:themeColor="text1"/>
          <w:sz w:val="24"/>
          <w:szCs w:val="24"/>
        </w:rPr>
        <w:t>Mecanismos de contingencia</w:t>
      </w:r>
      <w:bookmarkEnd w:id="184"/>
    </w:p>
    <w:p w14:paraId="6E637726" w14:textId="77777777" w:rsidR="005C0F94" w:rsidRPr="00483BFD" w:rsidRDefault="005C0F94" w:rsidP="005C0F94">
      <w:pPr>
        <w:ind w:left="0"/>
        <w:rPr>
          <w:rFonts w:ascii="Bookman Old Style" w:hAnsi="Bookman Old Style"/>
          <w:color w:val="000000" w:themeColor="text1"/>
          <w:lang w:val="es-CO"/>
        </w:rPr>
      </w:pPr>
    </w:p>
    <w:p w14:paraId="78DEED01"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Cuando el sistema de subasta se suspenda por las causas señaladas a continuación, se procederá como se establece para cada una de ellas:</w:t>
      </w:r>
    </w:p>
    <w:p w14:paraId="1B37377A" w14:textId="77777777" w:rsidR="005C0F94" w:rsidRPr="00483BFD" w:rsidRDefault="005C0F94" w:rsidP="005C0F94">
      <w:pPr>
        <w:ind w:left="0"/>
        <w:jc w:val="both"/>
        <w:rPr>
          <w:rFonts w:ascii="Bookman Old Style" w:hAnsi="Bookman Old Style"/>
          <w:color w:val="000000" w:themeColor="text1"/>
        </w:rPr>
      </w:pPr>
    </w:p>
    <w:p w14:paraId="3057FD64" w14:textId="77777777" w:rsidR="005C0F94" w:rsidRPr="00483BFD" w:rsidRDefault="005C0F94" w:rsidP="005C0F94">
      <w:pPr>
        <w:numPr>
          <w:ilvl w:val="0"/>
          <w:numId w:val="136"/>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Suspensión por fallas técnicas durante el transcurso de una ronda.</w:t>
      </w:r>
    </w:p>
    <w:p w14:paraId="3AA0B667" w14:textId="77777777" w:rsidR="005C0F94" w:rsidRPr="00483BFD" w:rsidRDefault="005C0F94" w:rsidP="005C0F94">
      <w:pPr>
        <w:ind w:left="1134"/>
        <w:jc w:val="both"/>
        <w:rPr>
          <w:rFonts w:ascii="Bookman Old Style" w:hAnsi="Bookman Old Style"/>
          <w:color w:val="000000" w:themeColor="text1"/>
        </w:rPr>
      </w:pPr>
    </w:p>
    <w:p w14:paraId="4282556D"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Si el sistema de subasta interrumpe su operación por fallas técnicas durante el transcurso de una ronda y afecta total o parcialmente el servicio se procederá como sigue:</w:t>
      </w:r>
    </w:p>
    <w:p w14:paraId="1D13FF6E" w14:textId="77777777" w:rsidR="005C0F94" w:rsidRPr="00483BFD" w:rsidRDefault="005C0F94" w:rsidP="005C0F94">
      <w:pPr>
        <w:ind w:left="1134"/>
        <w:jc w:val="both"/>
        <w:rPr>
          <w:rFonts w:ascii="Bookman Old Style" w:hAnsi="Bookman Old Style"/>
          <w:color w:val="000000" w:themeColor="text1"/>
        </w:rPr>
      </w:pPr>
    </w:p>
    <w:p w14:paraId="233AE7B8"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Una vez restablecida la operación del sistema de subasta, si a criterio del subastador existe tiempo suficiente durante el mismo día hábil para realizar de nuevo la ronda, el administrador procederá a informarlo. Esta ronda tendrá las mismas condiciones de precio de cierre y duración vigentes de la ronda en la cual se suspendió el servicio del sistema de subasta. Antes de iniciar de nuevo la ronda el sistema deberá eliminar la totalidad de las ofertas realizadas durante la ronda en la cual se presentó la suspensión.</w:t>
      </w:r>
    </w:p>
    <w:p w14:paraId="25D83FA2" w14:textId="77777777" w:rsidR="005C0F94" w:rsidRPr="00483BFD" w:rsidRDefault="005C0F94" w:rsidP="005C0F94">
      <w:pPr>
        <w:ind w:left="1134"/>
        <w:jc w:val="both"/>
        <w:rPr>
          <w:rFonts w:ascii="Bookman Old Style" w:hAnsi="Bookman Old Style"/>
          <w:color w:val="000000" w:themeColor="text1"/>
        </w:rPr>
      </w:pPr>
    </w:p>
    <w:p w14:paraId="740DEFC2"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 xml:space="preserve">Una vez restablecida la operación del sistema de subasta, si a criterio del subastador no existe tiempo suficiente para realizar nuevamente la ronda, el administrador procederá a informarlo y la operación del sistema se suspenderá hasta el día hábil siguiente. La nueva ronda tendrá las mismas condiciones de precio de cierre y duración de la </w:t>
      </w:r>
      <w:r w:rsidRPr="00483BFD">
        <w:rPr>
          <w:rFonts w:ascii="Bookman Old Style" w:hAnsi="Bookman Old Style"/>
          <w:color w:val="000000" w:themeColor="text1"/>
        </w:rPr>
        <w:lastRenderedPageBreak/>
        <w:t>ronda en la cual se suspendió el servicio del sistema de subasta. Antes de iniciar de nuevo la ronda el sistema deberá eliminar la totalidad de las ofertas realizadas durante la ronda en la cual se presentó la suspensión.</w:t>
      </w:r>
    </w:p>
    <w:p w14:paraId="55B3D15F" w14:textId="77777777" w:rsidR="005C0F94" w:rsidRPr="00483BFD" w:rsidRDefault="005C0F94" w:rsidP="005C0F94">
      <w:pPr>
        <w:ind w:left="1134"/>
        <w:jc w:val="both"/>
        <w:rPr>
          <w:rFonts w:ascii="Bookman Old Style" w:hAnsi="Bookman Old Style"/>
          <w:color w:val="000000" w:themeColor="text1"/>
        </w:rPr>
      </w:pPr>
    </w:p>
    <w:p w14:paraId="6E7418ED" w14:textId="77777777" w:rsidR="005C0F94" w:rsidRPr="00483BFD" w:rsidRDefault="005C0F94" w:rsidP="005C0F94">
      <w:pPr>
        <w:numPr>
          <w:ilvl w:val="0"/>
          <w:numId w:val="136"/>
        </w:numPr>
        <w:autoSpaceDE w:val="0"/>
        <w:autoSpaceDN w:val="0"/>
        <w:adjustRightInd w:val="0"/>
        <w:ind w:left="1134" w:hanging="567"/>
        <w:jc w:val="both"/>
        <w:rPr>
          <w:rFonts w:ascii="Bookman Old Style" w:hAnsi="Bookman Old Style" w:cs="Arial"/>
          <w:color w:val="000000" w:themeColor="text1"/>
        </w:rPr>
      </w:pPr>
      <w:bookmarkStart w:id="185" w:name="_Ref336432014"/>
      <w:r w:rsidRPr="00483BFD">
        <w:rPr>
          <w:rFonts w:ascii="Bookman Old Style" w:hAnsi="Bookman Old Style" w:cs="Arial"/>
          <w:color w:val="000000" w:themeColor="text1"/>
        </w:rPr>
        <w:t xml:space="preserve">Suspensión parcial de la operación del sistema de </w:t>
      </w:r>
      <w:bookmarkEnd w:id="185"/>
      <w:r w:rsidRPr="00483BFD">
        <w:rPr>
          <w:rFonts w:ascii="Bookman Old Style" w:hAnsi="Bookman Old Style" w:cs="Arial"/>
          <w:color w:val="000000" w:themeColor="text1"/>
        </w:rPr>
        <w:t>subasta.</w:t>
      </w:r>
    </w:p>
    <w:p w14:paraId="76ED401E" w14:textId="77777777" w:rsidR="005C0F94" w:rsidRPr="00483BFD" w:rsidRDefault="005C0F94" w:rsidP="005C0F94">
      <w:pPr>
        <w:ind w:left="1134"/>
        <w:jc w:val="both"/>
        <w:rPr>
          <w:rFonts w:ascii="Bookman Old Style" w:hAnsi="Bookman Old Style"/>
          <w:color w:val="000000" w:themeColor="text1"/>
        </w:rPr>
      </w:pPr>
    </w:p>
    <w:p w14:paraId="06C1C134"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 xml:space="preserve">Se entenderá como suspensión parcial de la operación del sistema de subasta la falla asociada a las estaciones de trabajo de cualquiera de los compradores habilitados o de sus sistemas de comunicación. </w:t>
      </w:r>
    </w:p>
    <w:p w14:paraId="521D9692" w14:textId="77777777" w:rsidR="005C0F94" w:rsidRPr="00483BFD" w:rsidRDefault="005C0F94" w:rsidP="005C0F94">
      <w:pPr>
        <w:ind w:left="1134"/>
        <w:jc w:val="both"/>
        <w:rPr>
          <w:rFonts w:ascii="Bookman Old Style" w:hAnsi="Bookman Old Style"/>
          <w:color w:val="000000" w:themeColor="text1"/>
        </w:rPr>
      </w:pPr>
    </w:p>
    <w:p w14:paraId="54263F19"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Cuando se presente la suspensión parcial de la operación del sistema de subasta el comprador habilitado cuya estación de trabajo o sistema de comunicación falló deberá remitir, de acuerdo con la vía alterna establecida por el administrador de la subasta, las demandas de cada uno de los productos cumpliendo con la reglamentación vigente. Dichas demandas serán ingresadas al sistema de subasta conforme a los procedimientos establecidos por el administrador de la subasta.</w:t>
      </w:r>
    </w:p>
    <w:p w14:paraId="5A4F76AD" w14:textId="77777777" w:rsidR="005C0F94" w:rsidRPr="00483BFD" w:rsidRDefault="005C0F94" w:rsidP="005C0F94">
      <w:pPr>
        <w:ind w:left="1134"/>
        <w:jc w:val="both"/>
        <w:rPr>
          <w:rFonts w:ascii="Bookman Old Style" w:hAnsi="Bookman Old Style"/>
          <w:color w:val="000000" w:themeColor="text1"/>
        </w:rPr>
      </w:pPr>
    </w:p>
    <w:p w14:paraId="3588A776" w14:textId="77777777" w:rsidR="005C0F94" w:rsidRPr="00483BFD" w:rsidRDefault="005C0F94" w:rsidP="005C0F94">
      <w:pPr>
        <w:ind w:left="0"/>
        <w:jc w:val="both"/>
        <w:rPr>
          <w:rFonts w:ascii="Bookman Old Style" w:hAnsi="Bookman Old Style"/>
          <w:bCs/>
          <w:color w:val="000000" w:themeColor="text1"/>
          <w:lang w:val="es-ES_tradnl" w:eastAsia="x-none"/>
        </w:rPr>
      </w:pPr>
      <w:r w:rsidRPr="00483BFD">
        <w:rPr>
          <w:rFonts w:ascii="Bookman Old Style" w:hAnsi="Bookman Old Style" w:cs="Arial"/>
          <w:color w:val="000000" w:themeColor="text1"/>
        </w:rPr>
        <w:t>El administrador de la subasta deberá informar estos mecanismos de contingencia a más tardar veinte (20) días calendario antes de la realización de la subasta.</w:t>
      </w:r>
    </w:p>
    <w:p w14:paraId="568D20D3" w14:textId="77777777" w:rsidR="005C0F94" w:rsidRPr="00483BFD" w:rsidRDefault="005C0F94" w:rsidP="005C0F94">
      <w:pPr>
        <w:ind w:left="1134"/>
        <w:jc w:val="both"/>
        <w:rPr>
          <w:rFonts w:ascii="Bookman Old Style" w:hAnsi="Bookman Old Style"/>
          <w:color w:val="000000" w:themeColor="text1"/>
        </w:rPr>
      </w:pPr>
    </w:p>
    <w:p w14:paraId="7F311903" w14:textId="77777777" w:rsidR="005C0F94" w:rsidRPr="00483BFD" w:rsidRDefault="005C0F94" w:rsidP="005C0F94">
      <w:pPr>
        <w:pStyle w:val="Prrafodelista"/>
        <w:numPr>
          <w:ilvl w:val="0"/>
          <w:numId w:val="109"/>
        </w:numPr>
        <w:ind w:left="567" w:hanging="567"/>
        <w:rPr>
          <w:rFonts w:ascii="Bookman Old Style" w:hAnsi="Bookman Old Style"/>
          <w:b/>
          <w:color w:val="000000" w:themeColor="text1"/>
          <w:sz w:val="24"/>
          <w:szCs w:val="24"/>
        </w:rPr>
      </w:pPr>
      <w:r w:rsidRPr="00483BFD">
        <w:rPr>
          <w:rFonts w:ascii="Bookman Old Style" w:hAnsi="Bookman Old Style"/>
          <w:b/>
          <w:color w:val="000000" w:themeColor="text1"/>
          <w:sz w:val="24"/>
          <w:szCs w:val="24"/>
        </w:rPr>
        <w:t>Procedimiento de la subasta</w:t>
      </w:r>
    </w:p>
    <w:p w14:paraId="19998A8B" w14:textId="77777777" w:rsidR="005C0F94" w:rsidRPr="00483BFD" w:rsidRDefault="005C0F94" w:rsidP="005C0F94">
      <w:pPr>
        <w:ind w:left="0"/>
        <w:rPr>
          <w:rFonts w:ascii="Bookman Old Style" w:hAnsi="Bookman Old Style"/>
          <w:color w:val="000000" w:themeColor="text1"/>
        </w:rPr>
      </w:pPr>
    </w:p>
    <w:p w14:paraId="3264B31D"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r w:rsidRPr="00483BFD">
        <w:rPr>
          <w:rFonts w:ascii="Bookman Old Style" w:hAnsi="Bookman Old Style"/>
          <w:color w:val="000000" w:themeColor="text1"/>
          <w:sz w:val="24"/>
          <w:szCs w:val="24"/>
        </w:rPr>
        <w:t>Tipo de subasta</w:t>
      </w:r>
    </w:p>
    <w:p w14:paraId="5C38375A" w14:textId="77777777" w:rsidR="005C0F94" w:rsidRPr="00483BFD" w:rsidRDefault="005C0F94" w:rsidP="005C0F94">
      <w:pPr>
        <w:ind w:left="0"/>
        <w:rPr>
          <w:rFonts w:ascii="Bookman Old Style" w:hAnsi="Bookman Old Style"/>
          <w:color w:val="000000" w:themeColor="text1"/>
          <w:lang w:val="es-CO"/>
        </w:rPr>
      </w:pPr>
    </w:p>
    <w:p w14:paraId="73B04D09" w14:textId="77777777" w:rsidR="005C0F94" w:rsidRPr="00483BFD" w:rsidRDefault="005C0F94" w:rsidP="005C0F94">
      <w:pPr>
        <w:ind w:left="0"/>
        <w:rPr>
          <w:rFonts w:ascii="Bookman Old Style" w:hAnsi="Bookman Old Style"/>
          <w:color w:val="000000" w:themeColor="text1"/>
          <w:lang w:val="es-CO"/>
        </w:rPr>
      </w:pPr>
      <w:r w:rsidRPr="00483BFD">
        <w:rPr>
          <w:rFonts w:ascii="Bookman Old Style" w:hAnsi="Bookman Old Style"/>
          <w:color w:val="000000" w:themeColor="text1"/>
          <w:lang w:val="es-CO"/>
        </w:rPr>
        <w:t>Subasta simultánea de “reloj ascendente”.</w:t>
      </w:r>
    </w:p>
    <w:p w14:paraId="4D884E33" w14:textId="77777777" w:rsidR="005C0F94" w:rsidRPr="00851155" w:rsidRDefault="005C0F94" w:rsidP="005C0F94">
      <w:pPr>
        <w:ind w:left="0"/>
        <w:rPr>
          <w:rFonts w:ascii="Bookman Old Style" w:hAnsi="Bookman Old Style"/>
          <w:color w:val="000000" w:themeColor="text1"/>
          <w:lang w:val="es-CO"/>
        </w:rPr>
      </w:pPr>
    </w:p>
    <w:p w14:paraId="012CE528" w14:textId="77777777" w:rsidR="005C0F94" w:rsidRPr="00851155" w:rsidRDefault="005C0F94" w:rsidP="005C0F94">
      <w:pPr>
        <w:pStyle w:val="Prrafodelista"/>
        <w:numPr>
          <w:ilvl w:val="1"/>
          <w:numId w:val="148"/>
        </w:numPr>
        <w:ind w:left="567" w:hanging="567"/>
        <w:rPr>
          <w:rFonts w:ascii="Bookman Old Style" w:hAnsi="Bookman Old Style"/>
          <w:color w:val="000000" w:themeColor="text1"/>
          <w:sz w:val="24"/>
          <w:szCs w:val="24"/>
        </w:rPr>
      </w:pPr>
      <w:r w:rsidRPr="00851155">
        <w:rPr>
          <w:rFonts w:ascii="Bookman Old Style" w:hAnsi="Bookman Old Style"/>
          <w:color w:val="000000" w:themeColor="text1"/>
          <w:sz w:val="24"/>
          <w:szCs w:val="24"/>
        </w:rPr>
        <w:t>Productos</w:t>
      </w:r>
    </w:p>
    <w:p w14:paraId="325FCEDA" w14:textId="77777777" w:rsidR="005C0F94" w:rsidRPr="00851155" w:rsidRDefault="005C0F94" w:rsidP="005C0F94">
      <w:pPr>
        <w:ind w:left="0"/>
        <w:rPr>
          <w:rFonts w:ascii="Bookman Old Style" w:hAnsi="Bookman Old Style"/>
          <w:color w:val="000000" w:themeColor="text1"/>
          <w:lang w:val="es-CO"/>
        </w:rPr>
      </w:pPr>
    </w:p>
    <w:p w14:paraId="208F5831" w14:textId="77777777" w:rsidR="005C0F94" w:rsidRPr="00851155" w:rsidRDefault="005C0F94" w:rsidP="005C0F94">
      <w:pPr>
        <w:pStyle w:val="Textoindependiente"/>
        <w:ind w:left="0"/>
        <w:jc w:val="both"/>
        <w:rPr>
          <w:rFonts w:ascii="Bookman Old Style" w:hAnsi="Bookman Old Style" w:cs="Arial"/>
          <w:b w:val="0"/>
          <w:color w:val="000000" w:themeColor="text1"/>
          <w:lang w:val="es-CO"/>
        </w:rPr>
      </w:pPr>
      <w:r w:rsidRPr="00851155">
        <w:rPr>
          <w:rFonts w:ascii="Bookman Old Style" w:hAnsi="Bookman Old Style" w:cs="Arial"/>
          <w:b w:val="0"/>
          <w:color w:val="000000" w:themeColor="text1"/>
          <w:lang w:val="es-CO"/>
        </w:rPr>
        <w:t xml:space="preserve">Los productos, </w:t>
      </w:r>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oMath>
      <w:r w:rsidRPr="00851155">
        <w:rPr>
          <w:rFonts w:ascii="Bookman Old Style" w:hAnsi="Bookman Old Style" w:cs="Arial"/>
          <w:b w:val="0"/>
          <w:color w:val="000000" w:themeColor="text1"/>
          <w:lang w:val="es-CO"/>
        </w:rPr>
        <w:t>, que se negociarán mediante la subasta tendrán los siguientes atributos:</w:t>
      </w:r>
    </w:p>
    <w:p w14:paraId="36370A5C" w14:textId="77777777" w:rsidR="005C0F94" w:rsidRPr="00851155" w:rsidRDefault="005C0F94" w:rsidP="005C0F94">
      <w:pPr>
        <w:pStyle w:val="Textoindependiente"/>
        <w:ind w:left="0"/>
        <w:jc w:val="left"/>
        <w:rPr>
          <w:rFonts w:ascii="Bookman Old Style" w:hAnsi="Bookman Old Style" w:cs="Arial"/>
          <w:b w:val="0"/>
          <w:color w:val="000000" w:themeColor="text1"/>
          <w:lang w:val="es-CO"/>
        </w:rPr>
      </w:pPr>
    </w:p>
    <w:p w14:paraId="7895303E" w14:textId="3A1B41D1" w:rsidR="005C0F94" w:rsidRPr="002858A9" w:rsidRDefault="005C0F94" w:rsidP="005C0F94">
      <w:pPr>
        <w:numPr>
          <w:ilvl w:val="0"/>
          <w:numId w:val="138"/>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Modalidad contractual, </w:t>
      </w:r>
      <m:oMath>
        <m:r>
          <w:rPr>
            <w:rFonts w:ascii="Cambria Math" w:hAnsi="Cambria Math" w:cs="Arial"/>
            <w:color w:val="000000" w:themeColor="text1"/>
          </w:rPr>
          <m:t>T</m:t>
        </m:r>
      </m:oMath>
      <w:r w:rsidRPr="00483BFD">
        <w:rPr>
          <w:rFonts w:ascii="Bookman Old Style" w:hAnsi="Bookman Old Style" w:cs="Arial"/>
          <w:color w:val="000000" w:themeColor="text1"/>
        </w:rPr>
        <w:t>: de acuerdo con lo dispuesto en el</w:t>
      </w:r>
      <w:r w:rsidR="00C6332A">
        <w:rPr>
          <w:rFonts w:ascii="Bookman Old Style" w:hAnsi="Bookman Old Style" w:cs="Arial"/>
          <w:color w:val="000000" w:themeColor="text1"/>
        </w:rPr>
        <w:t xml:space="preserve"> artículo 8</w:t>
      </w:r>
      <w:r w:rsidRPr="00483BFD">
        <w:rPr>
          <w:rFonts w:ascii="Bookman Old Style" w:hAnsi="Bookman Old Style" w:cs="Arial"/>
          <w:color w:val="000000" w:themeColor="text1"/>
        </w:rPr>
        <w:t xml:space="preserve"> de esta </w:t>
      </w:r>
      <w:r w:rsidRPr="002858A9">
        <w:rPr>
          <w:rFonts w:ascii="Bookman Old Style" w:hAnsi="Bookman Old Style" w:cs="Arial"/>
          <w:color w:val="000000" w:themeColor="text1"/>
        </w:rPr>
        <w:t>Resolución, en la subasta sólo se negociarán las siguientes modalidades contractuales:</w:t>
      </w:r>
    </w:p>
    <w:p w14:paraId="0E68A154" w14:textId="77777777" w:rsidR="005C0F94" w:rsidRPr="002858A9" w:rsidRDefault="005C0F94" w:rsidP="005C0F94">
      <w:pPr>
        <w:autoSpaceDE w:val="0"/>
        <w:autoSpaceDN w:val="0"/>
        <w:adjustRightInd w:val="0"/>
        <w:ind w:left="1134"/>
        <w:jc w:val="both"/>
        <w:rPr>
          <w:rFonts w:ascii="Bookman Old Style" w:hAnsi="Bookman Old Style" w:cs="Arial"/>
          <w:color w:val="000000" w:themeColor="text1"/>
        </w:rPr>
      </w:pPr>
    </w:p>
    <w:p w14:paraId="5F01CF15" w14:textId="5F27D838" w:rsidR="005C0F94" w:rsidRPr="002858A9" w:rsidRDefault="005C0F94" w:rsidP="005C0F94">
      <w:pPr>
        <w:pStyle w:val="Prrafodelista"/>
        <w:numPr>
          <w:ilvl w:val="0"/>
          <w:numId w:val="152"/>
        </w:numPr>
        <w:ind w:left="1701" w:hanging="567"/>
        <w:contextualSpacing/>
        <w:jc w:val="both"/>
        <w:rPr>
          <w:rFonts w:ascii="Bookman Old Style" w:hAnsi="Bookman Old Style" w:cs="Arial"/>
          <w:color w:val="000000" w:themeColor="text1"/>
          <w:sz w:val="24"/>
          <w:szCs w:val="24"/>
          <w:lang w:val="es-ES" w:eastAsia="es-ES"/>
        </w:rPr>
      </w:pPr>
      <w:r w:rsidRPr="002858A9">
        <w:rPr>
          <w:rFonts w:ascii="Bookman Old Style" w:hAnsi="Bookman Old Style" w:cs="Arial"/>
          <w:b/>
          <w:bCs/>
          <w:color w:val="000000" w:themeColor="text1"/>
          <w:sz w:val="24"/>
          <w:szCs w:val="24"/>
          <w:lang w:val="es-ES" w:eastAsia="es-ES"/>
        </w:rPr>
        <w:t xml:space="preserve">Contrato </w:t>
      </w:r>
      <w:r w:rsidR="00D46DFC" w:rsidRPr="002858A9">
        <w:rPr>
          <w:rFonts w:ascii="Bookman Old Style" w:hAnsi="Bookman Old Style" w:cs="Arial"/>
          <w:b/>
          <w:bCs/>
          <w:color w:val="000000" w:themeColor="text1"/>
          <w:sz w:val="24"/>
          <w:szCs w:val="24"/>
          <w:lang w:val="es-ES" w:eastAsia="es-ES"/>
        </w:rPr>
        <w:t>de suministro firme al 95%, CF95</w:t>
      </w:r>
      <w:r w:rsidRPr="002858A9">
        <w:rPr>
          <w:rFonts w:ascii="Bookman Old Style" w:hAnsi="Bookman Old Style" w:cs="Arial"/>
          <w:color w:val="000000" w:themeColor="text1"/>
          <w:sz w:val="24"/>
          <w:szCs w:val="24"/>
          <w:lang w:val="es-ES" w:eastAsia="es-ES"/>
        </w:rPr>
        <w:t>.</w:t>
      </w:r>
    </w:p>
    <w:p w14:paraId="637241FA" w14:textId="77777777" w:rsidR="005C0F94" w:rsidRPr="002858A9" w:rsidRDefault="005C0F94" w:rsidP="005C0F94">
      <w:pPr>
        <w:pStyle w:val="Prrafodelista"/>
        <w:ind w:left="1701" w:hanging="567"/>
        <w:contextualSpacing/>
        <w:jc w:val="both"/>
        <w:rPr>
          <w:rFonts w:ascii="Bookman Old Style" w:hAnsi="Bookman Old Style" w:cs="Arial"/>
          <w:color w:val="000000" w:themeColor="text1"/>
          <w:sz w:val="24"/>
          <w:szCs w:val="24"/>
          <w:lang w:val="es-ES" w:eastAsia="es-ES"/>
        </w:rPr>
      </w:pPr>
    </w:p>
    <w:p w14:paraId="3159FC7F" w14:textId="77777777" w:rsidR="005C0F94" w:rsidRPr="002858A9" w:rsidRDefault="005C0F94" w:rsidP="005C0F94">
      <w:pPr>
        <w:pStyle w:val="Prrafodelista"/>
        <w:numPr>
          <w:ilvl w:val="0"/>
          <w:numId w:val="152"/>
        </w:numPr>
        <w:ind w:left="1701" w:hanging="567"/>
        <w:contextualSpacing/>
        <w:jc w:val="both"/>
        <w:rPr>
          <w:rFonts w:ascii="Bookman Old Style" w:hAnsi="Bookman Old Style" w:cs="Arial"/>
          <w:color w:val="000000" w:themeColor="text1"/>
          <w:sz w:val="24"/>
          <w:szCs w:val="24"/>
          <w:lang w:val="es-ES" w:eastAsia="es-ES"/>
        </w:rPr>
      </w:pPr>
      <w:r w:rsidRPr="002858A9">
        <w:rPr>
          <w:rFonts w:ascii="Bookman Old Style" w:hAnsi="Bookman Old Style" w:cs="Arial"/>
          <w:color w:val="000000" w:themeColor="text1"/>
          <w:sz w:val="24"/>
          <w:szCs w:val="24"/>
          <w:lang w:val="es-ES" w:eastAsia="es-ES"/>
        </w:rPr>
        <w:t xml:space="preserve">Contrato de suministro con firmeza condicionada, </w:t>
      </w:r>
      <m:oMath>
        <m:r>
          <w:rPr>
            <w:rFonts w:ascii="Cambria Math" w:hAnsi="Cambria Math" w:cs="Arial"/>
            <w:color w:val="000000" w:themeColor="text1"/>
            <w:sz w:val="24"/>
            <w:szCs w:val="24"/>
          </w:rPr>
          <m:t>CFC</m:t>
        </m:r>
      </m:oMath>
      <w:r w:rsidRPr="002858A9">
        <w:rPr>
          <w:rFonts w:ascii="Bookman Old Style" w:hAnsi="Bookman Old Style" w:cs="Arial"/>
          <w:color w:val="000000" w:themeColor="text1"/>
          <w:sz w:val="24"/>
          <w:szCs w:val="24"/>
          <w:lang w:val="es-ES" w:eastAsia="es-ES"/>
        </w:rPr>
        <w:t>.</w:t>
      </w:r>
    </w:p>
    <w:p w14:paraId="64386475" w14:textId="77777777" w:rsidR="005C0F94" w:rsidRPr="002858A9" w:rsidRDefault="005C0F94" w:rsidP="005C0F94">
      <w:pPr>
        <w:pStyle w:val="Prrafodelista"/>
        <w:ind w:left="1701" w:hanging="567"/>
        <w:contextualSpacing/>
        <w:jc w:val="both"/>
        <w:rPr>
          <w:rFonts w:ascii="Bookman Old Style" w:hAnsi="Bookman Old Style" w:cs="Arial"/>
          <w:color w:val="000000" w:themeColor="text1"/>
          <w:sz w:val="24"/>
          <w:szCs w:val="24"/>
          <w:lang w:val="es-ES" w:eastAsia="es-ES"/>
        </w:rPr>
      </w:pPr>
    </w:p>
    <w:p w14:paraId="6272D1EA" w14:textId="77777777" w:rsidR="005C0F94" w:rsidRPr="002858A9" w:rsidRDefault="005C0F94" w:rsidP="005C0F94">
      <w:pPr>
        <w:pStyle w:val="Prrafodelista"/>
        <w:numPr>
          <w:ilvl w:val="0"/>
          <w:numId w:val="152"/>
        </w:numPr>
        <w:ind w:left="1701" w:hanging="567"/>
        <w:contextualSpacing/>
        <w:jc w:val="both"/>
        <w:rPr>
          <w:rFonts w:ascii="Bookman Old Style" w:hAnsi="Bookman Old Style" w:cs="Arial"/>
          <w:color w:val="000000" w:themeColor="text1"/>
          <w:sz w:val="24"/>
          <w:szCs w:val="24"/>
          <w:lang w:val="es-ES" w:eastAsia="es-ES"/>
        </w:rPr>
      </w:pPr>
      <w:r w:rsidRPr="002858A9">
        <w:rPr>
          <w:rFonts w:ascii="Bookman Old Style" w:hAnsi="Bookman Old Style" w:cs="Arial"/>
          <w:color w:val="000000" w:themeColor="text1"/>
          <w:sz w:val="24"/>
          <w:szCs w:val="24"/>
          <w:lang w:val="es-ES" w:eastAsia="es-ES"/>
        </w:rPr>
        <w:t xml:space="preserve">Contrato de opción de compra de gas, </w:t>
      </w:r>
      <m:oMath>
        <m:r>
          <w:rPr>
            <w:rFonts w:ascii="Cambria Math" w:hAnsi="Cambria Math" w:cs="Arial"/>
            <w:color w:val="000000" w:themeColor="text1"/>
            <w:sz w:val="24"/>
            <w:szCs w:val="24"/>
          </w:rPr>
          <m:t>OCG</m:t>
        </m:r>
      </m:oMath>
      <w:r w:rsidRPr="002858A9">
        <w:rPr>
          <w:rFonts w:ascii="Bookman Old Style" w:hAnsi="Bookman Old Style" w:cs="Arial"/>
          <w:color w:val="000000" w:themeColor="text1"/>
          <w:sz w:val="24"/>
          <w:szCs w:val="24"/>
          <w:lang w:val="es-ES" w:eastAsia="es-ES"/>
        </w:rPr>
        <w:t>.</w:t>
      </w:r>
    </w:p>
    <w:p w14:paraId="69EBF00C" w14:textId="77777777" w:rsidR="005C0F94" w:rsidRPr="002858A9" w:rsidRDefault="005C0F94" w:rsidP="005C0F94">
      <w:pPr>
        <w:pStyle w:val="Textoindependiente"/>
        <w:ind w:left="0"/>
        <w:jc w:val="left"/>
        <w:rPr>
          <w:rFonts w:ascii="Bookman Old Style" w:hAnsi="Bookman Old Style" w:cs="Arial"/>
          <w:b w:val="0"/>
          <w:color w:val="000000" w:themeColor="text1"/>
          <w:lang w:val="es-ES"/>
        </w:rPr>
      </w:pPr>
    </w:p>
    <w:p w14:paraId="1B64E7BC" w14:textId="5B1247D1" w:rsidR="005C0F94" w:rsidRPr="002858A9" w:rsidRDefault="005C0F94" w:rsidP="005C0F94">
      <w:pPr>
        <w:numPr>
          <w:ilvl w:val="0"/>
          <w:numId w:val="138"/>
        </w:numPr>
        <w:autoSpaceDE w:val="0"/>
        <w:autoSpaceDN w:val="0"/>
        <w:adjustRightInd w:val="0"/>
        <w:ind w:left="1134" w:hanging="567"/>
        <w:jc w:val="both"/>
        <w:rPr>
          <w:rFonts w:ascii="Bookman Old Style" w:hAnsi="Bookman Old Style" w:cs="Arial"/>
          <w:color w:val="000000" w:themeColor="text1"/>
        </w:rPr>
      </w:pPr>
      <w:r w:rsidRPr="002858A9">
        <w:rPr>
          <w:rFonts w:ascii="Bookman Old Style" w:hAnsi="Bookman Old Style" w:cs="Arial"/>
          <w:color w:val="000000" w:themeColor="text1"/>
        </w:rPr>
        <w:t xml:space="preserve">Fuente, </w:t>
      </w:r>
      <m:oMath>
        <m:r>
          <w:rPr>
            <w:rFonts w:ascii="Cambria Math" w:hAnsi="Cambria Math" w:cs="Arial"/>
            <w:color w:val="000000" w:themeColor="text1"/>
          </w:rPr>
          <m:t>f</m:t>
        </m:r>
      </m:oMath>
      <w:r w:rsidRPr="002858A9">
        <w:rPr>
          <w:rFonts w:ascii="Bookman Old Style" w:hAnsi="Bookman Old Style" w:cs="Arial"/>
          <w:color w:val="000000" w:themeColor="text1"/>
        </w:rPr>
        <w:t>: se deberá especificar el punto de entrega del gas natural</w:t>
      </w:r>
      <w:r w:rsidR="00D46DFC" w:rsidRPr="002858A9">
        <w:rPr>
          <w:rFonts w:ascii="Bookman Old Style" w:hAnsi="Bookman Old Style" w:cs="Arial"/>
          <w:color w:val="000000" w:themeColor="text1"/>
        </w:rPr>
        <w:t xml:space="preserve"> </w:t>
      </w:r>
      <w:r w:rsidR="00D46DFC" w:rsidRPr="002858A9">
        <w:rPr>
          <w:rFonts w:ascii="Bookman Old Style" w:hAnsi="Bookman Old Style" w:cs="Arial"/>
          <w:b/>
          <w:bCs/>
          <w:color w:val="000000" w:themeColor="text1"/>
        </w:rPr>
        <w:t>qu</w:t>
      </w:r>
      <w:r w:rsidR="001B15D1" w:rsidRPr="002858A9">
        <w:rPr>
          <w:rFonts w:ascii="Bookman Old Style" w:hAnsi="Bookman Old Style" w:cs="Arial"/>
          <w:b/>
          <w:bCs/>
          <w:color w:val="000000" w:themeColor="text1"/>
        </w:rPr>
        <w:t>e</w:t>
      </w:r>
      <w:r w:rsidR="00D46DFC" w:rsidRPr="002858A9">
        <w:rPr>
          <w:rFonts w:ascii="Bookman Old Style" w:hAnsi="Bookman Old Style" w:cs="Arial"/>
          <w:b/>
          <w:bCs/>
          <w:color w:val="000000" w:themeColor="text1"/>
        </w:rPr>
        <w:t xml:space="preserve"> deberá ser un </w:t>
      </w:r>
      <w:r w:rsidRPr="002858A9">
        <w:rPr>
          <w:rFonts w:ascii="Bookman Old Style" w:hAnsi="Bookman Old Style" w:cs="Arial"/>
          <w:color w:val="000000" w:themeColor="text1"/>
        </w:rPr>
        <w:t>punto de entrada al SNT que corresponda al sitio de inicio de alguno de los tramos de gasoductos definidos para efectos tarifarios.</w:t>
      </w:r>
    </w:p>
    <w:p w14:paraId="091AD5F1" w14:textId="77777777" w:rsidR="005C0F94" w:rsidRPr="002858A9" w:rsidRDefault="005C0F94" w:rsidP="005C0F94">
      <w:pPr>
        <w:pStyle w:val="Textoindependiente"/>
        <w:ind w:left="0"/>
        <w:jc w:val="left"/>
        <w:rPr>
          <w:rFonts w:ascii="Bookman Old Style" w:hAnsi="Bookman Old Style" w:cs="Arial"/>
          <w:b w:val="0"/>
          <w:color w:val="000000" w:themeColor="text1"/>
          <w:lang w:val="es-ES"/>
        </w:rPr>
      </w:pPr>
    </w:p>
    <w:p w14:paraId="582984B7" w14:textId="238D6E60" w:rsidR="005C0F94" w:rsidRPr="002858A9" w:rsidRDefault="005C0F94" w:rsidP="00D46DFC">
      <w:pPr>
        <w:numPr>
          <w:ilvl w:val="0"/>
          <w:numId w:val="138"/>
        </w:numPr>
        <w:autoSpaceDE w:val="0"/>
        <w:autoSpaceDN w:val="0"/>
        <w:adjustRightInd w:val="0"/>
        <w:ind w:left="1134" w:hanging="567"/>
        <w:jc w:val="both"/>
        <w:rPr>
          <w:rFonts w:ascii="Bookman Old Style" w:hAnsi="Bookman Old Style"/>
          <w:color w:val="000000" w:themeColor="text1"/>
        </w:rPr>
      </w:pPr>
      <w:r w:rsidRPr="002858A9">
        <w:rPr>
          <w:rFonts w:ascii="Bookman Old Style" w:hAnsi="Bookman Old Style" w:cs="Arial"/>
          <w:color w:val="000000" w:themeColor="text1"/>
        </w:rPr>
        <w:t xml:space="preserve">Duración, </w:t>
      </w:r>
      <m:oMath>
        <m:r>
          <w:rPr>
            <w:rFonts w:ascii="Cambria Math" w:hAnsi="Cambria Math" w:cs="Arial"/>
            <w:color w:val="000000" w:themeColor="text1"/>
          </w:rPr>
          <m:t>d</m:t>
        </m:r>
      </m:oMath>
      <w:r w:rsidRPr="002858A9">
        <w:rPr>
          <w:rFonts w:ascii="Bookman Old Style" w:hAnsi="Bookman Old Style" w:cs="Arial"/>
          <w:color w:val="000000" w:themeColor="text1"/>
        </w:rPr>
        <w:t xml:space="preserve">: será de </w:t>
      </w:r>
      <w:r w:rsidR="00D46DFC" w:rsidRPr="002858A9">
        <w:rPr>
          <w:rFonts w:ascii="Bookman Old Style" w:hAnsi="Bookman Old Style" w:cs="Arial"/>
          <w:color w:val="000000" w:themeColor="text1"/>
        </w:rPr>
        <w:t>un trimestre estándar.</w:t>
      </w:r>
    </w:p>
    <w:p w14:paraId="63A9B9FF" w14:textId="77777777" w:rsidR="00D46DFC" w:rsidRPr="002858A9" w:rsidRDefault="00D46DFC" w:rsidP="002D5416">
      <w:pPr>
        <w:pStyle w:val="Prrafodelista"/>
        <w:rPr>
          <w:rFonts w:ascii="Bookman Old Style" w:hAnsi="Bookman Old Style"/>
          <w:color w:val="000000" w:themeColor="text1"/>
        </w:rPr>
      </w:pPr>
    </w:p>
    <w:p w14:paraId="03D02861" w14:textId="77777777" w:rsidR="00D46DFC" w:rsidRPr="002858A9" w:rsidRDefault="00D46DFC" w:rsidP="002D5416">
      <w:pPr>
        <w:autoSpaceDE w:val="0"/>
        <w:autoSpaceDN w:val="0"/>
        <w:adjustRightInd w:val="0"/>
        <w:ind w:left="1134"/>
        <w:jc w:val="both"/>
        <w:rPr>
          <w:rFonts w:ascii="Bookman Old Style" w:hAnsi="Bookman Old Style"/>
          <w:color w:val="000000" w:themeColor="text1"/>
        </w:rPr>
      </w:pPr>
    </w:p>
    <w:p w14:paraId="4BD53A65" w14:textId="77777777" w:rsidR="005C0F94" w:rsidRPr="002858A9" w:rsidRDefault="005C0F94" w:rsidP="005C0F94">
      <w:pPr>
        <w:pStyle w:val="Prrafodelista"/>
        <w:numPr>
          <w:ilvl w:val="1"/>
          <w:numId w:val="148"/>
        </w:numPr>
        <w:ind w:left="567" w:hanging="567"/>
        <w:rPr>
          <w:rFonts w:ascii="Bookman Old Style" w:hAnsi="Bookman Old Style"/>
          <w:color w:val="000000" w:themeColor="text1"/>
          <w:sz w:val="24"/>
          <w:szCs w:val="24"/>
        </w:rPr>
      </w:pPr>
      <w:r w:rsidRPr="002858A9">
        <w:rPr>
          <w:rFonts w:ascii="Bookman Old Style" w:hAnsi="Bookman Old Style"/>
          <w:color w:val="000000" w:themeColor="text1"/>
          <w:sz w:val="24"/>
          <w:szCs w:val="24"/>
        </w:rPr>
        <w:t>Tamaño de los productos</w:t>
      </w:r>
    </w:p>
    <w:p w14:paraId="4E2E0D55" w14:textId="77777777" w:rsidR="005C0F94" w:rsidRPr="002858A9" w:rsidRDefault="005C0F94" w:rsidP="005C0F94">
      <w:pPr>
        <w:ind w:left="0"/>
        <w:rPr>
          <w:rFonts w:ascii="Bookman Old Style" w:hAnsi="Bookman Old Style"/>
          <w:color w:val="000000" w:themeColor="text1"/>
          <w:lang w:val="es-CO"/>
        </w:rPr>
      </w:pPr>
    </w:p>
    <w:p w14:paraId="57C24B25" w14:textId="77777777" w:rsidR="005C0F94" w:rsidRPr="002858A9" w:rsidRDefault="005C0F94" w:rsidP="005C0F94">
      <w:pPr>
        <w:ind w:left="0"/>
        <w:jc w:val="both"/>
        <w:rPr>
          <w:rFonts w:ascii="Bookman Old Style" w:hAnsi="Bookman Old Style"/>
          <w:color w:val="000000" w:themeColor="text1"/>
        </w:rPr>
      </w:pPr>
      <w:r w:rsidRPr="002858A9">
        <w:rPr>
          <w:rFonts w:ascii="Bookman Old Style" w:hAnsi="Bookman Old Style" w:cs="Arial"/>
          <w:color w:val="000000" w:themeColor="text1"/>
        </w:rPr>
        <w:t>L</w:t>
      </w:r>
      <w:r w:rsidRPr="002858A9">
        <w:rPr>
          <w:rFonts w:ascii="Bookman Old Style" w:hAnsi="Bookman Old Style"/>
          <w:color w:val="000000" w:themeColor="text1"/>
        </w:rPr>
        <w:t>a cantidad de energía ofrecida por cada vendedor, bajo cada modalidad contractual</w:t>
      </w:r>
      <w:r w:rsidRPr="002858A9">
        <w:rPr>
          <w:rFonts w:ascii="Bookman Old Style" w:hAnsi="Bookman Old Style" w:cs="Arial"/>
          <w:color w:val="000000" w:themeColor="text1"/>
        </w:rPr>
        <w:t xml:space="preserve">, </w:t>
      </w:r>
      <m:oMath>
        <m:r>
          <w:rPr>
            <w:rFonts w:ascii="Cambria Math" w:hAnsi="Cambria Math" w:cs="Arial"/>
            <w:color w:val="000000" w:themeColor="text1"/>
          </w:rPr>
          <m:t>T</m:t>
        </m:r>
      </m:oMath>
      <w:r w:rsidRPr="002858A9">
        <w:rPr>
          <w:rFonts w:ascii="Bookman Old Style" w:hAnsi="Bookman Old Style" w:cs="Arial"/>
          <w:color w:val="000000" w:themeColor="text1"/>
        </w:rPr>
        <w:t>,</w:t>
      </w:r>
      <w:r w:rsidRPr="002858A9">
        <w:rPr>
          <w:rFonts w:ascii="Bookman Old Style" w:hAnsi="Bookman Old Style"/>
          <w:color w:val="000000" w:themeColor="text1"/>
        </w:rPr>
        <w:t xml:space="preserve"> corresponderá a un múltiplo entero de un (1) MBTUD y deberá ser igual o superior a 100 MBTUD.</w:t>
      </w:r>
    </w:p>
    <w:p w14:paraId="53C9BF67" w14:textId="77777777" w:rsidR="005C0F94" w:rsidRPr="002858A9" w:rsidRDefault="005C0F94" w:rsidP="005C0F94">
      <w:pPr>
        <w:ind w:left="0"/>
        <w:rPr>
          <w:rFonts w:ascii="Bookman Old Style" w:hAnsi="Bookman Old Style"/>
          <w:color w:val="000000" w:themeColor="text1"/>
        </w:rPr>
      </w:pPr>
    </w:p>
    <w:p w14:paraId="7DC0C102" w14:textId="77777777" w:rsidR="005C0F94" w:rsidRPr="002858A9"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186" w:name="_Ref336432085"/>
      <w:r w:rsidRPr="002858A9">
        <w:rPr>
          <w:rFonts w:ascii="Bookman Old Style" w:hAnsi="Bookman Old Style"/>
          <w:color w:val="000000" w:themeColor="text1"/>
          <w:sz w:val="24"/>
          <w:szCs w:val="24"/>
        </w:rPr>
        <w:t>Participación de los vendedores.</w:t>
      </w:r>
      <w:bookmarkEnd w:id="186"/>
    </w:p>
    <w:p w14:paraId="66B96DD3" w14:textId="77777777" w:rsidR="005C0F94" w:rsidRPr="002858A9" w:rsidRDefault="005C0F94" w:rsidP="005C0F94">
      <w:pPr>
        <w:ind w:left="0"/>
        <w:jc w:val="both"/>
        <w:rPr>
          <w:rFonts w:ascii="Bookman Old Style" w:hAnsi="Bookman Old Style"/>
          <w:color w:val="000000" w:themeColor="text1"/>
          <w:lang w:val="es-CO"/>
        </w:rPr>
      </w:pPr>
    </w:p>
    <w:p w14:paraId="72B71A7B" w14:textId="30543C85" w:rsidR="005C0F94" w:rsidRPr="002858A9" w:rsidRDefault="005C0F94" w:rsidP="005C0F94">
      <w:pPr>
        <w:ind w:left="0"/>
        <w:jc w:val="both"/>
        <w:rPr>
          <w:rFonts w:ascii="Bookman Old Style" w:hAnsi="Bookman Old Style" w:cs="Arial"/>
          <w:color w:val="000000" w:themeColor="text1"/>
        </w:rPr>
      </w:pPr>
      <w:r w:rsidRPr="002858A9">
        <w:rPr>
          <w:rFonts w:ascii="Bookman Old Style" w:hAnsi="Bookman Old Style" w:cs="Arial"/>
          <w:color w:val="000000" w:themeColor="text1"/>
        </w:rPr>
        <w:t>El administrador de la subasta</w:t>
      </w:r>
      <w:r w:rsidR="00F86450" w:rsidRPr="002858A9">
        <w:rPr>
          <w:rFonts w:ascii="Bookman Old Style" w:hAnsi="Bookman Old Style" w:cs="Arial"/>
          <w:color w:val="000000" w:themeColor="text1"/>
        </w:rPr>
        <w:t xml:space="preserve">, </w:t>
      </w:r>
      <w:r w:rsidR="00F86450" w:rsidRPr="002858A9">
        <w:rPr>
          <w:rFonts w:ascii="Bookman Old Style" w:hAnsi="Bookman Old Style" w:cs="Arial"/>
          <w:b/>
          <w:bCs/>
          <w:color w:val="000000" w:themeColor="text1"/>
        </w:rPr>
        <w:t xml:space="preserve">en el </w:t>
      </w:r>
      <w:r w:rsidR="00011CB1" w:rsidRPr="002858A9">
        <w:rPr>
          <w:rFonts w:ascii="Bookman Old Style" w:hAnsi="Bookman Old Style" w:cs="Arial"/>
          <w:b/>
          <w:bCs/>
          <w:color w:val="000000" w:themeColor="text1"/>
        </w:rPr>
        <w:t>décimo noveno día hábil del Trimestre Estándar de Negociación,</w:t>
      </w:r>
      <w:r w:rsidR="00F86450" w:rsidRPr="002858A9">
        <w:rPr>
          <w:rFonts w:ascii="Bookman Old Style" w:hAnsi="Bookman Old Style" w:cs="Arial"/>
          <w:color w:val="000000" w:themeColor="text1"/>
        </w:rPr>
        <w:t xml:space="preserve"> </w:t>
      </w:r>
      <w:r w:rsidRPr="002858A9">
        <w:rPr>
          <w:rFonts w:ascii="Bookman Old Style" w:hAnsi="Bookman Old Style" w:cs="Arial"/>
          <w:color w:val="000000" w:themeColor="text1"/>
        </w:rPr>
        <w:t xml:space="preserve">publicará los textos correspondientes </w:t>
      </w:r>
      <w:r w:rsidR="00EC43BA" w:rsidRPr="002858A9">
        <w:rPr>
          <w:rFonts w:ascii="Bookman Old Style" w:hAnsi="Bookman Old Style" w:cs="Arial"/>
          <w:b/>
          <w:bCs/>
          <w:color w:val="000000" w:themeColor="text1"/>
        </w:rPr>
        <w:t xml:space="preserve">de las minutas de los contratos declaradas por los vendedores dentro de lo establecido en el numeral vi. del literal a. del </w:t>
      </w:r>
      <w:r w:rsidR="008641B1">
        <w:rPr>
          <w:rFonts w:ascii="Bookman Old Style" w:hAnsi="Bookman Old Style" w:cs="Arial"/>
          <w:b/>
          <w:bCs/>
          <w:color w:val="000000" w:themeColor="text1"/>
        </w:rPr>
        <w:t>a</w:t>
      </w:r>
      <w:r w:rsidR="00EC43BA" w:rsidRPr="002858A9">
        <w:rPr>
          <w:rFonts w:ascii="Bookman Old Style" w:hAnsi="Bookman Old Style" w:cs="Arial"/>
          <w:b/>
          <w:bCs/>
          <w:color w:val="000000" w:themeColor="text1"/>
        </w:rPr>
        <w:t>rtículo 21 de la presente resolución</w:t>
      </w:r>
      <w:r w:rsidRPr="002858A9">
        <w:rPr>
          <w:rFonts w:ascii="Bookman Old Style" w:hAnsi="Bookman Old Style" w:cs="Arial"/>
          <w:color w:val="000000" w:themeColor="text1"/>
        </w:rPr>
        <w:t>, identificando el nombre del vendedor correspondiente.</w:t>
      </w:r>
    </w:p>
    <w:p w14:paraId="757FD0EC" w14:textId="77777777" w:rsidR="005C0F94" w:rsidRPr="002858A9" w:rsidRDefault="005C0F94" w:rsidP="005C0F94">
      <w:pPr>
        <w:ind w:left="0"/>
        <w:rPr>
          <w:rFonts w:ascii="Bookman Old Style" w:hAnsi="Bookman Old Style"/>
          <w:color w:val="000000" w:themeColor="text1"/>
          <w:lang w:val="es-CO"/>
        </w:rPr>
      </w:pPr>
    </w:p>
    <w:p w14:paraId="2DB639B3" w14:textId="1B1D316E" w:rsidR="006A6739" w:rsidRPr="002858A9" w:rsidRDefault="00BA2D07" w:rsidP="005C0F94">
      <w:pPr>
        <w:pStyle w:val="Textoindependiente"/>
        <w:ind w:left="0"/>
        <w:jc w:val="both"/>
        <w:rPr>
          <w:rFonts w:ascii="Bookman Old Style" w:hAnsi="Bookman Old Style" w:cs="Arial"/>
          <w:b w:val="0"/>
          <w:bCs w:val="0"/>
          <w:color w:val="000000" w:themeColor="text1"/>
          <w:lang w:val="es-CO"/>
        </w:rPr>
      </w:pPr>
      <w:r w:rsidRPr="002858A9">
        <w:rPr>
          <w:rFonts w:ascii="Bookman Old Style" w:hAnsi="Bookman Old Style" w:cs="Arial"/>
          <w:color w:val="000000" w:themeColor="text1"/>
          <w:lang w:val="es-CO"/>
        </w:rPr>
        <w:t>El Gestor del Mercado</w:t>
      </w:r>
      <w:r w:rsidR="005C0F94" w:rsidRPr="002858A9">
        <w:rPr>
          <w:rFonts w:ascii="Bookman Old Style" w:hAnsi="Bookman Old Style" w:cs="Arial"/>
          <w:color w:val="000000" w:themeColor="text1"/>
          <w:lang w:val="es-CO"/>
        </w:rPr>
        <w:t xml:space="preserve"> deberá </w:t>
      </w:r>
      <w:r w:rsidR="00CF2EC8" w:rsidRPr="002858A9">
        <w:rPr>
          <w:rFonts w:ascii="Bookman Old Style" w:hAnsi="Bookman Old Style" w:cs="Arial"/>
          <w:color w:val="000000" w:themeColor="text1"/>
          <w:lang w:val="es-CO"/>
        </w:rPr>
        <w:t xml:space="preserve">en el vigésimo sexto día hábil del trimestre estándar de negociación, </w:t>
      </w:r>
      <w:r w:rsidRPr="002858A9">
        <w:rPr>
          <w:rFonts w:ascii="Bookman Old Style" w:hAnsi="Bookman Old Style" w:cs="Arial"/>
          <w:color w:val="000000" w:themeColor="text1"/>
          <w:lang w:val="es-CO"/>
        </w:rPr>
        <w:t xml:space="preserve">informar </w:t>
      </w:r>
      <w:r w:rsidR="006A6739" w:rsidRPr="002858A9">
        <w:rPr>
          <w:rFonts w:ascii="Bookman Old Style" w:hAnsi="Bookman Old Style" w:cs="Arial"/>
          <w:color w:val="000000" w:themeColor="text1"/>
          <w:lang w:val="es-CO"/>
        </w:rPr>
        <w:t>a cada uno de los vendedores</w:t>
      </w:r>
      <w:r w:rsidR="00CF2EC8" w:rsidRPr="002858A9">
        <w:rPr>
          <w:rFonts w:ascii="Bookman Old Style" w:hAnsi="Bookman Old Style" w:cs="Arial"/>
          <w:color w:val="000000" w:themeColor="text1"/>
          <w:lang w:val="es-CO"/>
        </w:rPr>
        <w:t xml:space="preserve"> de cada punto de referencia para </w:t>
      </w:r>
      <w:r w:rsidR="003768E3" w:rsidRPr="002858A9">
        <w:rPr>
          <w:rFonts w:ascii="Bookman Old Style" w:hAnsi="Bookman Old Style" w:cs="Arial"/>
          <w:color w:val="000000" w:themeColor="text1"/>
          <w:lang w:val="es-CO"/>
        </w:rPr>
        <w:t>el</w:t>
      </w:r>
      <w:r w:rsidR="00CF2EC8" w:rsidRPr="002858A9">
        <w:rPr>
          <w:rFonts w:ascii="Bookman Old Style" w:hAnsi="Bookman Old Style" w:cs="Arial"/>
          <w:color w:val="000000" w:themeColor="text1"/>
          <w:lang w:val="es-CO"/>
        </w:rPr>
        <w:t xml:space="preserve"> trimestres estándar deficitario</w:t>
      </w:r>
      <w:r w:rsidR="006A6739" w:rsidRPr="002858A9">
        <w:rPr>
          <w:rFonts w:ascii="Bookman Old Style" w:hAnsi="Bookman Old Style" w:cs="Arial"/>
          <w:color w:val="000000" w:themeColor="text1"/>
          <w:lang w:val="es-CO"/>
        </w:rPr>
        <w:t xml:space="preserve">, </w:t>
      </w:r>
      <w:r w:rsidR="005C0F94" w:rsidRPr="002858A9">
        <w:rPr>
          <w:rFonts w:ascii="Bookman Old Style" w:hAnsi="Bookman Old Style" w:cs="Arial"/>
          <w:color w:val="000000" w:themeColor="text1"/>
          <w:lang w:val="es-CO"/>
        </w:rPr>
        <w:t>la oferta de PTDVF u oferta de CIDVF</w:t>
      </w:r>
      <w:r w:rsidR="006A6739" w:rsidRPr="002858A9">
        <w:rPr>
          <w:rFonts w:ascii="Bookman Old Style" w:hAnsi="Bookman Old Style" w:cs="Arial"/>
          <w:color w:val="000000" w:themeColor="text1"/>
          <w:lang w:val="es-CO"/>
        </w:rPr>
        <w:t xml:space="preserve"> que se utilizará </w:t>
      </w:r>
      <w:r w:rsidR="00CF2EC8" w:rsidRPr="002858A9">
        <w:rPr>
          <w:rFonts w:ascii="Bookman Old Style" w:hAnsi="Bookman Old Style" w:cs="Arial"/>
          <w:color w:val="000000" w:themeColor="text1"/>
          <w:lang w:val="es-CO"/>
        </w:rPr>
        <w:t xml:space="preserve">como oferta </w:t>
      </w:r>
      <w:r w:rsidR="006A6739" w:rsidRPr="002858A9">
        <w:rPr>
          <w:rFonts w:ascii="Bookman Old Style" w:hAnsi="Bookman Old Style" w:cs="Arial"/>
          <w:color w:val="000000" w:themeColor="text1"/>
          <w:lang w:val="es-CO"/>
        </w:rPr>
        <w:t>en la subasta</w:t>
      </w:r>
      <w:r w:rsidR="005C0F94" w:rsidRPr="002858A9">
        <w:rPr>
          <w:rFonts w:ascii="Bookman Old Style" w:hAnsi="Bookman Old Style" w:cs="Arial"/>
          <w:color w:val="000000" w:themeColor="text1"/>
          <w:lang w:val="es-CO"/>
        </w:rPr>
        <w:t>, según sea el caso</w:t>
      </w:r>
      <w:r w:rsidRPr="002858A9">
        <w:rPr>
          <w:rFonts w:ascii="Bookman Old Style" w:hAnsi="Bookman Old Style" w:cs="Arial"/>
          <w:color w:val="000000" w:themeColor="text1"/>
          <w:lang w:val="es-CO"/>
        </w:rPr>
        <w:t xml:space="preserve">, </w:t>
      </w:r>
      <w:r w:rsidR="006A6739" w:rsidRPr="002858A9">
        <w:rPr>
          <w:rFonts w:ascii="Bookman Old Style" w:hAnsi="Bookman Old Style" w:cs="Arial"/>
          <w:color w:val="000000" w:themeColor="text1"/>
          <w:lang w:val="es-CO"/>
        </w:rPr>
        <w:t xml:space="preserve">y </w:t>
      </w:r>
      <w:r w:rsidRPr="002858A9">
        <w:rPr>
          <w:rFonts w:ascii="Bookman Old Style" w:hAnsi="Bookman Old Style" w:cs="Arial"/>
          <w:color w:val="000000" w:themeColor="text1"/>
          <w:lang w:val="es-CO"/>
        </w:rPr>
        <w:t>que corresponderá a las cantidades resultantes de desconta</w:t>
      </w:r>
      <w:r w:rsidR="006A6739" w:rsidRPr="002858A9">
        <w:rPr>
          <w:rFonts w:ascii="Bookman Old Style" w:hAnsi="Bookman Old Style" w:cs="Arial"/>
          <w:color w:val="000000" w:themeColor="text1"/>
          <w:lang w:val="es-CO"/>
        </w:rPr>
        <w:t xml:space="preserve">r </w:t>
      </w:r>
      <w:r w:rsidR="000A3418" w:rsidRPr="002858A9">
        <w:rPr>
          <w:rFonts w:ascii="Bookman Old Style" w:hAnsi="Bookman Old Style" w:cs="Arial"/>
          <w:color w:val="000000" w:themeColor="text1"/>
          <w:lang w:val="es-CO"/>
        </w:rPr>
        <w:t xml:space="preserve">a la PTDVF y CIDVF </w:t>
      </w:r>
      <w:r w:rsidR="006A6739" w:rsidRPr="002858A9">
        <w:rPr>
          <w:rFonts w:ascii="Bookman Old Style" w:hAnsi="Bookman Old Style" w:cs="Arial"/>
          <w:color w:val="000000" w:themeColor="text1"/>
          <w:lang w:val="es-CO"/>
        </w:rPr>
        <w:t xml:space="preserve">declarada </w:t>
      </w:r>
      <w:r w:rsidR="009C2C73" w:rsidRPr="002858A9">
        <w:rPr>
          <w:rFonts w:ascii="Bookman Old Style" w:hAnsi="Bookman Old Style" w:cs="Arial"/>
          <w:color w:val="000000" w:themeColor="text1"/>
          <w:lang w:val="es-CO"/>
        </w:rPr>
        <w:t xml:space="preserve">por el vendedor </w:t>
      </w:r>
      <w:r w:rsidR="006A6739" w:rsidRPr="002858A9">
        <w:rPr>
          <w:rFonts w:ascii="Bookman Old Style" w:hAnsi="Bookman Old Style" w:cs="Arial"/>
          <w:color w:val="000000" w:themeColor="text1"/>
          <w:lang w:val="es-CO"/>
        </w:rPr>
        <w:t xml:space="preserve">para </w:t>
      </w:r>
      <w:r w:rsidR="000A3418" w:rsidRPr="002858A9">
        <w:rPr>
          <w:rFonts w:ascii="Bookman Old Style" w:hAnsi="Bookman Old Style" w:cs="Arial"/>
          <w:color w:val="000000" w:themeColor="text1"/>
          <w:lang w:val="es-CO"/>
        </w:rPr>
        <w:t>cada fuente de suministro que conforma el punto de referencia</w:t>
      </w:r>
      <w:r w:rsidR="00CF2EC8" w:rsidRPr="002858A9">
        <w:rPr>
          <w:rFonts w:ascii="Bookman Old Style" w:hAnsi="Bookman Old Style" w:cs="Arial"/>
          <w:color w:val="000000" w:themeColor="text1"/>
          <w:lang w:val="es-CO"/>
        </w:rPr>
        <w:t xml:space="preserve"> deficitario</w:t>
      </w:r>
      <w:r w:rsidR="000A3418" w:rsidRPr="002858A9">
        <w:rPr>
          <w:rFonts w:ascii="Bookman Old Style" w:hAnsi="Bookman Old Style" w:cs="Arial"/>
          <w:color w:val="000000" w:themeColor="text1"/>
          <w:lang w:val="es-CO"/>
        </w:rPr>
        <w:t xml:space="preserve">, </w:t>
      </w:r>
      <w:r w:rsidRPr="002858A9">
        <w:rPr>
          <w:rFonts w:ascii="Bookman Old Style" w:hAnsi="Bookman Old Style" w:cs="Arial"/>
          <w:color w:val="000000" w:themeColor="text1"/>
          <w:lang w:val="es-CO"/>
        </w:rPr>
        <w:t xml:space="preserve">las cantidades </w:t>
      </w:r>
      <w:r w:rsidR="000A3418" w:rsidRPr="002858A9">
        <w:rPr>
          <w:rFonts w:ascii="Bookman Old Style" w:hAnsi="Bookman Old Style" w:cs="Arial"/>
          <w:color w:val="000000" w:themeColor="text1"/>
          <w:lang w:val="es-CO"/>
        </w:rPr>
        <w:t xml:space="preserve">de los contratos </w:t>
      </w:r>
      <w:r w:rsidR="00CF2EC8" w:rsidRPr="002858A9">
        <w:rPr>
          <w:rFonts w:ascii="Bookman Old Style" w:hAnsi="Bookman Old Style" w:cs="Arial"/>
          <w:color w:val="000000" w:themeColor="text1"/>
          <w:lang w:val="es-CO"/>
        </w:rPr>
        <w:t xml:space="preserve">previamente </w:t>
      </w:r>
      <w:r w:rsidR="000A3418" w:rsidRPr="002858A9">
        <w:rPr>
          <w:rFonts w:ascii="Bookman Old Style" w:hAnsi="Bookman Old Style" w:cs="Arial"/>
          <w:color w:val="000000" w:themeColor="text1"/>
          <w:lang w:val="es-CO"/>
        </w:rPr>
        <w:t xml:space="preserve">registrados </w:t>
      </w:r>
      <w:r w:rsidR="00A25BE5" w:rsidRPr="002858A9">
        <w:rPr>
          <w:rFonts w:ascii="Bookman Old Style" w:hAnsi="Bookman Old Style" w:cs="Arial"/>
          <w:color w:val="000000" w:themeColor="text1"/>
          <w:lang w:val="es-CO"/>
        </w:rPr>
        <w:t xml:space="preserve">en el mismo trimestre estándar de negociación </w:t>
      </w:r>
      <w:r w:rsidR="000A3418" w:rsidRPr="002858A9">
        <w:rPr>
          <w:rFonts w:ascii="Bookman Old Style" w:hAnsi="Bookman Old Style" w:cs="Arial"/>
          <w:color w:val="000000" w:themeColor="text1"/>
          <w:lang w:val="es-CO"/>
        </w:rPr>
        <w:t>para atender el suministro</w:t>
      </w:r>
      <w:r w:rsidR="00CF2EC8" w:rsidRPr="002858A9">
        <w:rPr>
          <w:rFonts w:ascii="Bookman Old Style" w:hAnsi="Bookman Old Style" w:cs="Arial"/>
          <w:color w:val="000000" w:themeColor="text1"/>
          <w:lang w:val="es-CO"/>
        </w:rPr>
        <w:t xml:space="preserve"> de</w:t>
      </w:r>
      <w:r w:rsidR="000A3418" w:rsidRPr="002858A9">
        <w:rPr>
          <w:rFonts w:ascii="Bookman Old Style" w:hAnsi="Bookman Old Style" w:cs="Arial"/>
          <w:color w:val="000000" w:themeColor="text1"/>
          <w:lang w:val="es-CO"/>
        </w:rPr>
        <w:t xml:space="preserve"> </w:t>
      </w:r>
      <w:r w:rsidR="00CF2EC8" w:rsidRPr="002858A9">
        <w:rPr>
          <w:rFonts w:ascii="Bookman Old Style" w:hAnsi="Bookman Old Style" w:cs="Arial"/>
          <w:color w:val="000000" w:themeColor="text1"/>
          <w:lang w:val="es-CO"/>
        </w:rPr>
        <w:t xml:space="preserve">la Demanda Esencial </w:t>
      </w:r>
      <w:r w:rsidR="003768E3" w:rsidRPr="002858A9">
        <w:rPr>
          <w:rFonts w:ascii="Bookman Old Style" w:hAnsi="Bookman Old Style" w:cs="Arial"/>
          <w:color w:val="000000" w:themeColor="text1"/>
          <w:lang w:val="es-CO"/>
        </w:rPr>
        <w:t>del</w:t>
      </w:r>
      <w:r w:rsidR="00CF2EC8" w:rsidRPr="002858A9">
        <w:rPr>
          <w:rFonts w:ascii="Bookman Old Style" w:hAnsi="Bookman Old Style" w:cs="Arial"/>
          <w:color w:val="000000" w:themeColor="text1"/>
          <w:lang w:val="es-CO"/>
        </w:rPr>
        <w:t xml:space="preserve"> </w:t>
      </w:r>
      <w:r w:rsidR="000A3418" w:rsidRPr="002858A9">
        <w:rPr>
          <w:rFonts w:ascii="Bookman Old Style" w:hAnsi="Bookman Old Style" w:cs="Arial"/>
          <w:color w:val="000000" w:themeColor="text1"/>
          <w:lang w:val="es-CO"/>
        </w:rPr>
        <w:t>trimestre estándar deficitario</w:t>
      </w:r>
      <w:r w:rsidR="005C0F94" w:rsidRPr="002858A9">
        <w:rPr>
          <w:rFonts w:ascii="Bookman Old Style" w:hAnsi="Bookman Old Style" w:cs="Arial"/>
          <w:b w:val="0"/>
          <w:bCs w:val="0"/>
          <w:color w:val="000000" w:themeColor="text1"/>
          <w:lang w:val="es-CO"/>
        </w:rPr>
        <w:t xml:space="preserve">. </w:t>
      </w:r>
    </w:p>
    <w:p w14:paraId="219BAC9B" w14:textId="7893C5F3" w:rsidR="006A6739" w:rsidRPr="002858A9" w:rsidRDefault="006A6739" w:rsidP="005C0F94">
      <w:pPr>
        <w:pStyle w:val="Textoindependiente"/>
        <w:ind w:left="0"/>
        <w:jc w:val="both"/>
        <w:rPr>
          <w:rFonts w:ascii="Bookman Old Style" w:hAnsi="Bookman Old Style" w:cs="Arial"/>
          <w:b w:val="0"/>
          <w:color w:val="000000" w:themeColor="text1"/>
          <w:lang w:val="es-CO"/>
        </w:rPr>
      </w:pPr>
    </w:p>
    <w:p w14:paraId="7DAD4CA8" w14:textId="55E23573" w:rsidR="00CF2EC8" w:rsidRPr="00483BFD" w:rsidRDefault="00CF2EC8" w:rsidP="00CF2EC8">
      <w:pPr>
        <w:pStyle w:val="Textoindependiente"/>
        <w:ind w:left="0"/>
        <w:jc w:val="both"/>
        <w:rPr>
          <w:rFonts w:ascii="Bookman Old Style" w:hAnsi="Bookman Old Style"/>
          <w:b w:val="0"/>
          <w:color w:val="000000" w:themeColor="text1"/>
          <w:lang w:val="es-CO"/>
        </w:rPr>
      </w:pPr>
      <w:r w:rsidRPr="002858A9">
        <w:rPr>
          <w:rFonts w:ascii="Bookman Old Style" w:hAnsi="Bookman Old Style" w:cs="Arial"/>
          <w:b w:val="0"/>
          <w:color w:val="000000" w:themeColor="text1"/>
          <w:lang w:val="es-CO"/>
        </w:rPr>
        <w:t xml:space="preserve">A más tardar </w:t>
      </w:r>
      <w:r w:rsidR="00282C7C" w:rsidRPr="002858A9">
        <w:rPr>
          <w:rFonts w:ascii="Bookman Old Style" w:hAnsi="Bookman Old Style" w:cs="Arial"/>
          <w:bCs w:val="0"/>
          <w:color w:val="000000" w:themeColor="text1"/>
          <w:lang w:val="es-CO"/>
        </w:rPr>
        <w:t xml:space="preserve">en el vigésimo octavo día hábil del trimestre estándar de negociación, </w:t>
      </w:r>
      <w:r w:rsidRPr="002858A9">
        <w:rPr>
          <w:rFonts w:ascii="Bookman Old Style" w:hAnsi="Bookman Old Style" w:cs="Arial"/>
          <w:b w:val="0"/>
          <w:color w:val="000000" w:themeColor="text1"/>
          <w:lang w:val="es-CO"/>
        </w:rPr>
        <w:t xml:space="preserve">cada uno de los vendedores </w:t>
      </w:r>
      <w:r w:rsidR="00282C7C" w:rsidRPr="002858A9">
        <w:rPr>
          <w:rFonts w:ascii="Bookman Old Style" w:hAnsi="Bookman Old Style" w:cs="Arial"/>
          <w:bCs w:val="0"/>
          <w:color w:val="000000" w:themeColor="text1"/>
          <w:lang w:val="es-CO"/>
        </w:rPr>
        <w:t>que cuentan con PTDVF y/o CIDVF para participar en la subasta de acuerdo con lo informado a estos por el Gestor del Mercado,</w:t>
      </w:r>
      <w:r w:rsidR="00282C7C" w:rsidRPr="002858A9">
        <w:rPr>
          <w:rFonts w:ascii="Bookman Old Style" w:hAnsi="Bookman Old Style" w:cs="Arial"/>
          <w:b w:val="0"/>
          <w:color w:val="000000" w:themeColor="text1"/>
          <w:lang w:val="es-CO"/>
        </w:rPr>
        <w:t xml:space="preserve"> </w:t>
      </w:r>
      <w:r w:rsidRPr="002858A9">
        <w:rPr>
          <w:rFonts w:ascii="Bookman Old Style" w:hAnsi="Bookman Old Style" w:cs="Arial"/>
          <w:b w:val="0"/>
          <w:color w:val="000000" w:themeColor="text1"/>
          <w:lang w:val="es-CO"/>
        </w:rPr>
        <w:t>deberá declarar ante el administrador de la subasta la oferta de PTDVF u oferta de CIDVF</w:t>
      </w:r>
      <w:r w:rsidR="00F51BE3" w:rsidRPr="002858A9">
        <w:rPr>
          <w:rFonts w:ascii="Bookman Old Style" w:hAnsi="Bookman Old Style" w:cs="Arial"/>
          <w:b w:val="0"/>
          <w:color w:val="000000" w:themeColor="text1"/>
          <w:lang w:val="es-CO"/>
        </w:rPr>
        <w:t xml:space="preserve"> </w:t>
      </w:r>
      <w:r w:rsidR="00F51BE3" w:rsidRPr="002858A9">
        <w:rPr>
          <w:rFonts w:ascii="Bookman Old Style" w:hAnsi="Bookman Old Style" w:cs="Arial"/>
          <w:bCs w:val="0"/>
          <w:color w:val="000000" w:themeColor="text1"/>
          <w:lang w:val="es-CO"/>
        </w:rPr>
        <w:t>para la subasta</w:t>
      </w:r>
      <w:r w:rsidRPr="002858A9">
        <w:rPr>
          <w:rFonts w:ascii="Bookman Old Style" w:hAnsi="Bookman Old Style" w:cs="Arial"/>
          <w:b w:val="0"/>
          <w:color w:val="000000" w:themeColor="text1"/>
          <w:lang w:val="es-CO"/>
        </w:rPr>
        <w:t>, según sea el caso</w:t>
      </w:r>
      <w:r w:rsidR="00282C7C" w:rsidRPr="002858A9">
        <w:rPr>
          <w:rFonts w:ascii="Bookman Old Style" w:hAnsi="Bookman Old Style" w:cs="Arial"/>
          <w:b w:val="0"/>
          <w:color w:val="000000" w:themeColor="text1"/>
          <w:lang w:val="es-CO"/>
        </w:rPr>
        <w:t xml:space="preserve">, </w:t>
      </w:r>
      <w:r w:rsidR="00F51BE3" w:rsidRPr="002858A9">
        <w:rPr>
          <w:rFonts w:ascii="Bookman Old Style" w:hAnsi="Bookman Old Style" w:cs="Arial"/>
          <w:bCs w:val="0"/>
          <w:color w:val="000000" w:themeColor="text1"/>
          <w:lang w:val="es-CO"/>
        </w:rPr>
        <w:t>en</w:t>
      </w:r>
      <w:r w:rsidR="00282C7C" w:rsidRPr="002858A9">
        <w:rPr>
          <w:rFonts w:ascii="Bookman Old Style" w:hAnsi="Bookman Old Style" w:cs="Arial"/>
          <w:bCs w:val="0"/>
          <w:color w:val="000000" w:themeColor="text1"/>
          <w:lang w:val="es-CO"/>
        </w:rPr>
        <w:t xml:space="preserve"> las modalidades contractuales CF95, opción de compra de gas OCG y </w:t>
      </w:r>
      <w:r w:rsidR="00CB553E" w:rsidRPr="002858A9">
        <w:rPr>
          <w:rFonts w:ascii="Bookman Old Style" w:hAnsi="Bookman Old Style" w:cs="Arial"/>
          <w:bCs w:val="0"/>
          <w:color w:val="000000" w:themeColor="text1"/>
          <w:lang w:val="es-CO"/>
        </w:rPr>
        <w:t>firmeza condicionada CFC</w:t>
      </w:r>
      <w:r w:rsidRPr="002858A9">
        <w:rPr>
          <w:rFonts w:ascii="Bookman Old Style" w:hAnsi="Bookman Old Style" w:cs="Arial"/>
          <w:b w:val="0"/>
          <w:color w:val="000000" w:themeColor="text1"/>
          <w:lang w:val="es-CO"/>
        </w:rPr>
        <w:t>. Para estos efectos le deberá presentar al a</w:t>
      </w:r>
      <w:r w:rsidRPr="00483BFD">
        <w:rPr>
          <w:rFonts w:ascii="Bookman Old Style" w:hAnsi="Bookman Old Style" w:cs="Arial"/>
          <w:b w:val="0"/>
          <w:color w:val="000000" w:themeColor="text1"/>
          <w:lang w:val="es-CO"/>
        </w:rPr>
        <w:t>dministrador de la subasta la información señalada en la</w:t>
      </w:r>
      <w:r w:rsidR="00C6332A">
        <w:rPr>
          <w:rFonts w:ascii="Bookman Old Style" w:hAnsi="Bookman Old Style" w:cs="Arial"/>
          <w:b w:val="0"/>
          <w:color w:val="000000" w:themeColor="text1"/>
          <w:lang w:val="es-CO"/>
        </w:rPr>
        <w:t xml:space="preserve"> tabla 1</w:t>
      </w:r>
      <w:r w:rsidRPr="00483BFD">
        <w:rPr>
          <w:rFonts w:ascii="Bookman Old Style" w:hAnsi="Bookman Old Style" w:cs="Arial"/>
          <w:b w:val="0"/>
          <w:color w:val="000000" w:themeColor="text1"/>
          <w:lang w:val="es-CO"/>
        </w:rPr>
        <w:t xml:space="preserve">, a través del medio y del formato que aquel defina. Esta declaración deberá estar acompañada de los mecanismos de cubrimiento y de los formatos diligenciados de que tratan los numerales </w:t>
      </w:r>
      <w:r w:rsidRPr="00483BFD">
        <w:rPr>
          <w:rFonts w:ascii="Bookman Old Style" w:hAnsi="Bookman Old Style" w:cs="Arial"/>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_Ref337203593 \r \h  \* MERGEFORMAT </w:instrText>
      </w:r>
      <w:r w:rsidRPr="00483BFD">
        <w:rPr>
          <w:rFonts w:ascii="Bookman Old Style" w:hAnsi="Bookman Old Style" w:cs="Arial"/>
          <w:b w:val="0"/>
          <w:color w:val="000000" w:themeColor="text1"/>
          <w:lang w:val="es-CO"/>
        </w:rPr>
      </w:r>
      <w:r w:rsidRPr="00483BFD">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5.13.1</w:t>
      </w:r>
      <w:r w:rsidRPr="00483BFD">
        <w:rPr>
          <w:rFonts w:ascii="Bookman Old Style" w:hAnsi="Bookman Old Style" w:cs="Arial"/>
          <w:b w:val="0"/>
          <w:color w:val="000000" w:themeColor="text1"/>
          <w:lang w:val="es-CO"/>
        </w:rPr>
        <w:fldChar w:fldCharType="end"/>
      </w:r>
      <w:r w:rsidRPr="00483BFD">
        <w:rPr>
          <w:rFonts w:ascii="Bookman Old Style" w:hAnsi="Bookman Old Style" w:cs="Arial"/>
          <w:b w:val="0"/>
          <w:color w:val="000000" w:themeColor="text1"/>
          <w:lang w:val="es-CO"/>
        </w:rPr>
        <w:t xml:space="preserve"> y </w:t>
      </w:r>
      <w:r w:rsidRPr="00483BFD">
        <w:rPr>
          <w:rFonts w:ascii="Bookman Old Style" w:hAnsi="Bookman Old Style"/>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_Ref359854719 \n \h </w:instrText>
      </w:r>
      <w:r w:rsidRPr="00483BFD">
        <w:rPr>
          <w:rFonts w:ascii="Bookman Old Style" w:hAnsi="Bookman Old Style"/>
          <w:b w:val="0"/>
          <w:color w:val="000000" w:themeColor="text1"/>
          <w:lang w:val="es-CO"/>
        </w:rPr>
        <w:instrText xml:space="preserve"> \* MERGEFORMAT </w:instrText>
      </w:r>
      <w:r w:rsidRPr="00483BFD">
        <w:rPr>
          <w:rFonts w:ascii="Bookman Old Style" w:hAnsi="Bookman Old Style"/>
          <w:b w:val="0"/>
          <w:color w:val="000000" w:themeColor="text1"/>
          <w:lang w:val="es-CO"/>
        </w:rPr>
      </w:r>
      <w:r w:rsidRPr="00483BFD">
        <w:rPr>
          <w:rFonts w:ascii="Bookman Old Style" w:hAnsi="Bookman Old Style"/>
          <w:b w:val="0"/>
          <w:color w:val="000000" w:themeColor="text1"/>
          <w:lang w:val="es-CO"/>
        </w:rPr>
        <w:fldChar w:fldCharType="separate"/>
      </w:r>
      <w:r w:rsidR="00636B6A">
        <w:rPr>
          <w:rFonts w:ascii="Bookman Old Style" w:hAnsi="Bookman Old Style" w:cs="Arial"/>
          <w:b w:val="0"/>
          <w:color w:val="000000" w:themeColor="text1"/>
          <w:lang w:val="es-CO"/>
        </w:rPr>
        <w:t>5.13.3</w:t>
      </w:r>
      <w:r w:rsidRPr="00483BFD">
        <w:rPr>
          <w:rFonts w:ascii="Bookman Old Style" w:hAnsi="Bookman Old Style"/>
          <w:b w:val="0"/>
          <w:color w:val="000000" w:themeColor="text1"/>
          <w:lang w:val="es-CO"/>
        </w:rPr>
        <w:fldChar w:fldCharType="end"/>
      </w:r>
      <w:r w:rsidRPr="00483BFD">
        <w:rPr>
          <w:rFonts w:ascii="Bookman Old Style" w:hAnsi="Bookman Old Style" w:cs="Arial"/>
          <w:b w:val="0"/>
          <w:color w:val="000000" w:themeColor="text1"/>
          <w:lang w:val="es-CO"/>
        </w:rPr>
        <w:t xml:space="preserve"> </w:t>
      </w:r>
      <w:r w:rsidRPr="00483BFD">
        <w:rPr>
          <w:rFonts w:ascii="Bookman Old Style" w:hAnsi="Bookman Old Style"/>
          <w:b w:val="0"/>
          <w:color w:val="000000" w:themeColor="text1"/>
        </w:rPr>
        <w:t>de este Anexo</w:t>
      </w:r>
      <w:r w:rsidRPr="00483BFD">
        <w:rPr>
          <w:rFonts w:ascii="Bookman Old Style" w:hAnsi="Bookman Old Style"/>
          <w:b w:val="0"/>
          <w:color w:val="000000" w:themeColor="text1"/>
          <w:lang w:val="es-CO"/>
        </w:rPr>
        <w:t>.</w:t>
      </w:r>
    </w:p>
    <w:p w14:paraId="48A88310"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CO"/>
        </w:rPr>
      </w:pPr>
    </w:p>
    <w:p w14:paraId="03B8D887" w14:textId="77A39BB6" w:rsidR="005C0F94" w:rsidRPr="00483BFD" w:rsidRDefault="005C0F94" w:rsidP="005C0F94">
      <w:pPr>
        <w:pStyle w:val="Textoindependiente"/>
        <w:ind w:left="0"/>
        <w:jc w:val="both"/>
        <w:rPr>
          <w:rFonts w:ascii="Bookman Old Style" w:hAnsi="Bookman Old Style" w:cs="Arial"/>
          <w:b w:val="0"/>
          <w:color w:val="000000" w:themeColor="text1"/>
          <w:lang w:val="es-ES"/>
        </w:rPr>
      </w:pPr>
      <w:r w:rsidRPr="00483BFD">
        <w:rPr>
          <w:rFonts w:ascii="Bookman Old Style" w:hAnsi="Bookman Old Style"/>
          <w:b w:val="0"/>
          <w:color w:val="000000" w:themeColor="text1"/>
          <w:lang w:val="es-CO"/>
        </w:rPr>
        <w:t xml:space="preserve">El administrador de la subasta deberá verificar que los mecanismos de </w:t>
      </w:r>
      <w:r w:rsidRPr="00483BFD">
        <w:rPr>
          <w:rFonts w:ascii="Bookman Old Style" w:hAnsi="Bookman Old Style" w:cs="Arial"/>
          <w:b w:val="0"/>
          <w:color w:val="000000" w:themeColor="text1"/>
          <w:lang w:val="es-CO"/>
        </w:rPr>
        <w:t xml:space="preserve">cubrimiento entregados por cada vendedor se ajusten a lo dispuesto en el </w:t>
      </w:r>
      <w:r w:rsidRPr="00483BFD">
        <w:rPr>
          <w:rFonts w:ascii="Bookman Old Style" w:hAnsi="Bookman Old Style" w:cs="Arial"/>
          <w:b w:val="0"/>
          <w:color w:val="000000" w:themeColor="text1"/>
        </w:rPr>
        <w:t>numeral</w:t>
      </w:r>
      <w:r w:rsidRPr="00483BFD">
        <w:rPr>
          <w:rFonts w:ascii="Bookman Old Style" w:hAnsi="Bookman Old Style" w:cs="Arial"/>
          <w:b w:val="0"/>
          <w:color w:val="000000" w:themeColor="text1"/>
          <w:lang w:val="es-CO"/>
        </w:rPr>
        <w:t xml:space="preserve"> </w:t>
      </w:r>
      <w:r w:rsidRPr="00483BFD">
        <w:rPr>
          <w:rFonts w:ascii="Bookman Old Style" w:hAnsi="Bookman Old Style" w:cs="Arial"/>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_Ref337203593 \r \h  \* MERGEFORMAT </w:instrText>
      </w:r>
      <w:r w:rsidRPr="00483BFD">
        <w:rPr>
          <w:rFonts w:ascii="Bookman Old Style" w:hAnsi="Bookman Old Style" w:cs="Arial"/>
          <w:b w:val="0"/>
          <w:color w:val="000000" w:themeColor="text1"/>
          <w:lang w:val="es-CO"/>
        </w:rPr>
      </w:r>
      <w:r w:rsidRPr="00483BFD">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5.13.1</w:t>
      </w:r>
      <w:r w:rsidRPr="00483BFD">
        <w:rPr>
          <w:rFonts w:ascii="Bookman Old Style" w:hAnsi="Bookman Old Style" w:cs="Arial"/>
          <w:b w:val="0"/>
          <w:color w:val="000000" w:themeColor="text1"/>
          <w:lang w:val="es-CO"/>
        </w:rPr>
        <w:fldChar w:fldCharType="end"/>
      </w:r>
      <w:r w:rsidRPr="00483BFD">
        <w:rPr>
          <w:rFonts w:ascii="Bookman Old Style" w:hAnsi="Bookman Old Style" w:cs="Arial"/>
          <w:b w:val="0"/>
          <w:color w:val="000000" w:themeColor="text1"/>
          <w:lang w:val="es-CO"/>
        </w:rPr>
        <w:t xml:space="preserve"> de este Anexo y </w:t>
      </w:r>
      <w:r w:rsidRPr="00483BFD">
        <w:rPr>
          <w:rFonts w:ascii="Bookman Old Style" w:hAnsi="Bookman Old Style"/>
          <w:b w:val="0"/>
          <w:color w:val="000000" w:themeColor="text1"/>
          <w:lang w:val="es-CO"/>
        </w:rPr>
        <w:t xml:space="preserve">que el vendedor no se encuentre en las listas o reportes asociados con actividades ilícitas de que trata el </w:t>
      </w:r>
      <w:r w:rsidRPr="00483BFD">
        <w:rPr>
          <w:rFonts w:ascii="Bookman Old Style" w:hAnsi="Bookman Old Style" w:cs="Arial"/>
          <w:b w:val="0"/>
          <w:color w:val="000000" w:themeColor="text1"/>
        </w:rPr>
        <w:t>numeral</w:t>
      </w:r>
      <w:r w:rsidRPr="00483BFD">
        <w:rPr>
          <w:rFonts w:ascii="Bookman Old Style" w:hAnsi="Bookman Old Style"/>
          <w:b w:val="0"/>
          <w:color w:val="000000" w:themeColor="text1"/>
          <w:lang w:val="es-CO"/>
        </w:rPr>
        <w:t xml:space="preserve"> </w:t>
      </w:r>
      <w:r w:rsidRPr="00483BFD">
        <w:rPr>
          <w:rFonts w:ascii="Bookman Old Style" w:hAnsi="Bookman Old Style"/>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_Ref359854719 \n \h </w:instrText>
      </w:r>
      <w:r w:rsidRPr="00483BFD">
        <w:rPr>
          <w:rFonts w:ascii="Bookman Old Style" w:hAnsi="Bookman Old Style"/>
          <w:b w:val="0"/>
          <w:color w:val="000000" w:themeColor="text1"/>
          <w:lang w:val="es-CO"/>
        </w:rPr>
        <w:instrText xml:space="preserve"> \* MERGEFORMAT </w:instrText>
      </w:r>
      <w:r w:rsidRPr="00483BFD">
        <w:rPr>
          <w:rFonts w:ascii="Bookman Old Style" w:hAnsi="Bookman Old Style"/>
          <w:b w:val="0"/>
          <w:color w:val="000000" w:themeColor="text1"/>
          <w:lang w:val="es-CO"/>
        </w:rPr>
      </w:r>
      <w:r w:rsidRPr="00483BFD">
        <w:rPr>
          <w:rFonts w:ascii="Bookman Old Style" w:hAnsi="Bookman Old Style"/>
          <w:b w:val="0"/>
          <w:color w:val="000000" w:themeColor="text1"/>
          <w:lang w:val="es-CO"/>
        </w:rPr>
        <w:fldChar w:fldCharType="separate"/>
      </w:r>
      <w:r w:rsidR="00636B6A">
        <w:rPr>
          <w:rFonts w:ascii="Bookman Old Style" w:hAnsi="Bookman Old Style" w:cs="Arial"/>
          <w:b w:val="0"/>
          <w:color w:val="000000" w:themeColor="text1"/>
          <w:lang w:val="es-CO"/>
        </w:rPr>
        <w:t>5.13.3</w:t>
      </w:r>
      <w:r w:rsidRPr="00483BFD">
        <w:rPr>
          <w:rFonts w:ascii="Bookman Old Style" w:hAnsi="Bookman Old Style"/>
          <w:b w:val="0"/>
          <w:color w:val="000000" w:themeColor="text1"/>
          <w:lang w:val="es-CO"/>
        </w:rPr>
        <w:fldChar w:fldCharType="end"/>
      </w:r>
      <w:r w:rsidRPr="00483BFD">
        <w:rPr>
          <w:rFonts w:ascii="Bookman Old Style" w:hAnsi="Bookman Old Style" w:cs="Arial"/>
          <w:b w:val="0"/>
          <w:color w:val="000000" w:themeColor="text1"/>
          <w:lang w:val="es-CO"/>
        </w:rPr>
        <w:t xml:space="preserve"> de este Anexo</w:t>
      </w:r>
      <w:r w:rsidRPr="00483BFD">
        <w:rPr>
          <w:rFonts w:ascii="Bookman Old Style" w:hAnsi="Bookman Old Style"/>
          <w:b w:val="0"/>
          <w:color w:val="000000" w:themeColor="text1"/>
          <w:lang w:val="es-CO"/>
        </w:rPr>
        <w:t xml:space="preserve">. Si se cumplen estos requisitos, el administrador de la subasta entenderá que es un vendedor habilitado para participar en la subasta y lo incluirá en el documento de que trata el literal </w:t>
      </w:r>
      <w:r w:rsidRPr="00483BFD">
        <w:rPr>
          <w:rFonts w:ascii="Bookman Old Style" w:hAnsi="Bookman Old Style"/>
          <w:b w:val="0"/>
          <w:color w:val="000000" w:themeColor="text1"/>
          <w:lang w:val="es-CO"/>
        </w:rPr>
        <w:fldChar w:fldCharType="begin"/>
      </w:r>
      <w:r w:rsidRPr="00483BFD">
        <w:rPr>
          <w:rFonts w:ascii="Bookman Old Style" w:hAnsi="Bookman Old Style"/>
          <w:b w:val="0"/>
          <w:color w:val="000000" w:themeColor="text1"/>
          <w:lang w:val="es-CO"/>
        </w:rPr>
        <w:instrText xml:space="preserve"> REF _Ref363553255 \r \h  \* MERGEFORMAT </w:instrText>
      </w:r>
      <w:r w:rsidRPr="00483BFD">
        <w:rPr>
          <w:rFonts w:ascii="Bookman Old Style" w:hAnsi="Bookman Old Style"/>
          <w:b w:val="0"/>
          <w:color w:val="000000" w:themeColor="text1"/>
          <w:lang w:val="es-CO"/>
        </w:rPr>
      </w:r>
      <w:r w:rsidRPr="00483BFD">
        <w:rPr>
          <w:rFonts w:ascii="Bookman Old Style" w:hAnsi="Bookman Old Style"/>
          <w:b w:val="0"/>
          <w:color w:val="000000" w:themeColor="text1"/>
          <w:lang w:val="es-CO"/>
        </w:rPr>
        <w:fldChar w:fldCharType="separate"/>
      </w:r>
      <w:r w:rsidR="00636B6A">
        <w:rPr>
          <w:rFonts w:ascii="Bookman Old Style" w:hAnsi="Bookman Old Style"/>
          <w:b w:val="0"/>
          <w:color w:val="000000" w:themeColor="text1"/>
          <w:lang w:val="es-CO"/>
        </w:rPr>
        <w:t>k)</w:t>
      </w:r>
      <w:r w:rsidRPr="00483BFD">
        <w:rPr>
          <w:rFonts w:ascii="Bookman Old Style" w:hAnsi="Bookman Old Style"/>
          <w:b w:val="0"/>
          <w:color w:val="000000" w:themeColor="text1"/>
          <w:lang w:val="es-CO"/>
        </w:rPr>
        <w:fldChar w:fldCharType="end"/>
      </w:r>
      <w:r w:rsidRPr="00483BFD">
        <w:rPr>
          <w:rFonts w:ascii="Bookman Old Style" w:hAnsi="Bookman Old Style"/>
          <w:b w:val="0"/>
          <w:color w:val="000000" w:themeColor="text1"/>
          <w:lang w:val="es-CO"/>
        </w:rPr>
        <w:t xml:space="preserve"> </w:t>
      </w:r>
      <w:r w:rsidRPr="00483BFD">
        <w:rPr>
          <w:rFonts w:ascii="Bookman Old Style" w:hAnsi="Bookman Old Style" w:cs="Arial"/>
          <w:b w:val="0"/>
          <w:color w:val="000000" w:themeColor="text1"/>
          <w:lang w:val="es-CO"/>
        </w:rPr>
        <w:t xml:space="preserve">del </w:t>
      </w:r>
      <w:r w:rsidRPr="00483BFD">
        <w:rPr>
          <w:rFonts w:ascii="Bookman Old Style" w:hAnsi="Bookman Old Style"/>
          <w:b w:val="0"/>
          <w:color w:val="000000" w:themeColor="text1"/>
          <w:lang w:val="es-CO"/>
        </w:rPr>
        <w:t>numeral</w:t>
      </w:r>
      <w:r w:rsidRPr="00483BFD">
        <w:rPr>
          <w:rFonts w:ascii="Bookman Old Style" w:hAnsi="Bookman Old Style" w:cs="Arial"/>
          <w:b w:val="0"/>
          <w:color w:val="000000" w:themeColor="text1"/>
          <w:lang w:val="es-CO"/>
        </w:rPr>
        <w:t xml:space="preserve"> </w:t>
      </w:r>
      <w:r w:rsidRPr="00483BFD">
        <w:rPr>
          <w:rFonts w:ascii="Bookman Old Style" w:hAnsi="Bookman Old Style" w:cs="Arial"/>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_Ref363553086 \r \h  \* MERGEFORMAT </w:instrText>
      </w:r>
      <w:r w:rsidRPr="00483BFD">
        <w:rPr>
          <w:rFonts w:ascii="Bookman Old Style" w:hAnsi="Bookman Old Style" w:cs="Arial"/>
          <w:b w:val="0"/>
          <w:color w:val="000000" w:themeColor="text1"/>
          <w:lang w:val="es-CO"/>
        </w:rPr>
      </w:r>
      <w:r w:rsidRPr="00483BFD">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4.1</w:t>
      </w:r>
      <w:r w:rsidRPr="00483BFD">
        <w:rPr>
          <w:rFonts w:ascii="Bookman Old Style" w:hAnsi="Bookman Old Style" w:cs="Arial"/>
          <w:b w:val="0"/>
          <w:color w:val="000000" w:themeColor="text1"/>
          <w:lang w:val="es-CO"/>
        </w:rPr>
        <w:fldChar w:fldCharType="end"/>
      </w:r>
      <w:r w:rsidRPr="00483BFD">
        <w:rPr>
          <w:rFonts w:ascii="Bookman Old Style" w:hAnsi="Bookman Old Style" w:cs="Arial"/>
          <w:b w:val="0"/>
          <w:color w:val="000000" w:themeColor="text1"/>
          <w:lang w:val="es-CO"/>
        </w:rPr>
        <w:t xml:space="preserve"> de este Anexo</w:t>
      </w:r>
      <w:r w:rsidRPr="00483BFD">
        <w:rPr>
          <w:rFonts w:ascii="Bookman Old Style" w:hAnsi="Bookman Old Style"/>
          <w:b w:val="0"/>
          <w:color w:val="000000" w:themeColor="text1"/>
        </w:rPr>
        <w:t>.</w:t>
      </w:r>
    </w:p>
    <w:p w14:paraId="6557731B"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CO"/>
        </w:rPr>
      </w:pPr>
    </w:p>
    <w:p w14:paraId="7EADC642" w14:textId="41F553E6" w:rsidR="005C0F94" w:rsidRPr="00483BFD" w:rsidRDefault="005C0F94" w:rsidP="005C0F94">
      <w:pPr>
        <w:pStyle w:val="Descripcin"/>
        <w:keepNext/>
        <w:spacing w:before="0" w:after="0" w:line="240" w:lineRule="auto"/>
        <w:rPr>
          <w:rFonts w:ascii="Bookman Old Style" w:hAnsi="Bookman Old Style"/>
          <w:b/>
          <w:color w:val="000000" w:themeColor="text1"/>
          <w:sz w:val="24"/>
          <w:szCs w:val="24"/>
          <w:lang w:val="es-CO"/>
        </w:rPr>
      </w:pPr>
      <w:bookmarkStart w:id="187" w:name="_Ref335753385"/>
      <w:r w:rsidRPr="00483BFD">
        <w:rPr>
          <w:rFonts w:ascii="Bookman Old Style" w:hAnsi="Bookman Old Style"/>
          <w:b/>
          <w:color w:val="000000" w:themeColor="text1"/>
          <w:sz w:val="24"/>
          <w:szCs w:val="24"/>
          <w:lang w:val="es-CO"/>
        </w:rPr>
        <w:t xml:space="preserve">Tabla </w:t>
      </w:r>
      <w:r w:rsidR="00CB553E">
        <w:rPr>
          <w:rFonts w:ascii="Bookman Old Style" w:hAnsi="Bookman Old Style"/>
          <w:b/>
          <w:color w:val="000000" w:themeColor="text1"/>
          <w:sz w:val="24"/>
          <w:szCs w:val="24"/>
          <w:lang w:val="es-CO"/>
        </w:rPr>
        <w:t>1</w:t>
      </w:r>
      <w:bookmarkEnd w:id="187"/>
      <w:r w:rsidRPr="00483BFD">
        <w:rPr>
          <w:rFonts w:ascii="Bookman Old Style" w:hAnsi="Bookman Old Style"/>
          <w:b/>
          <w:color w:val="000000" w:themeColor="text1"/>
          <w:sz w:val="24"/>
          <w:szCs w:val="24"/>
          <w:lang w:val="es-CO"/>
        </w:rPr>
        <w:t>. Oferta de gas natural</w:t>
      </w:r>
    </w:p>
    <w:p w14:paraId="6B9BDA45"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CO"/>
        </w:rPr>
      </w:pPr>
    </w:p>
    <w:tbl>
      <w:tblPr>
        <w:tblStyle w:val="Tablaconcuadrcula"/>
        <w:tblW w:w="0" w:type="auto"/>
        <w:jc w:val="center"/>
        <w:tblLook w:val="04A0" w:firstRow="1" w:lastRow="0" w:firstColumn="1" w:lastColumn="0" w:noHBand="0" w:noVBand="1"/>
      </w:tblPr>
      <w:tblGrid>
        <w:gridCol w:w="2552"/>
        <w:gridCol w:w="2552"/>
      </w:tblGrid>
      <w:tr w:rsidR="00CB553E" w:rsidRPr="00483BFD" w14:paraId="1648FE33" w14:textId="77777777">
        <w:trPr>
          <w:jc w:val="center"/>
        </w:trPr>
        <w:tc>
          <w:tcPr>
            <w:tcW w:w="2552" w:type="dxa"/>
            <w:vAlign w:val="center"/>
          </w:tcPr>
          <w:p w14:paraId="5511727D" w14:textId="77777777" w:rsidR="00CB553E" w:rsidRPr="00483BFD" w:rsidRDefault="00CB553E">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Producto</w:t>
            </w:r>
          </w:p>
        </w:tc>
        <w:tc>
          <w:tcPr>
            <w:tcW w:w="2552" w:type="dxa"/>
            <w:vAlign w:val="center"/>
          </w:tcPr>
          <w:p w14:paraId="19621522" w14:textId="77777777" w:rsidR="00CB553E" w:rsidRPr="00483BFD" w:rsidRDefault="00CB553E">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Cantidad (MBTUD)</w:t>
            </w:r>
          </w:p>
        </w:tc>
      </w:tr>
      <w:tr w:rsidR="00CB553E" w:rsidRPr="00851155" w14:paraId="45B42299" w14:textId="77777777">
        <w:trPr>
          <w:jc w:val="center"/>
        </w:trPr>
        <w:tc>
          <w:tcPr>
            <w:tcW w:w="2552" w:type="dxa"/>
            <w:vAlign w:val="center"/>
          </w:tcPr>
          <w:p w14:paraId="094CB310" w14:textId="77777777" w:rsidR="00CB553E" w:rsidRPr="00851155" w:rsidRDefault="00FB7B28">
            <w:pPr>
              <w:pStyle w:val="Textoindependiente"/>
              <w:ind w:left="0"/>
              <w:rPr>
                <w:rFonts w:ascii="Bookman Old Style" w:hAnsi="Bookman Old Style" w:cs="Arial"/>
                <w:b w:val="0"/>
                <w:i/>
                <w:color w:val="000000" w:themeColor="text1"/>
                <w:lang w:val="es-CO"/>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oMath>
            </m:oMathPara>
          </w:p>
        </w:tc>
        <w:tc>
          <w:tcPr>
            <w:tcW w:w="2552" w:type="dxa"/>
            <w:vAlign w:val="center"/>
          </w:tcPr>
          <w:p w14:paraId="5E7E19B1" w14:textId="77777777" w:rsidR="00CB553E" w:rsidRPr="00851155" w:rsidRDefault="00FB7B28">
            <w:pPr>
              <w:pStyle w:val="Textoindependiente"/>
              <w:ind w:left="0"/>
              <w:rPr>
                <w:rFonts w:ascii="Bookman Old Style" w:hAnsi="Bookman Old Style" w:cs="Arial"/>
                <w:b w:val="0"/>
                <w:color w:val="000000" w:themeColor="text1"/>
                <w:lang w:val="es-CO"/>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f,d,s</m:t>
                        </m:r>
                      </m:sub>
                    </m:sSub>
                  </m:sub>
                </m:sSub>
              </m:oMath>
            </m:oMathPara>
          </w:p>
        </w:tc>
      </w:tr>
    </w:tbl>
    <w:p w14:paraId="2AA01B34" w14:textId="77777777" w:rsidR="005C0F94" w:rsidRPr="00851155" w:rsidRDefault="005C0F94" w:rsidP="005C0F94">
      <w:pPr>
        <w:ind w:left="0"/>
        <w:jc w:val="both"/>
        <w:outlineLvl w:val="0"/>
        <w:rPr>
          <w:rFonts w:ascii="Bookman Old Style" w:hAnsi="Bookman Old Style" w:cs="Arial"/>
          <w:color w:val="000000" w:themeColor="text1"/>
          <w:sz w:val="28"/>
        </w:rPr>
      </w:pPr>
    </w:p>
    <w:p w14:paraId="5B4068A4" w14:textId="77777777" w:rsidR="005C0F94" w:rsidRPr="00483BFD" w:rsidRDefault="005C0F94" w:rsidP="005C0F94">
      <w:pPr>
        <w:ind w:left="0"/>
        <w:jc w:val="both"/>
        <w:outlineLvl w:val="0"/>
        <w:rPr>
          <w:rFonts w:ascii="Bookman Old Style" w:hAnsi="Bookman Old Style" w:cs="Arial"/>
          <w:color w:val="000000" w:themeColor="text1"/>
        </w:rPr>
      </w:pPr>
      <w:r w:rsidRPr="00483BFD">
        <w:rPr>
          <w:rFonts w:ascii="Bookman Old Style" w:hAnsi="Bookman Old Style" w:cs="Arial"/>
          <w:color w:val="000000" w:themeColor="text1"/>
        </w:rPr>
        <w:t>Donde:</w:t>
      </w:r>
    </w:p>
    <w:p w14:paraId="50FB31BF" w14:textId="77777777" w:rsidR="005C0F94" w:rsidRPr="00851155" w:rsidRDefault="005C0F94" w:rsidP="005C0F94">
      <w:pPr>
        <w:ind w:left="0"/>
        <w:jc w:val="both"/>
        <w:outlineLvl w:val="0"/>
        <w:rPr>
          <w:rFonts w:ascii="Bookman Old Style" w:hAnsi="Bookman Old Style" w:cs="Arial"/>
          <w:color w:val="000000" w:themeColor="text1"/>
          <w:sz w:val="28"/>
        </w:rPr>
      </w:pPr>
    </w:p>
    <w:p w14:paraId="4FB041E1" w14:textId="77777777" w:rsidR="005C0F94" w:rsidRPr="00483BFD" w:rsidRDefault="00FB7B28" w:rsidP="005C0F94">
      <w:pPr>
        <w:ind w:left="1134" w:hanging="1134"/>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m:t>
                </m:r>
              </m:sub>
            </m:sSub>
          </m:sub>
        </m:sSub>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b/>
          <w:color w:val="000000" w:themeColor="text1"/>
        </w:rPr>
        <w:t xml:space="preserve"> </w:t>
      </w:r>
      <w:r w:rsidR="005C0F94" w:rsidRPr="00483BFD">
        <w:rPr>
          <w:rFonts w:ascii="Bookman Old Style" w:hAnsi="Bookman Old Style" w:cs="Arial"/>
          <w:color w:val="000000" w:themeColor="text1"/>
        </w:rPr>
        <w:t xml:space="preserve">ofrecida en la subasta por parte del vendedor </w:t>
      </w:r>
      <m:oMath>
        <m:r>
          <w:rPr>
            <w:rFonts w:ascii="Cambria Math" w:hAnsi="Cambria Math" w:cs="Arial"/>
            <w:color w:val="000000" w:themeColor="text1"/>
          </w:rPr>
          <m:t>s</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37DC383E" w14:textId="77777777" w:rsidR="005C0F94" w:rsidRPr="00851155" w:rsidRDefault="005C0F94" w:rsidP="005C0F94">
      <w:pPr>
        <w:tabs>
          <w:tab w:val="left" w:pos="1371"/>
        </w:tabs>
        <w:ind w:left="0"/>
        <w:jc w:val="both"/>
        <w:outlineLvl w:val="0"/>
        <w:rPr>
          <w:rFonts w:ascii="Bookman Old Style" w:hAnsi="Bookman Old Style" w:cs="Arial"/>
          <w:color w:val="000000" w:themeColor="text1"/>
          <w:sz w:val="28"/>
        </w:rPr>
      </w:pPr>
      <w:r w:rsidRPr="00851155">
        <w:rPr>
          <w:rFonts w:ascii="Bookman Old Style" w:hAnsi="Bookman Old Style" w:cs="Arial"/>
          <w:color w:val="000000" w:themeColor="text1"/>
          <w:sz w:val="28"/>
        </w:rPr>
        <w:tab/>
      </w:r>
    </w:p>
    <w:p w14:paraId="7E8A5AE5" w14:textId="6CF07B76" w:rsidR="005C0F94" w:rsidRPr="00851155" w:rsidRDefault="005C0F94" w:rsidP="005C0F94">
      <w:pPr>
        <w:pStyle w:val="Textoindependiente"/>
        <w:ind w:left="0"/>
        <w:jc w:val="both"/>
        <w:rPr>
          <w:rFonts w:ascii="Bookman Old Style" w:hAnsi="Bookman Old Style" w:cs="Arial"/>
          <w:b w:val="0"/>
          <w:bCs w:val="0"/>
          <w:color w:val="000000" w:themeColor="text1"/>
          <w:lang w:val="es-CO"/>
        </w:rPr>
      </w:pPr>
      <w:r w:rsidRPr="00295053">
        <w:rPr>
          <w:rFonts w:ascii="Bookman Old Style" w:hAnsi="Bookman Old Style" w:cs="Arial"/>
          <w:b w:val="0"/>
          <w:bCs w:val="0"/>
          <w:color w:val="000000" w:themeColor="text1"/>
          <w:lang w:val="es-CO"/>
        </w:rPr>
        <w:t xml:space="preserve">En el caso de los contratos </w:t>
      </w:r>
      <m:oMath>
        <m:r>
          <m:rPr>
            <m:sty m:val="bi"/>
          </m:rPr>
          <w:rPr>
            <w:rFonts w:ascii="Cambria Math" w:hAnsi="Cambria Math" w:cs="Arial"/>
            <w:color w:val="000000" w:themeColor="text1"/>
          </w:rPr>
          <m:t>OCG</m:t>
        </m:r>
      </m:oMath>
      <w:r w:rsidRPr="00295053">
        <w:rPr>
          <w:rFonts w:ascii="Bookman Old Style" w:hAnsi="Bookman Old Style" w:cs="Arial"/>
          <w:b w:val="0"/>
          <w:bCs w:val="0"/>
          <w:color w:val="000000" w:themeColor="text1"/>
          <w:lang w:val="es-CO"/>
        </w:rPr>
        <w:t xml:space="preserve"> </w:t>
      </w:r>
      <w:r w:rsidRPr="00295053">
        <w:rPr>
          <w:rFonts w:ascii="Bookman Old Style" w:hAnsi="Bookman Old Style" w:cs="Arial"/>
          <w:b w:val="0"/>
          <w:bCs w:val="0"/>
          <w:color w:val="000000" w:themeColor="text1"/>
        </w:rPr>
        <w:t xml:space="preserve">la </w:t>
      </w:r>
      <w:r w:rsidRPr="00295053">
        <w:rPr>
          <w:rFonts w:ascii="Bookman Old Style" w:hAnsi="Bookman Old Style" w:cs="Arial"/>
          <w:b w:val="0"/>
          <w:bCs w:val="0"/>
          <w:color w:val="000000" w:themeColor="text1"/>
          <w:lang w:val="es-CO"/>
        </w:rPr>
        <w:t xml:space="preserve">prima corresponderá a </w:t>
      </w:r>
      <w:r w:rsidR="00CF1486" w:rsidRPr="00295053">
        <w:rPr>
          <w:rFonts w:ascii="Bookman Old Style" w:hAnsi="Bookman Old Style" w:cs="Arial"/>
          <w:color w:val="000000" w:themeColor="text1"/>
          <w:lang w:val="es-CO"/>
        </w:rPr>
        <w:t>cero coma sesenta y cinco (</w:t>
      </w:r>
      <w:r w:rsidRPr="00295053">
        <w:rPr>
          <w:rFonts w:ascii="Bookman Old Style" w:hAnsi="Bookman Old Style" w:cs="Arial"/>
          <w:color w:val="000000" w:themeColor="text1"/>
          <w:lang w:val="es-CO"/>
        </w:rPr>
        <w:t>0,</w:t>
      </w:r>
      <w:r w:rsidR="002B53AD" w:rsidRPr="00295053">
        <w:rPr>
          <w:rFonts w:ascii="Bookman Old Style" w:hAnsi="Bookman Old Style" w:cs="Arial"/>
          <w:color w:val="000000" w:themeColor="text1"/>
          <w:lang w:val="es-CO"/>
        </w:rPr>
        <w:t>65</w:t>
      </w:r>
      <w:r w:rsidR="00CF1486">
        <w:rPr>
          <w:rFonts w:ascii="Bookman Old Style" w:hAnsi="Bookman Old Style" w:cs="Arial"/>
          <w:color w:val="000000" w:themeColor="text1"/>
          <w:lang w:val="es-CO"/>
        </w:rPr>
        <w:t>)</w:t>
      </w:r>
      <w:r w:rsidRPr="00295053">
        <w:rPr>
          <w:rFonts w:ascii="Bookman Old Style" w:hAnsi="Bookman Old Style" w:cs="Arial"/>
          <w:color w:val="000000" w:themeColor="text1"/>
          <w:lang w:val="es-CO"/>
        </w:rPr>
        <w:t xml:space="preserve"> dólares</w:t>
      </w:r>
      <w:r w:rsidRPr="00295053">
        <w:rPr>
          <w:rFonts w:ascii="Bookman Old Style" w:hAnsi="Bookman Old Style" w:cs="Arial"/>
          <w:b w:val="0"/>
          <w:bCs w:val="0"/>
          <w:color w:val="000000" w:themeColor="text1"/>
          <w:lang w:val="es-CO"/>
        </w:rPr>
        <w:t xml:space="preserve"> de los Estados Unidos de América por MBTU.</w:t>
      </w:r>
      <w:r w:rsidRPr="6D6D9AB5">
        <w:rPr>
          <w:rFonts w:ascii="Bookman Old Style" w:hAnsi="Bookman Old Style" w:cs="Arial"/>
          <w:b w:val="0"/>
          <w:bCs w:val="0"/>
          <w:color w:val="000000" w:themeColor="text1"/>
          <w:lang w:val="es-CO"/>
        </w:rPr>
        <w:t xml:space="preserve"> Así, la variable </w:t>
      </w:r>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PR</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OCG</m:t>
                </m:r>
              </m:e>
              <m:sub>
                <m:r>
                  <m:rPr>
                    <m:sty m:val="bi"/>
                  </m:rPr>
                  <w:rPr>
                    <w:rFonts w:ascii="Cambria Math" w:hAnsi="Cambria Math" w:cs="Arial"/>
                    <w:color w:val="000000" w:themeColor="text1"/>
                  </w:rPr>
                  <m:t>f,d,s</m:t>
                </m:r>
              </m:sub>
            </m:sSub>
          </m:sub>
        </m:sSub>
      </m:oMath>
      <w:r w:rsidRPr="6D6D9AB5">
        <w:rPr>
          <w:rFonts w:ascii="Bookman Old Style" w:hAnsi="Bookman Old Style" w:cs="Arial"/>
          <w:b w:val="0"/>
          <w:bCs w:val="0"/>
          <w:color w:val="000000" w:themeColor="text1"/>
          <w:lang w:val="es-CO"/>
        </w:rPr>
        <w:t xml:space="preserve"> corresponderá a</w:t>
      </w:r>
      <w:r w:rsidRPr="6D6D9AB5">
        <w:rPr>
          <w:rFonts w:ascii="Bookman Old Style" w:hAnsi="Bookman Old Style" w:cs="Arial"/>
          <w:b w:val="0"/>
          <w:bCs w:val="0"/>
          <w:color w:val="000000" w:themeColor="text1"/>
        </w:rPr>
        <w:t xml:space="preserve">l precio de reserva </w:t>
      </w:r>
      <w:r w:rsidRPr="6D6D9AB5">
        <w:rPr>
          <w:rFonts w:ascii="Bookman Old Style" w:hAnsi="Bookman Old Style" w:cs="Arial"/>
          <w:b w:val="0"/>
          <w:bCs w:val="0"/>
          <w:color w:val="000000" w:themeColor="text1"/>
          <w:lang w:val="es-CO"/>
        </w:rPr>
        <w:t xml:space="preserve">del producto correspondiente al contrato </w:t>
      </w:r>
      <m:oMath>
        <m:r>
          <m:rPr>
            <m:sty m:val="bi"/>
          </m:rPr>
          <w:rPr>
            <w:rFonts w:ascii="Cambria Math" w:hAnsi="Cambria Math" w:cs="Arial"/>
            <w:color w:val="000000" w:themeColor="text1"/>
          </w:rPr>
          <m:t>OCG</m:t>
        </m:r>
      </m:oMath>
      <w:r w:rsidRPr="6D6D9AB5">
        <w:rPr>
          <w:rFonts w:ascii="Bookman Old Style" w:hAnsi="Bookman Old Style" w:cs="Arial"/>
          <w:b w:val="0"/>
          <w:bCs w:val="0"/>
          <w:color w:val="000000" w:themeColor="text1"/>
          <w:lang w:val="es-CO"/>
        </w:rPr>
        <w:t xml:space="preserve"> de la fuente </w:t>
      </w:r>
      <m:oMath>
        <m:r>
          <m:rPr>
            <m:sty m:val="bi"/>
          </m:rPr>
          <w:rPr>
            <w:rFonts w:ascii="Cambria Math" w:hAnsi="Cambria Math" w:cs="Arial"/>
            <w:color w:val="000000" w:themeColor="text1"/>
          </w:rPr>
          <m:t>f</m:t>
        </m:r>
      </m:oMath>
      <w:r w:rsidRPr="6D6D9AB5">
        <w:rPr>
          <w:rFonts w:ascii="Bookman Old Style" w:hAnsi="Bookman Old Style" w:cs="Arial"/>
          <w:b w:val="0"/>
          <w:bCs w:val="0"/>
          <w:color w:val="000000" w:themeColor="text1"/>
          <w:lang w:val="es-CO"/>
        </w:rPr>
        <w:t xml:space="preserve">, con duración </w:t>
      </w:r>
      <m:oMath>
        <m:r>
          <m:rPr>
            <m:sty m:val="bi"/>
          </m:rPr>
          <w:rPr>
            <w:rFonts w:ascii="Cambria Math" w:hAnsi="Cambria Math" w:cs="Arial"/>
            <w:color w:val="000000" w:themeColor="text1"/>
          </w:rPr>
          <m:t>d</m:t>
        </m:r>
      </m:oMath>
      <w:r w:rsidRPr="6D6D9AB5">
        <w:rPr>
          <w:rFonts w:ascii="Bookman Old Style" w:hAnsi="Bookman Old Style" w:cs="Arial"/>
          <w:b w:val="0"/>
          <w:bCs w:val="0"/>
          <w:color w:val="000000" w:themeColor="text1"/>
          <w:lang w:val="es-CO"/>
        </w:rPr>
        <w:t xml:space="preserve">, ofrecido por parte del </w:t>
      </w:r>
      <w:r w:rsidRPr="6D6D9AB5">
        <w:rPr>
          <w:rFonts w:ascii="Bookman Old Style" w:hAnsi="Bookman Old Style" w:cs="Arial"/>
          <w:b w:val="0"/>
          <w:bCs w:val="0"/>
          <w:color w:val="000000" w:themeColor="text1"/>
        </w:rPr>
        <w:t xml:space="preserve">vendedor </w:t>
      </w:r>
      <m:oMath>
        <m:r>
          <m:rPr>
            <m:sty m:val="bi"/>
          </m:rPr>
          <w:rPr>
            <w:rFonts w:ascii="Cambria Math" w:hAnsi="Cambria Math" w:cs="Arial"/>
            <w:color w:val="000000" w:themeColor="text1"/>
          </w:rPr>
          <m:t>s</m:t>
        </m:r>
      </m:oMath>
      <w:r w:rsidRPr="6D6D9AB5">
        <w:rPr>
          <w:rFonts w:ascii="Bookman Old Style" w:hAnsi="Bookman Old Style" w:cs="Arial"/>
          <w:b w:val="0"/>
          <w:bCs w:val="0"/>
          <w:color w:val="000000" w:themeColor="text1"/>
          <w:lang w:val="es-CO"/>
        </w:rPr>
        <w:t>.</w:t>
      </w:r>
    </w:p>
    <w:p w14:paraId="1CCDF263"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CO"/>
        </w:rPr>
      </w:pPr>
    </w:p>
    <w:p w14:paraId="23D888B9" w14:textId="69D96AED" w:rsidR="005C0F94" w:rsidRPr="00851155" w:rsidRDefault="005C0F94" w:rsidP="005C0F94">
      <w:pPr>
        <w:pStyle w:val="Textoindependiente"/>
        <w:ind w:left="0"/>
        <w:jc w:val="both"/>
        <w:rPr>
          <w:rFonts w:ascii="Bookman Old Style" w:hAnsi="Bookman Old Style" w:cs="Arial"/>
          <w:b w:val="0"/>
          <w:color w:val="000000" w:themeColor="text1"/>
          <w:lang w:val="es-CO"/>
        </w:rPr>
      </w:pPr>
      <w:r w:rsidRPr="00851155">
        <w:rPr>
          <w:rFonts w:ascii="Bookman Old Style" w:hAnsi="Bookman Old Style" w:cs="Arial"/>
          <w:b w:val="0"/>
          <w:color w:val="000000" w:themeColor="text1"/>
          <w:lang w:val="es-CO"/>
        </w:rPr>
        <w:t xml:space="preserve">La declaración de la oferta de PTDVF o la oferta de CIDVF y la oferta de gas natural </w:t>
      </w:r>
      <w:r w:rsidR="00FD1241" w:rsidRPr="00851155">
        <w:rPr>
          <w:rFonts w:ascii="Bookman Old Style" w:hAnsi="Bookman Old Style" w:cs="Arial"/>
          <w:b w:val="0"/>
          <w:color w:val="000000" w:themeColor="text1"/>
          <w:lang w:val="es-CO"/>
        </w:rPr>
        <w:t xml:space="preserve">deberá ser verificada por el administrador de la subasta </w:t>
      </w:r>
      <w:r w:rsidR="00FD1241">
        <w:rPr>
          <w:rFonts w:ascii="Bookman Old Style" w:hAnsi="Bookman Old Style" w:cs="Arial"/>
          <w:b w:val="0"/>
          <w:color w:val="000000" w:themeColor="text1"/>
          <w:lang w:val="es-CO"/>
        </w:rPr>
        <w:t>para que se cumpla con la siguiente condición</w:t>
      </w:r>
      <w:r w:rsidRPr="00851155">
        <w:rPr>
          <w:rFonts w:ascii="Bookman Old Style" w:hAnsi="Bookman Old Style" w:cs="Arial"/>
          <w:b w:val="0"/>
          <w:color w:val="000000" w:themeColor="text1"/>
          <w:lang w:val="es-CO"/>
        </w:rPr>
        <w:t>:</w:t>
      </w:r>
    </w:p>
    <w:p w14:paraId="7AC60A0B"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ES"/>
        </w:rPr>
      </w:pPr>
    </w:p>
    <w:p w14:paraId="1A7C4A26" w14:textId="08DF40D8" w:rsidR="005C0F94" w:rsidRPr="00851155" w:rsidRDefault="00FB7B28" w:rsidP="005C0F94">
      <w:pPr>
        <w:pStyle w:val="Textoindependiente"/>
        <w:ind w:left="1134"/>
        <w:jc w:val="both"/>
        <w:rPr>
          <w:rFonts w:ascii="Bookman Old Style" w:hAnsi="Bookman Old Style" w:cs="Arial"/>
          <w:b w:val="0"/>
          <w:i/>
          <w:color w:val="000000" w:themeColor="text1"/>
          <w:lang w:val="es-ES"/>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r>
                <m:rPr>
                  <m:sty m:val="bi"/>
                </m:rPr>
                <w:rPr>
                  <w:rFonts w:ascii="Cambria Math" w:hAnsi="Cambria Math" w:cs="Arial"/>
                  <w:color w:val="000000" w:themeColor="text1"/>
                </w:rPr>
                <m:t>f,s,t</m:t>
              </m:r>
            </m:sub>
          </m:sSub>
          <m:r>
            <m:rPr>
              <m:sty m:val="bi"/>
            </m:rPr>
            <w:rPr>
              <w:rFonts w:ascii="Cambria Math" w:hAnsi="Cambria Math" w:cs="Arial"/>
              <w:color w:val="000000" w:themeColor="text1"/>
              <w:lang w:val="es-ES"/>
            </w:rPr>
            <m:t>=</m:t>
          </m:r>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CF</m:t>
                  </m:r>
                  <m:r>
                    <m:rPr>
                      <m:sty m:val="bi"/>
                    </m:rPr>
                    <w:rPr>
                      <w:rFonts w:ascii="Cambria Math" w:hAnsi="Cambria Math" w:cs="Arial"/>
                      <w:color w:val="000000" w:themeColor="text1"/>
                      <w:highlight w:val="green"/>
                    </w:rPr>
                    <m:t>95</m:t>
                  </m:r>
                </m:e>
                <m:sub>
                  <m:r>
                    <m:rPr>
                      <m:sty m:val="bi"/>
                    </m:rPr>
                    <w:rPr>
                      <w:rFonts w:ascii="Cambria Math" w:hAnsi="Cambria Math" w:cs="Arial"/>
                      <w:color w:val="000000" w:themeColor="text1"/>
                    </w:rPr>
                    <m:t>f,s</m:t>
                  </m:r>
                </m:sub>
              </m:sSub>
            </m:sub>
          </m:sSub>
          <m:r>
            <m:rPr>
              <m:sty m:val="bi"/>
            </m:rPr>
            <w:rPr>
              <w:rFonts w:ascii="Cambria Math" w:hAnsi="Cambria Math" w:cs="Arial"/>
              <w:color w:val="000000" w:themeColor="text1"/>
            </w:rPr>
            <m:t xml:space="preserve">+máx </m:t>
          </m:r>
          <m:d>
            <m:dPr>
              <m:begChr m:val="["/>
              <m:endChr m:val="]"/>
              <m:ctrlPr>
                <w:rPr>
                  <w:rFonts w:ascii="Cambria Math" w:hAnsi="Cambria Math" w:cs="Arial"/>
                  <w:b w:val="0"/>
                  <w:i/>
                  <w:color w:val="000000" w:themeColor="text1"/>
                </w:rPr>
              </m:ctrlPr>
            </m:dPr>
            <m:e>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CFC</m:t>
                      </m:r>
                    </m:e>
                    <m:sub>
                      <m:r>
                        <m:rPr>
                          <m:sty m:val="bi"/>
                        </m:rPr>
                        <w:rPr>
                          <w:rFonts w:ascii="Cambria Math" w:hAnsi="Cambria Math" w:cs="Arial"/>
                          <w:color w:val="000000" w:themeColor="text1"/>
                        </w:rPr>
                        <m:t>f,s</m:t>
                      </m:r>
                    </m:sub>
                  </m:sSub>
                </m:sub>
              </m:sSub>
              <m:r>
                <m:rPr>
                  <m:sty m:val="bi"/>
                </m:rPr>
                <w:rPr>
                  <w:rFonts w:ascii="Cambria Math" w:hAnsi="Cambria Math" w:cs="Arial"/>
                  <w:color w:val="000000" w:themeColor="text1"/>
                </w:rPr>
                <m:t>,</m:t>
              </m:r>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OCG</m:t>
                      </m:r>
                    </m:e>
                    <m:sub>
                      <m:r>
                        <m:rPr>
                          <m:sty m:val="bi"/>
                        </m:rPr>
                        <w:rPr>
                          <w:rFonts w:ascii="Cambria Math" w:hAnsi="Cambria Math" w:cs="Arial"/>
                          <w:color w:val="000000" w:themeColor="text1"/>
                        </w:rPr>
                        <m:t>f,s</m:t>
                      </m:r>
                    </m:sub>
                  </m:sSub>
                </m:sub>
              </m:sSub>
            </m:e>
          </m:d>
        </m:oMath>
      </m:oMathPara>
    </w:p>
    <w:p w14:paraId="0E20C308" w14:textId="77777777" w:rsidR="005C0F94" w:rsidRPr="00851155" w:rsidRDefault="005C0F94" w:rsidP="005C0F94">
      <w:pPr>
        <w:pStyle w:val="Textoindependiente"/>
        <w:ind w:left="0"/>
        <w:jc w:val="both"/>
        <w:rPr>
          <w:rFonts w:ascii="Bookman Old Style" w:hAnsi="Bookman Old Style" w:cs="Arial"/>
          <w:b w:val="0"/>
          <w:color w:val="000000" w:themeColor="text1"/>
          <w:sz w:val="28"/>
          <w:lang w:val="es-ES"/>
        </w:rPr>
      </w:pPr>
    </w:p>
    <w:p w14:paraId="19E6B60B" w14:textId="026DD08D" w:rsidR="005C0F94" w:rsidRPr="00483BFD" w:rsidRDefault="005C0F94" w:rsidP="005C0F94">
      <w:pPr>
        <w:pStyle w:val="Textoindependiente"/>
        <w:ind w:left="0"/>
        <w:jc w:val="both"/>
        <w:rPr>
          <w:rFonts w:ascii="Bookman Old Style" w:hAnsi="Bookman Old Style" w:cs="Arial"/>
          <w:b w:val="0"/>
          <w:color w:val="000000" w:themeColor="text1"/>
          <w:lang w:val="es-CO"/>
        </w:rPr>
      </w:pPr>
      <w:r w:rsidRPr="00483BFD">
        <w:rPr>
          <w:rFonts w:ascii="Bookman Old Style" w:hAnsi="Bookman Old Style" w:cs="Arial"/>
          <w:b w:val="0"/>
          <w:color w:val="000000" w:themeColor="text1"/>
          <w:lang w:val="es-CO"/>
        </w:rPr>
        <w:t xml:space="preserve">En el evento en que una oferta no se ajuste a lo aquí dispuesto el administrador de la subasta lo pondrá en conocimiento del vendedor respectivo, el cual dispondrá de </w:t>
      </w:r>
      <w:r w:rsidR="00D1620D">
        <w:rPr>
          <w:rFonts w:ascii="Bookman Old Style" w:hAnsi="Bookman Old Style" w:cs="Arial"/>
          <w:b w:val="0"/>
          <w:color w:val="000000" w:themeColor="text1"/>
          <w:lang w:val="es-CO"/>
        </w:rPr>
        <w:t>un día</w:t>
      </w:r>
      <w:r w:rsidRPr="00483BFD">
        <w:rPr>
          <w:rFonts w:ascii="Bookman Old Style" w:hAnsi="Bookman Old Style" w:cs="Arial"/>
          <w:b w:val="0"/>
          <w:color w:val="000000" w:themeColor="text1"/>
          <w:lang w:val="es-CO"/>
        </w:rPr>
        <w:t>, contadas a partir del momento en que el administrador de la subasta lo haya informado, para la corrección correspondiente. Si cumplido este plazo el administrador de la subasta no recibe la oferta debidamente ajustada, éste entenderá que el vendedor no participará en la subasta.</w:t>
      </w:r>
    </w:p>
    <w:p w14:paraId="42E276F3" w14:textId="77777777" w:rsidR="005C0F94" w:rsidRPr="00483BFD" w:rsidRDefault="005C0F94" w:rsidP="005C0F94">
      <w:pPr>
        <w:ind w:left="0"/>
        <w:rPr>
          <w:rFonts w:ascii="Bookman Old Style" w:hAnsi="Bookman Old Style"/>
          <w:color w:val="000000" w:themeColor="text1"/>
        </w:rPr>
      </w:pPr>
    </w:p>
    <w:p w14:paraId="04FA0F8A"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188" w:name="_Ref336367227"/>
      <w:r w:rsidRPr="00483BFD">
        <w:rPr>
          <w:rFonts w:ascii="Bookman Old Style" w:hAnsi="Bookman Old Style"/>
          <w:color w:val="000000" w:themeColor="text1"/>
          <w:sz w:val="24"/>
          <w:szCs w:val="24"/>
        </w:rPr>
        <w:t>Declaración de interés de los compradores</w:t>
      </w:r>
      <w:bookmarkEnd w:id="188"/>
    </w:p>
    <w:p w14:paraId="0832CAA6" w14:textId="77777777" w:rsidR="005C0F94" w:rsidRPr="00483BFD" w:rsidRDefault="005C0F94" w:rsidP="005C0F94">
      <w:pPr>
        <w:ind w:left="0"/>
        <w:rPr>
          <w:rFonts w:ascii="Bookman Old Style" w:hAnsi="Bookman Old Style"/>
          <w:color w:val="000000" w:themeColor="text1"/>
          <w:lang w:val="es-CO"/>
        </w:rPr>
      </w:pPr>
    </w:p>
    <w:p w14:paraId="1F94E78C" w14:textId="4D92A41C" w:rsidR="005C0F94" w:rsidRPr="005971A3" w:rsidRDefault="005C0F94" w:rsidP="005C0F94">
      <w:pPr>
        <w:pStyle w:val="Textoindependiente"/>
        <w:ind w:left="0"/>
        <w:jc w:val="both"/>
        <w:rPr>
          <w:rFonts w:ascii="Bookman Old Style" w:hAnsi="Bookman Old Style"/>
          <w:color w:val="000000" w:themeColor="text1"/>
        </w:rPr>
      </w:pPr>
      <w:r w:rsidRPr="00483BFD">
        <w:rPr>
          <w:rFonts w:ascii="Bookman Old Style" w:hAnsi="Bookman Old Style" w:cs="Arial"/>
          <w:b w:val="0"/>
          <w:color w:val="000000" w:themeColor="text1"/>
          <w:lang w:val="es-CO"/>
        </w:rPr>
        <w:t xml:space="preserve">A más tardar diez (10) días hábiles antes de la </w:t>
      </w:r>
      <w:r w:rsidRPr="005971A3">
        <w:rPr>
          <w:rFonts w:ascii="Bookman Old Style" w:hAnsi="Bookman Old Style" w:cs="Arial"/>
          <w:b w:val="0"/>
          <w:color w:val="000000" w:themeColor="text1"/>
          <w:lang w:val="es-CO"/>
        </w:rPr>
        <w:t>subasta, cada uno de los compradores a los que se hace referencia en el</w:t>
      </w:r>
      <w:r w:rsidR="00784F6E">
        <w:rPr>
          <w:rFonts w:ascii="Bookman Old Style" w:hAnsi="Bookman Old Style" w:cs="Arial"/>
          <w:b w:val="0"/>
          <w:color w:val="000000" w:themeColor="text1"/>
          <w:lang w:val="es-CO"/>
        </w:rPr>
        <w:t xml:space="preserve"> artículo </w:t>
      </w:r>
      <w:r w:rsidR="00784F6E" w:rsidRPr="00996A90">
        <w:rPr>
          <w:rFonts w:ascii="Bookman Old Style" w:hAnsi="Bookman Old Style" w:cs="Arial"/>
          <w:bCs w:val="0"/>
          <w:color w:val="000000" w:themeColor="text1"/>
          <w:lang w:val="es-CO"/>
        </w:rPr>
        <w:t>17</w:t>
      </w:r>
      <w:r w:rsidR="00784F6E">
        <w:rPr>
          <w:rFonts w:ascii="Bookman Old Style" w:hAnsi="Bookman Old Style" w:cs="Arial"/>
          <w:b w:val="0"/>
          <w:color w:val="000000" w:themeColor="text1"/>
          <w:lang w:val="es-CO"/>
        </w:rPr>
        <w:t xml:space="preserve"> </w:t>
      </w:r>
      <w:r w:rsidRPr="005971A3">
        <w:rPr>
          <w:rFonts w:ascii="Bookman Old Style" w:hAnsi="Bookman Old Style" w:cs="Arial"/>
          <w:b w:val="0"/>
          <w:color w:val="000000" w:themeColor="text1"/>
          <w:lang w:val="es-CO"/>
        </w:rPr>
        <w:t xml:space="preserve"> de esta Resolución deberá declarar al administrador de la subasta en cuál de las siguientes dos (2) combinaciones de modalidades contractuales está interesado:</w:t>
      </w:r>
    </w:p>
    <w:p w14:paraId="2E83A3E7" w14:textId="77777777" w:rsidR="005C0F94" w:rsidRPr="005971A3" w:rsidRDefault="005C0F94" w:rsidP="005C0F94">
      <w:pPr>
        <w:ind w:left="0"/>
        <w:jc w:val="both"/>
        <w:rPr>
          <w:rFonts w:ascii="Bookman Old Style" w:hAnsi="Bookman Old Style"/>
          <w:color w:val="000000" w:themeColor="text1"/>
        </w:rPr>
      </w:pPr>
    </w:p>
    <w:p w14:paraId="0B3397AF" w14:textId="0A2B0C81" w:rsidR="005C0F94" w:rsidRPr="005971A3" w:rsidRDefault="005C0F94" w:rsidP="005C0F94">
      <w:pPr>
        <w:numPr>
          <w:ilvl w:val="0"/>
          <w:numId w:val="141"/>
        </w:numPr>
        <w:autoSpaceDE w:val="0"/>
        <w:autoSpaceDN w:val="0"/>
        <w:adjustRightInd w:val="0"/>
        <w:ind w:left="1134" w:hanging="567"/>
        <w:jc w:val="both"/>
        <w:rPr>
          <w:rFonts w:ascii="Bookman Old Style" w:hAnsi="Bookman Old Style" w:cs="Arial"/>
          <w:color w:val="000000" w:themeColor="text1"/>
        </w:rPr>
      </w:pPr>
      <w:r w:rsidRPr="005971A3">
        <w:rPr>
          <w:rFonts w:ascii="Bookman Old Style" w:hAnsi="Bookman Old Style" w:cs="Arial"/>
          <w:color w:val="000000" w:themeColor="text1"/>
        </w:rPr>
        <w:t>Tipo A: compradores que pueden comprar</w:t>
      </w:r>
      <m:oMath>
        <m:r>
          <m:rPr>
            <m:sty m:val="p"/>
          </m:rPr>
          <w:rPr>
            <w:rFonts w:ascii="Cambria Math" w:hAnsi="Cambria Math" w:cs="Arial"/>
            <w:color w:val="000000" w:themeColor="text1"/>
          </w:rPr>
          <m:t xml:space="preserve"> </m:t>
        </m:r>
        <m:r>
          <w:rPr>
            <w:rFonts w:ascii="Cambria Math" w:hAnsi="Cambria Math" w:cs="Arial"/>
            <w:color w:val="000000" w:themeColor="text1"/>
          </w:rPr>
          <m:t>CF</m:t>
        </m:r>
        <m:r>
          <m:rPr>
            <m:sty m:val="bi"/>
          </m:rPr>
          <w:rPr>
            <w:rFonts w:ascii="Cambria Math" w:hAnsi="Cambria Math" w:cs="Arial"/>
            <w:color w:val="000000" w:themeColor="text1"/>
          </w:rPr>
          <m:t>95</m:t>
        </m:r>
      </m:oMath>
      <w:r w:rsidRPr="005971A3">
        <w:rPr>
          <w:rFonts w:ascii="Bookman Old Style" w:hAnsi="Bookman Old Style" w:cs="Arial"/>
          <w:color w:val="000000" w:themeColor="text1"/>
          <w:lang w:val="es-CO"/>
        </w:rPr>
        <w:t xml:space="preserve"> y </w:t>
      </w:r>
      <m:oMath>
        <m:r>
          <w:rPr>
            <w:rFonts w:ascii="Cambria Math" w:hAnsi="Cambria Math" w:cs="Arial"/>
            <w:color w:val="000000" w:themeColor="text1"/>
          </w:rPr>
          <m:t>CFC</m:t>
        </m:r>
      </m:oMath>
      <w:r w:rsidRPr="005971A3">
        <w:rPr>
          <w:rFonts w:ascii="Bookman Old Style" w:hAnsi="Bookman Old Style" w:cs="Arial"/>
          <w:color w:val="000000" w:themeColor="text1"/>
        </w:rPr>
        <w:t xml:space="preserve">, pero no </w:t>
      </w:r>
      <m:oMath>
        <m:r>
          <w:rPr>
            <w:rFonts w:ascii="Cambria Math" w:hAnsi="Cambria Math" w:cs="Arial"/>
            <w:color w:val="000000" w:themeColor="text1"/>
          </w:rPr>
          <m:t>OCG</m:t>
        </m:r>
      </m:oMath>
      <w:r w:rsidRPr="005971A3">
        <w:rPr>
          <w:rFonts w:ascii="Bookman Old Style" w:hAnsi="Bookman Old Style" w:cs="Arial"/>
          <w:color w:val="000000" w:themeColor="text1"/>
        </w:rPr>
        <w:t>.</w:t>
      </w:r>
    </w:p>
    <w:p w14:paraId="554EC1FB" w14:textId="77777777" w:rsidR="005C0F94" w:rsidRPr="005971A3" w:rsidRDefault="005C0F94" w:rsidP="005C0F94">
      <w:pPr>
        <w:autoSpaceDE w:val="0"/>
        <w:autoSpaceDN w:val="0"/>
        <w:adjustRightInd w:val="0"/>
        <w:ind w:left="1134"/>
        <w:jc w:val="both"/>
        <w:rPr>
          <w:rFonts w:ascii="Bookman Old Style" w:hAnsi="Bookman Old Style" w:cs="Arial"/>
          <w:color w:val="000000" w:themeColor="text1"/>
        </w:rPr>
      </w:pPr>
    </w:p>
    <w:p w14:paraId="497496DF" w14:textId="30FB9204" w:rsidR="005C0F94" w:rsidRPr="005971A3" w:rsidRDefault="005C0F94" w:rsidP="005C0F94">
      <w:pPr>
        <w:numPr>
          <w:ilvl w:val="0"/>
          <w:numId w:val="141"/>
        </w:numPr>
        <w:autoSpaceDE w:val="0"/>
        <w:autoSpaceDN w:val="0"/>
        <w:adjustRightInd w:val="0"/>
        <w:ind w:left="1134" w:hanging="567"/>
        <w:jc w:val="both"/>
        <w:rPr>
          <w:rFonts w:ascii="Bookman Old Style" w:hAnsi="Bookman Old Style" w:cs="Arial"/>
          <w:color w:val="000000" w:themeColor="text1"/>
        </w:rPr>
      </w:pPr>
      <w:r w:rsidRPr="005971A3">
        <w:rPr>
          <w:rFonts w:ascii="Bookman Old Style" w:hAnsi="Bookman Old Style" w:cs="Arial"/>
          <w:color w:val="000000" w:themeColor="text1"/>
        </w:rPr>
        <w:t xml:space="preserve">Tipo B: compradores que pueden comprar </w:t>
      </w:r>
      <m:oMath>
        <m:r>
          <w:rPr>
            <w:rFonts w:ascii="Cambria Math" w:hAnsi="Cambria Math" w:cs="Arial"/>
            <w:color w:val="000000" w:themeColor="text1"/>
          </w:rPr>
          <m:t>CF</m:t>
        </m:r>
        <m:r>
          <m:rPr>
            <m:sty m:val="bi"/>
          </m:rPr>
          <w:rPr>
            <w:rFonts w:ascii="Cambria Math" w:hAnsi="Cambria Math" w:cs="Arial"/>
            <w:color w:val="000000" w:themeColor="text1"/>
          </w:rPr>
          <m:t>95</m:t>
        </m:r>
      </m:oMath>
      <w:r w:rsidRPr="005971A3">
        <w:rPr>
          <w:rFonts w:ascii="Bookman Old Style" w:hAnsi="Bookman Old Style" w:cs="Arial"/>
          <w:color w:val="000000" w:themeColor="text1"/>
          <w:lang w:val="es-CO"/>
        </w:rPr>
        <w:t xml:space="preserve"> y </w:t>
      </w:r>
      <m:oMath>
        <m:r>
          <w:rPr>
            <w:rFonts w:ascii="Cambria Math" w:hAnsi="Cambria Math" w:cs="Arial"/>
            <w:color w:val="000000" w:themeColor="text1"/>
          </w:rPr>
          <m:t>OCG</m:t>
        </m:r>
      </m:oMath>
      <w:r w:rsidRPr="005971A3">
        <w:rPr>
          <w:rFonts w:ascii="Bookman Old Style" w:hAnsi="Bookman Old Style" w:cs="Arial"/>
          <w:color w:val="000000" w:themeColor="text1"/>
        </w:rPr>
        <w:t xml:space="preserve">, pero no </w:t>
      </w:r>
      <m:oMath>
        <m:r>
          <w:rPr>
            <w:rFonts w:ascii="Cambria Math" w:hAnsi="Cambria Math" w:cs="Arial"/>
            <w:color w:val="000000" w:themeColor="text1"/>
          </w:rPr>
          <m:t>CFC</m:t>
        </m:r>
      </m:oMath>
      <w:r w:rsidRPr="005971A3">
        <w:rPr>
          <w:rFonts w:ascii="Bookman Old Style" w:hAnsi="Bookman Old Style" w:cs="Arial"/>
          <w:color w:val="000000" w:themeColor="text1"/>
        </w:rPr>
        <w:t>.</w:t>
      </w:r>
    </w:p>
    <w:p w14:paraId="18CCB6F1" w14:textId="77777777" w:rsidR="005C0F94" w:rsidRPr="005971A3" w:rsidRDefault="005C0F94" w:rsidP="005C0F94">
      <w:pPr>
        <w:ind w:left="0"/>
        <w:rPr>
          <w:rFonts w:ascii="Bookman Old Style" w:hAnsi="Bookman Old Style"/>
          <w:color w:val="000000" w:themeColor="text1"/>
        </w:rPr>
      </w:pPr>
    </w:p>
    <w:p w14:paraId="0092EB6F" w14:textId="7F79C20B" w:rsidR="005C0F94" w:rsidRPr="005971A3" w:rsidRDefault="005C0F94" w:rsidP="005C0F94">
      <w:pPr>
        <w:ind w:left="0"/>
        <w:jc w:val="both"/>
        <w:rPr>
          <w:rFonts w:ascii="Bookman Old Style" w:hAnsi="Bookman Old Style"/>
          <w:color w:val="000000" w:themeColor="text1"/>
        </w:rPr>
      </w:pPr>
      <w:r w:rsidRPr="005971A3">
        <w:rPr>
          <w:rFonts w:ascii="Bookman Old Style" w:hAnsi="Bookman Old Style"/>
          <w:color w:val="000000" w:themeColor="text1"/>
        </w:rPr>
        <w:t xml:space="preserve">En la misma fecha cada uno de los compradores deberá declarar ante el administrador de la subasta la máxima cantidad de energía que está dispuesto a comprar mediante la combinación de modalidades contractuales por la que manifiesta interés. </w:t>
      </w:r>
      <w:r w:rsidRPr="005971A3">
        <w:rPr>
          <w:rFonts w:ascii="Bookman Old Style" w:hAnsi="Bookman Old Style" w:cs="Arial"/>
          <w:color w:val="000000" w:themeColor="text1"/>
          <w:lang w:val="es-CO"/>
        </w:rPr>
        <w:t xml:space="preserve">Para estos efectos deberá presentar al administrador de la subasta la información señalada en la </w:t>
      </w:r>
      <w:r w:rsidRPr="005971A3">
        <w:rPr>
          <w:rFonts w:ascii="Bookman Old Style" w:hAnsi="Bookman Old Style" w:cs="Arial"/>
          <w:color w:val="000000" w:themeColor="text1"/>
          <w:lang w:val="es-CO"/>
        </w:rPr>
        <w:fldChar w:fldCharType="begin"/>
      </w:r>
      <w:r w:rsidRPr="005971A3">
        <w:rPr>
          <w:rFonts w:ascii="Bookman Old Style" w:hAnsi="Bookman Old Style" w:cs="Arial"/>
          <w:color w:val="000000" w:themeColor="text1"/>
          <w:lang w:val="es-CO"/>
        </w:rPr>
        <w:instrText xml:space="preserve"> REF _Ref337225311 \h  \* MERGEFORMAT </w:instrText>
      </w:r>
      <w:r w:rsidRPr="005971A3">
        <w:rPr>
          <w:rFonts w:ascii="Bookman Old Style" w:hAnsi="Bookman Old Style" w:cs="Arial"/>
          <w:color w:val="000000" w:themeColor="text1"/>
          <w:lang w:val="es-CO"/>
        </w:rPr>
      </w:r>
      <w:r w:rsidRPr="005971A3">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 xml:space="preserve">Tabla </w:t>
      </w:r>
      <w:r w:rsidRPr="005971A3">
        <w:rPr>
          <w:rFonts w:ascii="Bookman Old Style" w:hAnsi="Bookman Old Style" w:cs="Arial"/>
          <w:color w:val="000000" w:themeColor="text1"/>
          <w:lang w:val="es-CO"/>
        </w:rPr>
        <w:fldChar w:fldCharType="end"/>
      </w:r>
      <w:r w:rsidRPr="005971A3">
        <w:rPr>
          <w:rFonts w:ascii="Bookman Old Style" w:hAnsi="Bookman Old Style" w:cs="Arial"/>
          <w:color w:val="000000" w:themeColor="text1"/>
          <w:lang w:val="es-CO"/>
        </w:rPr>
        <w:t>.</w:t>
      </w:r>
    </w:p>
    <w:p w14:paraId="1F5EB76D" w14:textId="77777777" w:rsidR="005C0F94" w:rsidRPr="005971A3" w:rsidRDefault="005C0F94" w:rsidP="005C0F94">
      <w:pPr>
        <w:pStyle w:val="Descripcin"/>
        <w:keepNext/>
        <w:spacing w:before="0" w:after="0" w:line="240" w:lineRule="auto"/>
        <w:rPr>
          <w:rFonts w:ascii="Bookman Old Style" w:hAnsi="Bookman Old Style"/>
          <w:b/>
          <w:color w:val="000000" w:themeColor="text1"/>
          <w:sz w:val="24"/>
          <w:szCs w:val="24"/>
        </w:rPr>
      </w:pPr>
    </w:p>
    <w:p w14:paraId="0FAF899F" w14:textId="494565C2" w:rsidR="005C0F94" w:rsidRPr="005971A3" w:rsidRDefault="005C0F94" w:rsidP="005C0F94">
      <w:pPr>
        <w:pStyle w:val="Descripcin"/>
        <w:keepNext/>
        <w:spacing w:before="0" w:after="0" w:line="240" w:lineRule="auto"/>
        <w:rPr>
          <w:rFonts w:ascii="Bookman Old Style" w:hAnsi="Bookman Old Style"/>
          <w:b/>
          <w:color w:val="000000" w:themeColor="text1"/>
          <w:sz w:val="24"/>
          <w:szCs w:val="24"/>
          <w:lang w:val="es-CO"/>
        </w:rPr>
      </w:pPr>
      <w:bookmarkStart w:id="189" w:name="_Ref337225311"/>
      <w:r w:rsidRPr="005971A3">
        <w:rPr>
          <w:rFonts w:ascii="Bookman Old Style" w:hAnsi="Bookman Old Style"/>
          <w:b/>
          <w:color w:val="000000" w:themeColor="text1"/>
          <w:sz w:val="24"/>
          <w:szCs w:val="24"/>
          <w:lang w:val="es-CO"/>
        </w:rPr>
        <w:t xml:space="preserve">Tabla </w:t>
      </w:r>
      <w:bookmarkEnd w:id="189"/>
      <w:r w:rsidR="00683F24" w:rsidRPr="005971A3">
        <w:rPr>
          <w:rFonts w:ascii="Bookman Old Style" w:hAnsi="Bookman Old Style"/>
          <w:b/>
          <w:color w:val="000000" w:themeColor="text1"/>
          <w:sz w:val="24"/>
          <w:szCs w:val="24"/>
          <w:lang w:val="es-CO"/>
        </w:rPr>
        <w:t>2</w:t>
      </w:r>
      <w:r w:rsidRPr="005971A3">
        <w:rPr>
          <w:rFonts w:ascii="Bookman Old Style" w:hAnsi="Bookman Old Style"/>
          <w:b/>
          <w:color w:val="000000" w:themeColor="text1"/>
          <w:sz w:val="24"/>
          <w:szCs w:val="24"/>
          <w:lang w:val="es-CO"/>
        </w:rPr>
        <w:t>. Declaración de la demanda máxima</w:t>
      </w:r>
    </w:p>
    <w:p w14:paraId="5C3F6081" w14:textId="77777777" w:rsidR="005C0F94" w:rsidRPr="005971A3" w:rsidRDefault="005C0F94" w:rsidP="005C0F94">
      <w:pPr>
        <w:pStyle w:val="Descripcin"/>
        <w:keepNext/>
        <w:spacing w:before="0" w:after="0" w:line="240" w:lineRule="auto"/>
        <w:rPr>
          <w:rFonts w:ascii="Bookman Old Style" w:hAnsi="Bookman Old Style"/>
          <w:b/>
          <w:color w:val="000000" w:themeColor="text1"/>
          <w:sz w:val="24"/>
          <w:szCs w:val="24"/>
          <w:lang w:val="es-CO"/>
        </w:rPr>
      </w:pPr>
    </w:p>
    <w:tbl>
      <w:tblPr>
        <w:tblStyle w:val="Tablaconcuadrcula"/>
        <w:tblW w:w="0" w:type="auto"/>
        <w:jc w:val="center"/>
        <w:tblLook w:val="04A0" w:firstRow="1" w:lastRow="0" w:firstColumn="1" w:lastColumn="0" w:noHBand="0" w:noVBand="1"/>
      </w:tblPr>
      <w:tblGrid>
        <w:gridCol w:w="2552"/>
        <w:gridCol w:w="2552"/>
      </w:tblGrid>
      <w:tr w:rsidR="005C0F94" w:rsidRPr="005971A3" w14:paraId="05648F94" w14:textId="77777777">
        <w:trPr>
          <w:trHeight w:val="415"/>
          <w:jc w:val="center"/>
        </w:trPr>
        <w:tc>
          <w:tcPr>
            <w:tcW w:w="2552" w:type="dxa"/>
            <w:vAlign w:val="center"/>
          </w:tcPr>
          <w:p w14:paraId="06661EDA" w14:textId="77777777" w:rsidR="005C0F94" w:rsidRPr="005971A3" w:rsidRDefault="005C0F94">
            <w:pPr>
              <w:pStyle w:val="Textoindependiente"/>
              <w:ind w:left="0"/>
              <w:rPr>
                <w:rFonts w:ascii="Bookman Old Style" w:hAnsi="Bookman Old Style" w:cs="Arial"/>
                <w:color w:val="000000" w:themeColor="text1"/>
                <w:lang w:val="es-CO"/>
              </w:rPr>
            </w:pPr>
            <w:r w:rsidRPr="005971A3">
              <w:rPr>
                <w:rFonts w:ascii="Bookman Old Style" w:hAnsi="Bookman Old Style" w:cs="Arial"/>
                <w:color w:val="000000" w:themeColor="text1"/>
                <w:lang w:val="es-CO"/>
              </w:rPr>
              <w:t>Tipo</w:t>
            </w:r>
          </w:p>
        </w:tc>
        <w:tc>
          <w:tcPr>
            <w:tcW w:w="2552" w:type="dxa"/>
            <w:vAlign w:val="center"/>
          </w:tcPr>
          <w:p w14:paraId="16BA553C" w14:textId="77777777" w:rsidR="005C0F94" w:rsidRPr="005971A3" w:rsidRDefault="005C0F94">
            <w:pPr>
              <w:pStyle w:val="Textoindependiente"/>
              <w:ind w:left="0"/>
              <w:rPr>
                <w:rFonts w:ascii="Bookman Old Style" w:hAnsi="Bookman Old Style" w:cs="Arial"/>
                <w:color w:val="000000" w:themeColor="text1"/>
                <w:lang w:val="es-CO"/>
              </w:rPr>
            </w:pPr>
            <w:r w:rsidRPr="005971A3">
              <w:rPr>
                <w:rFonts w:ascii="Bookman Old Style" w:hAnsi="Bookman Old Style" w:cs="Arial"/>
                <w:color w:val="000000" w:themeColor="text1"/>
                <w:lang w:val="es-CO"/>
              </w:rPr>
              <w:t>Demanda máxima</w:t>
            </w:r>
          </w:p>
        </w:tc>
      </w:tr>
      <w:tr w:rsidR="005C0F94" w:rsidRPr="005971A3" w14:paraId="64617FBE" w14:textId="77777777">
        <w:trPr>
          <w:trHeight w:val="491"/>
          <w:jc w:val="center"/>
        </w:trPr>
        <w:tc>
          <w:tcPr>
            <w:tcW w:w="2552" w:type="dxa"/>
            <w:vAlign w:val="center"/>
          </w:tcPr>
          <w:p w14:paraId="7DE4DDC1" w14:textId="77777777" w:rsidR="005C0F94" w:rsidRPr="005971A3" w:rsidRDefault="005C0F94">
            <w:pPr>
              <w:pStyle w:val="Textoindependiente"/>
              <w:ind w:left="0"/>
              <w:rPr>
                <w:rFonts w:ascii="Bookman Old Style" w:hAnsi="Bookman Old Style" w:cs="Arial"/>
                <w:b w:val="0"/>
                <w:color w:val="000000" w:themeColor="text1"/>
                <w:lang w:val="es-CO"/>
              </w:rPr>
            </w:pPr>
            <w:r w:rsidRPr="005971A3">
              <w:rPr>
                <w:rFonts w:ascii="Bookman Old Style" w:hAnsi="Bookman Old Style" w:cs="Arial"/>
                <w:b w:val="0"/>
                <w:color w:val="000000" w:themeColor="text1"/>
                <w:lang w:val="es-CO"/>
              </w:rPr>
              <w:t>A o B</w:t>
            </w:r>
          </w:p>
        </w:tc>
        <w:tc>
          <w:tcPr>
            <w:tcW w:w="2552" w:type="dxa"/>
            <w:vAlign w:val="center"/>
          </w:tcPr>
          <w:p w14:paraId="501C2FC5" w14:textId="77777777" w:rsidR="005C0F94" w:rsidRPr="005971A3" w:rsidRDefault="00FB7B28">
            <w:pPr>
              <w:pStyle w:val="Textoindependiente"/>
              <w:ind w:left="0"/>
              <w:rPr>
                <w:rFonts w:ascii="Bookman Old Style" w:hAnsi="Bookman Old Style" w:cs="Arial"/>
                <w:b w:val="0"/>
                <w:color w:val="000000" w:themeColor="text1"/>
                <w:lang w:val="es-CO"/>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D</m:t>
                    </m:r>
                  </m:e>
                  <m:sub>
                    <m:r>
                      <m:rPr>
                        <m:sty m:val="bi"/>
                      </m:rPr>
                      <w:rPr>
                        <w:rFonts w:ascii="Cambria Math" w:hAnsi="Cambria Math" w:cs="Arial"/>
                        <w:color w:val="000000" w:themeColor="text1"/>
                      </w:rPr>
                      <m:t>b</m:t>
                    </m:r>
                  </m:sub>
                </m:sSub>
              </m:oMath>
            </m:oMathPara>
          </w:p>
        </w:tc>
      </w:tr>
    </w:tbl>
    <w:p w14:paraId="0B6E7A70" w14:textId="77777777" w:rsidR="005C0F94" w:rsidRPr="005971A3" w:rsidRDefault="005C0F94" w:rsidP="005C0F94">
      <w:pPr>
        <w:pStyle w:val="Textoindependiente"/>
        <w:ind w:left="0"/>
        <w:jc w:val="both"/>
        <w:rPr>
          <w:rFonts w:ascii="Bookman Old Style" w:hAnsi="Bookman Old Style" w:cs="Arial"/>
          <w:b w:val="0"/>
          <w:color w:val="000000" w:themeColor="text1"/>
          <w:lang w:val="es-CO"/>
        </w:rPr>
      </w:pPr>
    </w:p>
    <w:p w14:paraId="285BC912" w14:textId="77777777" w:rsidR="005C0F94" w:rsidRPr="005971A3" w:rsidRDefault="005C0F94" w:rsidP="005C0F94">
      <w:pPr>
        <w:ind w:left="0"/>
        <w:jc w:val="both"/>
        <w:outlineLvl w:val="0"/>
        <w:rPr>
          <w:rFonts w:ascii="Bookman Old Style" w:hAnsi="Bookman Old Style" w:cs="Arial"/>
          <w:color w:val="000000" w:themeColor="text1"/>
        </w:rPr>
      </w:pPr>
      <w:r w:rsidRPr="005971A3">
        <w:rPr>
          <w:rFonts w:ascii="Bookman Old Style" w:hAnsi="Bookman Old Style" w:cs="Arial"/>
          <w:color w:val="000000" w:themeColor="text1"/>
        </w:rPr>
        <w:t>Donde:</w:t>
      </w:r>
    </w:p>
    <w:p w14:paraId="643D7BB9" w14:textId="77777777" w:rsidR="005C0F94" w:rsidRPr="005971A3" w:rsidRDefault="005C0F94" w:rsidP="005C0F94">
      <w:pPr>
        <w:ind w:left="0"/>
        <w:jc w:val="both"/>
        <w:outlineLvl w:val="0"/>
        <w:rPr>
          <w:rFonts w:ascii="Bookman Old Style" w:hAnsi="Bookman Old Style" w:cs="Arial"/>
          <w:color w:val="000000" w:themeColor="text1"/>
        </w:rPr>
      </w:pPr>
    </w:p>
    <w:p w14:paraId="25C04D4A" w14:textId="77777777" w:rsidR="005C0F94" w:rsidRPr="005971A3" w:rsidRDefault="00FB7B28" w:rsidP="005C0F94">
      <w:pPr>
        <w:ind w:left="1134" w:hanging="1134"/>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D</m:t>
            </m:r>
          </m:e>
          <m:sub>
            <m:r>
              <w:rPr>
                <w:rFonts w:ascii="Cambria Math" w:hAnsi="Cambria Math" w:cs="Arial"/>
                <w:color w:val="000000" w:themeColor="text1"/>
              </w:rPr>
              <m:t>b</m:t>
            </m:r>
          </m:sub>
        </m:sSub>
      </m:oMath>
      <w:r w:rsidR="005C0F94" w:rsidRPr="005971A3">
        <w:rPr>
          <w:rFonts w:ascii="Bookman Old Style" w:hAnsi="Bookman Old Style" w:cs="Arial"/>
          <w:color w:val="000000" w:themeColor="text1"/>
        </w:rPr>
        <w:t>:</w:t>
      </w:r>
      <w:r w:rsidR="005C0F94" w:rsidRPr="005971A3">
        <w:rPr>
          <w:rFonts w:ascii="Bookman Old Style" w:hAnsi="Bookman Old Style" w:cs="Arial"/>
          <w:color w:val="000000" w:themeColor="text1"/>
        </w:rPr>
        <w:tab/>
        <w:t xml:space="preserve">Máxima cantidad de energía que será demandada en la subasta por parte del comprador </w:t>
      </w:r>
      <m:oMath>
        <m:r>
          <w:rPr>
            <w:rFonts w:ascii="Cambria Math" w:hAnsi="Cambria Math" w:cs="Arial"/>
            <w:color w:val="000000" w:themeColor="text1"/>
          </w:rPr>
          <m:t>b</m:t>
        </m:r>
      </m:oMath>
      <w:r w:rsidR="005C0F94" w:rsidRPr="005971A3">
        <w:rPr>
          <w:rFonts w:ascii="Bookman Old Style" w:hAnsi="Bookman Old Style" w:cs="Arial"/>
          <w:i/>
          <w:color w:val="000000" w:themeColor="text1"/>
        </w:rPr>
        <w:t>.</w:t>
      </w:r>
      <w:r w:rsidR="005C0F94" w:rsidRPr="005971A3">
        <w:rPr>
          <w:rFonts w:ascii="Bookman Old Style" w:hAnsi="Bookman Old Style" w:cs="Arial"/>
          <w:color w:val="000000" w:themeColor="text1"/>
        </w:rPr>
        <w:t xml:space="preserve"> Este valor se expresará en MBTUD, deberá corresponder </w:t>
      </w:r>
      <w:r w:rsidR="005C0F94" w:rsidRPr="005971A3">
        <w:rPr>
          <w:rFonts w:ascii="Bookman Old Style" w:hAnsi="Bookman Old Style"/>
          <w:color w:val="000000" w:themeColor="text1"/>
        </w:rPr>
        <w:t>a un múltiplo entero de un (1) MBTUD y deberá ser igual o mayor a cien (100) MBTUD</w:t>
      </w:r>
      <w:r w:rsidR="005C0F94" w:rsidRPr="005971A3">
        <w:rPr>
          <w:rFonts w:ascii="Bookman Old Style" w:hAnsi="Bookman Old Style" w:cs="Arial"/>
          <w:color w:val="000000" w:themeColor="text1"/>
        </w:rPr>
        <w:t>.</w:t>
      </w:r>
    </w:p>
    <w:p w14:paraId="5D61C4A2" w14:textId="77777777" w:rsidR="005C0F94" w:rsidRPr="005971A3" w:rsidRDefault="005C0F94" w:rsidP="005C0F94">
      <w:pPr>
        <w:pStyle w:val="Textoindependiente"/>
        <w:ind w:left="0"/>
        <w:jc w:val="both"/>
        <w:rPr>
          <w:rFonts w:ascii="Bookman Old Style" w:hAnsi="Bookman Old Style" w:cs="Arial"/>
          <w:b w:val="0"/>
          <w:color w:val="000000" w:themeColor="text1"/>
          <w:lang w:val="es-ES"/>
        </w:rPr>
      </w:pPr>
    </w:p>
    <w:p w14:paraId="0AC14FE6" w14:textId="53544811" w:rsidR="005C0F94" w:rsidRPr="005971A3" w:rsidRDefault="00091ADC" w:rsidP="005C0F94">
      <w:pPr>
        <w:pStyle w:val="Textoindependiente"/>
        <w:ind w:left="1134" w:hanging="1134"/>
        <w:jc w:val="both"/>
        <w:rPr>
          <w:rFonts w:ascii="Bookman Old Style" w:hAnsi="Bookman Old Style" w:cs="Arial"/>
          <w:b w:val="0"/>
          <w:color w:val="000000" w:themeColor="text1"/>
          <w:lang w:val="es-CO"/>
        </w:rPr>
      </w:pPr>
      <m:oMath>
        <m:r>
          <m:rPr>
            <m:sty m:val="bi"/>
          </m:rPr>
          <w:rPr>
            <w:rFonts w:ascii="Cambria Math" w:hAnsi="Cambria Math" w:cs="Arial"/>
            <w:color w:val="000000" w:themeColor="text1"/>
          </w:rPr>
          <m:t>b</m:t>
        </m:r>
      </m:oMath>
      <w:r w:rsidR="005C0F94" w:rsidRPr="005971A3">
        <w:rPr>
          <w:rFonts w:ascii="Bookman Old Style" w:hAnsi="Bookman Old Style" w:cs="Arial"/>
          <w:b w:val="0"/>
          <w:bCs w:val="0"/>
          <w:color w:val="000000" w:themeColor="text1"/>
          <w:lang w:val="es-CO"/>
        </w:rPr>
        <w:t>:</w:t>
      </w:r>
      <w:r w:rsidR="005C0F94" w:rsidRPr="005971A3">
        <w:rPr>
          <w:rFonts w:ascii="Bookman Old Style" w:hAnsi="Bookman Old Style" w:cs="Arial"/>
          <w:b w:val="0"/>
          <w:color w:val="000000" w:themeColor="text1"/>
          <w:lang w:val="es-CO"/>
        </w:rPr>
        <w:tab/>
        <w:t>Comprador al que se hace referencia en el</w:t>
      </w:r>
      <w:r w:rsidR="00784F6E">
        <w:rPr>
          <w:rFonts w:ascii="Bookman Old Style" w:hAnsi="Bookman Old Style" w:cs="Arial"/>
          <w:b w:val="0"/>
          <w:color w:val="000000" w:themeColor="text1"/>
          <w:lang w:val="es-CO"/>
        </w:rPr>
        <w:t xml:space="preserve"> artículo </w:t>
      </w:r>
      <w:r w:rsidR="00784F6E" w:rsidRPr="00996A90">
        <w:rPr>
          <w:rFonts w:ascii="Bookman Old Style" w:hAnsi="Bookman Old Style" w:cs="Arial"/>
          <w:bCs w:val="0"/>
          <w:color w:val="000000" w:themeColor="text1"/>
          <w:lang w:val="es-CO"/>
        </w:rPr>
        <w:t>17</w:t>
      </w:r>
      <w:r w:rsidR="005C0F94" w:rsidRPr="005971A3">
        <w:rPr>
          <w:rFonts w:ascii="Bookman Old Style" w:hAnsi="Bookman Old Style" w:cs="Arial"/>
          <w:b w:val="0"/>
          <w:color w:val="000000" w:themeColor="text1"/>
          <w:lang w:val="es-CO"/>
        </w:rPr>
        <w:t xml:space="preserve"> de esta Resolución y que hace la declaración respectiva.</w:t>
      </w:r>
    </w:p>
    <w:p w14:paraId="3522E440" w14:textId="77777777" w:rsidR="005C0F94" w:rsidRPr="005971A3" w:rsidRDefault="005C0F94" w:rsidP="005C0F94">
      <w:pPr>
        <w:pStyle w:val="Textoindependiente"/>
        <w:ind w:left="0"/>
        <w:jc w:val="both"/>
        <w:rPr>
          <w:rFonts w:ascii="Bookman Old Style" w:hAnsi="Bookman Old Style" w:cs="Arial"/>
          <w:b w:val="0"/>
          <w:color w:val="000000" w:themeColor="text1"/>
          <w:lang w:val="es-CO"/>
        </w:rPr>
      </w:pPr>
    </w:p>
    <w:p w14:paraId="169B3FD9" w14:textId="695064E5" w:rsidR="005C0F94" w:rsidRPr="005971A3" w:rsidRDefault="005C0F94" w:rsidP="005C0F94">
      <w:pPr>
        <w:ind w:left="0"/>
        <w:jc w:val="both"/>
        <w:rPr>
          <w:rFonts w:ascii="Bookman Old Style" w:hAnsi="Bookman Old Style"/>
          <w:color w:val="000000" w:themeColor="text1"/>
        </w:rPr>
      </w:pPr>
      <w:r w:rsidRPr="005971A3">
        <w:rPr>
          <w:rFonts w:ascii="Bookman Old Style" w:hAnsi="Bookman Old Style"/>
          <w:color w:val="000000" w:themeColor="text1"/>
        </w:rPr>
        <w:t xml:space="preserve">Esta declaración deberá estar acompañada de los mecanismos de cubrimiento y de los formatos diligenciados de que tratan los numerales </w:t>
      </w:r>
      <w:r w:rsidRPr="005971A3">
        <w:rPr>
          <w:rFonts w:ascii="Bookman Old Style" w:hAnsi="Bookman Old Style"/>
          <w:color w:val="000000" w:themeColor="text1"/>
        </w:rPr>
        <w:fldChar w:fldCharType="begin"/>
      </w:r>
      <w:r w:rsidRPr="005971A3">
        <w:rPr>
          <w:rFonts w:ascii="Bookman Old Style" w:hAnsi="Bookman Old Style"/>
          <w:color w:val="000000" w:themeColor="text1"/>
        </w:rPr>
        <w:instrText xml:space="preserve"> REF _Ref337203593 \r \h  \* MERGEFORMAT </w:instrText>
      </w:r>
      <w:r w:rsidRPr="005971A3">
        <w:rPr>
          <w:rFonts w:ascii="Bookman Old Style" w:hAnsi="Bookman Old Style"/>
          <w:color w:val="000000" w:themeColor="text1"/>
        </w:rPr>
      </w:r>
      <w:r w:rsidRPr="005971A3">
        <w:rPr>
          <w:rFonts w:ascii="Bookman Old Style" w:hAnsi="Bookman Old Style"/>
          <w:color w:val="000000" w:themeColor="text1"/>
        </w:rPr>
        <w:fldChar w:fldCharType="separate"/>
      </w:r>
      <w:r w:rsidR="00636B6A">
        <w:rPr>
          <w:rFonts w:ascii="Bookman Old Style" w:hAnsi="Bookman Old Style"/>
          <w:color w:val="000000" w:themeColor="text1"/>
        </w:rPr>
        <w:t>5.13.1</w:t>
      </w:r>
      <w:r w:rsidRPr="005971A3">
        <w:rPr>
          <w:rFonts w:ascii="Bookman Old Style" w:hAnsi="Bookman Old Style"/>
          <w:color w:val="000000" w:themeColor="text1"/>
        </w:rPr>
        <w:fldChar w:fldCharType="end"/>
      </w:r>
      <w:r w:rsidRPr="005971A3">
        <w:rPr>
          <w:rFonts w:ascii="Bookman Old Style" w:hAnsi="Bookman Old Style"/>
          <w:color w:val="000000" w:themeColor="text1"/>
        </w:rPr>
        <w:t xml:space="preserve"> y </w:t>
      </w:r>
      <w:r w:rsidRPr="005971A3">
        <w:rPr>
          <w:rFonts w:ascii="Bookman Old Style" w:hAnsi="Bookman Old Style"/>
          <w:color w:val="000000" w:themeColor="text1"/>
          <w:lang w:val="es-CO"/>
        </w:rPr>
        <w:fldChar w:fldCharType="begin"/>
      </w:r>
      <w:r w:rsidRPr="005971A3">
        <w:rPr>
          <w:rFonts w:ascii="Bookman Old Style" w:hAnsi="Bookman Old Style" w:cs="Arial"/>
          <w:color w:val="000000" w:themeColor="text1"/>
          <w:lang w:val="es-CO"/>
        </w:rPr>
        <w:instrText xml:space="preserve"> REF _Ref359854719 \n \h </w:instrText>
      </w:r>
      <w:r w:rsidRPr="005971A3">
        <w:rPr>
          <w:rFonts w:ascii="Bookman Old Style" w:hAnsi="Bookman Old Style"/>
          <w:color w:val="000000" w:themeColor="text1"/>
          <w:lang w:val="es-CO"/>
        </w:rPr>
        <w:instrText xml:space="preserve"> \* MERGEFORMAT </w:instrText>
      </w:r>
      <w:r w:rsidRPr="005971A3">
        <w:rPr>
          <w:rFonts w:ascii="Bookman Old Style" w:hAnsi="Bookman Old Style"/>
          <w:color w:val="000000" w:themeColor="text1"/>
          <w:lang w:val="es-CO"/>
        </w:rPr>
      </w:r>
      <w:r w:rsidRPr="005971A3">
        <w:rPr>
          <w:rFonts w:ascii="Bookman Old Style" w:hAnsi="Bookman Old Style"/>
          <w:color w:val="000000" w:themeColor="text1"/>
          <w:lang w:val="es-CO"/>
        </w:rPr>
        <w:fldChar w:fldCharType="separate"/>
      </w:r>
      <w:r w:rsidR="00636B6A">
        <w:rPr>
          <w:rFonts w:ascii="Bookman Old Style" w:hAnsi="Bookman Old Style" w:cs="Arial"/>
          <w:color w:val="000000" w:themeColor="text1"/>
          <w:lang w:val="es-CO"/>
        </w:rPr>
        <w:t>5.13.3</w:t>
      </w:r>
      <w:r w:rsidRPr="005971A3">
        <w:rPr>
          <w:rFonts w:ascii="Bookman Old Style" w:hAnsi="Bookman Old Style"/>
          <w:color w:val="000000" w:themeColor="text1"/>
          <w:lang w:val="es-CO"/>
        </w:rPr>
        <w:fldChar w:fldCharType="end"/>
      </w:r>
      <w:r w:rsidRPr="005971A3">
        <w:rPr>
          <w:rFonts w:ascii="Bookman Old Style" w:hAnsi="Bookman Old Style"/>
          <w:color w:val="000000" w:themeColor="text1"/>
        </w:rPr>
        <w:t xml:space="preserve"> de este Anexo.</w:t>
      </w:r>
    </w:p>
    <w:p w14:paraId="5CED1E14" w14:textId="77777777" w:rsidR="005C0F94" w:rsidRPr="005971A3" w:rsidRDefault="005C0F94" w:rsidP="005C0F94">
      <w:pPr>
        <w:pStyle w:val="Textoindependiente"/>
        <w:ind w:left="0"/>
        <w:jc w:val="both"/>
        <w:rPr>
          <w:rFonts w:ascii="Bookman Old Style" w:hAnsi="Bookman Old Style" w:cs="Arial"/>
          <w:b w:val="0"/>
          <w:color w:val="000000" w:themeColor="text1"/>
          <w:lang w:val="es-ES"/>
        </w:rPr>
      </w:pPr>
    </w:p>
    <w:p w14:paraId="0FA7D297" w14:textId="17857C79" w:rsidR="005C0F94" w:rsidRPr="00483BFD" w:rsidRDefault="005C0F94" w:rsidP="005C0F94">
      <w:pPr>
        <w:pStyle w:val="Textoindependiente"/>
        <w:ind w:left="0"/>
        <w:jc w:val="both"/>
        <w:rPr>
          <w:rFonts w:ascii="Bookman Old Style" w:hAnsi="Bookman Old Style" w:cs="Arial"/>
          <w:b w:val="0"/>
          <w:color w:val="000000" w:themeColor="text1"/>
          <w:lang w:val="es-ES"/>
        </w:rPr>
      </w:pPr>
      <w:r w:rsidRPr="005971A3">
        <w:rPr>
          <w:rFonts w:ascii="Bookman Old Style" w:hAnsi="Bookman Old Style"/>
          <w:b w:val="0"/>
          <w:color w:val="000000" w:themeColor="text1"/>
          <w:lang w:val="es-CO"/>
        </w:rPr>
        <w:t xml:space="preserve">El administrador de la subasta deberá verificar que los mecanismos de </w:t>
      </w:r>
      <w:r w:rsidRPr="005971A3">
        <w:rPr>
          <w:rFonts w:ascii="Bookman Old Style" w:hAnsi="Bookman Old Style" w:cs="Arial"/>
          <w:b w:val="0"/>
          <w:color w:val="000000" w:themeColor="text1"/>
          <w:lang w:val="es-CO"/>
        </w:rPr>
        <w:t xml:space="preserve">cubrimiento entregados por cada comprador se ajusten a lo dispuesto en el numeral </w:t>
      </w:r>
      <w:r w:rsidRPr="005971A3">
        <w:rPr>
          <w:rFonts w:ascii="Bookman Old Style" w:hAnsi="Bookman Old Style" w:cs="Arial"/>
          <w:b w:val="0"/>
          <w:color w:val="000000" w:themeColor="text1"/>
          <w:lang w:val="es-CO"/>
        </w:rPr>
        <w:fldChar w:fldCharType="begin"/>
      </w:r>
      <w:r w:rsidRPr="005971A3">
        <w:rPr>
          <w:rFonts w:ascii="Bookman Old Style" w:hAnsi="Bookman Old Style" w:cs="Arial"/>
          <w:b w:val="0"/>
          <w:color w:val="000000" w:themeColor="text1"/>
          <w:lang w:val="es-CO"/>
        </w:rPr>
        <w:instrText xml:space="preserve"> REF _Ref337203593 \r \h  \* MERGEFORMAT </w:instrText>
      </w:r>
      <w:r w:rsidRPr="005971A3">
        <w:rPr>
          <w:rFonts w:ascii="Bookman Old Style" w:hAnsi="Bookman Old Style" w:cs="Arial"/>
          <w:b w:val="0"/>
          <w:color w:val="000000" w:themeColor="text1"/>
          <w:lang w:val="es-CO"/>
        </w:rPr>
      </w:r>
      <w:r w:rsidRPr="005971A3">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5.13.1</w:t>
      </w:r>
      <w:r w:rsidRPr="005971A3">
        <w:rPr>
          <w:rFonts w:ascii="Bookman Old Style" w:hAnsi="Bookman Old Style" w:cs="Arial"/>
          <w:b w:val="0"/>
          <w:color w:val="000000" w:themeColor="text1"/>
          <w:lang w:val="es-CO"/>
        </w:rPr>
        <w:fldChar w:fldCharType="end"/>
      </w:r>
      <w:r w:rsidRPr="005971A3">
        <w:rPr>
          <w:rFonts w:ascii="Bookman Old Style" w:hAnsi="Bookman Old Style" w:cs="Arial"/>
          <w:b w:val="0"/>
          <w:color w:val="000000" w:themeColor="text1"/>
          <w:lang w:val="es-CO"/>
        </w:rPr>
        <w:t xml:space="preserve"> de este Anexo, </w:t>
      </w:r>
      <w:r w:rsidRPr="005971A3">
        <w:rPr>
          <w:rFonts w:ascii="Bookman Old Style" w:hAnsi="Bookman Old Style"/>
          <w:b w:val="0"/>
          <w:color w:val="000000" w:themeColor="text1"/>
          <w:lang w:val="es-CO"/>
        </w:rPr>
        <w:t xml:space="preserve">que el comprador no se encuentre en las listas o reportes asociados con actividades ilícitas de que trata el numeral </w:t>
      </w:r>
      <w:r w:rsidRPr="005971A3">
        <w:rPr>
          <w:rFonts w:ascii="Bookman Old Style" w:hAnsi="Bookman Old Style"/>
          <w:b w:val="0"/>
          <w:color w:val="000000" w:themeColor="text1"/>
          <w:lang w:val="es-CO"/>
        </w:rPr>
        <w:fldChar w:fldCharType="begin"/>
      </w:r>
      <w:r w:rsidRPr="005971A3">
        <w:rPr>
          <w:rFonts w:ascii="Bookman Old Style" w:hAnsi="Bookman Old Style" w:cs="Arial"/>
          <w:b w:val="0"/>
          <w:color w:val="000000" w:themeColor="text1"/>
          <w:lang w:val="es-CO"/>
        </w:rPr>
        <w:instrText xml:space="preserve"> REF _Ref359854719 \n \h </w:instrText>
      </w:r>
      <w:r w:rsidRPr="005971A3">
        <w:rPr>
          <w:rFonts w:ascii="Bookman Old Style" w:hAnsi="Bookman Old Style"/>
          <w:b w:val="0"/>
          <w:color w:val="000000" w:themeColor="text1"/>
          <w:lang w:val="es-CO"/>
        </w:rPr>
        <w:instrText xml:space="preserve"> \* MERGEFORMAT </w:instrText>
      </w:r>
      <w:r w:rsidRPr="005971A3">
        <w:rPr>
          <w:rFonts w:ascii="Bookman Old Style" w:hAnsi="Bookman Old Style"/>
          <w:b w:val="0"/>
          <w:color w:val="000000" w:themeColor="text1"/>
          <w:lang w:val="es-CO"/>
        </w:rPr>
      </w:r>
      <w:r w:rsidRPr="005971A3">
        <w:rPr>
          <w:rFonts w:ascii="Bookman Old Style" w:hAnsi="Bookman Old Style"/>
          <w:b w:val="0"/>
          <w:color w:val="000000" w:themeColor="text1"/>
          <w:lang w:val="es-CO"/>
        </w:rPr>
        <w:fldChar w:fldCharType="separate"/>
      </w:r>
      <w:r w:rsidR="00636B6A">
        <w:rPr>
          <w:rFonts w:ascii="Bookman Old Style" w:hAnsi="Bookman Old Style" w:cs="Arial"/>
          <w:b w:val="0"/>
          <w:color w:val="000000" w:themeColor="text1"/>
          <w:lang w:val="es-CO"/>
        </w:rPr>
        <w:t>5.13.3</w:t>
      </w:r>
      <w:r w:rsidRPr="005971A3">
        <w:rPr>
          <w:rFonts w:ascii="Bookman Old Style" w:hAnsi="Bookman Old Style"/>
          <w:b w:val="0"/>
          <w:color w:val="000000" w:themeColor="text1"/>
          <w:lang w:val="es-CO"/>
        </w:rPr>
        <w:fldChar w:fldCharType="end"/>
      </w:r>
      <w:r w:rsidRPr="005971A3">
        <w:rPr>
          <w:rFonts w:ascii="Bookman Old Style" w:hAnsi="Bookman Old Style"/>
          <w:b w:val="0"/>
          <w:color w:val="000000" w:themeColor="text1"/>
          <w:lang w:val="es-CO"/>
        </w:rPr>
        <w:t xml:space="preserve"> </w:t>
      </w:r>
      <w:r w:rsidRPr="005971A3">
        <w:rPr>
          <w:rFonts w:ascii="Bookman Old Style" w:hAnsi="Bookman Old Style" w:cs="Arial"/>
          <w:b w:val="0"/>
          <w:color w:val="000000" w:themeColor="text1"/>
          <w:lang w:val="es-CO"/>
        </w:rPr>
        <w:t xml:space="preserve">de este Anexo, y que los sistemas computacionales y de comunicación requeridos por cada comprador funcionan adecuadamente según lo dispuesto en el literal </w:t>
      </w:r>
      <w:r w:rsidRPr="005971A3">
        <w:rPr>
          <w:rFonts w:ascii="Bookman Old Style" w:hAnsi="Bookman Old Style" w:cs="Arial"/>
          <w:b w:val="0"/>
          <w:color w:val="000000" w:themeColor="text1"/>
          <w:lang w:val="es-CO"/>
        </w:rPr>
        <w:fldChar w:fldCharType="begin"/>
      </w:r>
      <w:r w:rsidRPr="005971A3">
        <w:rPr>
          <w:rFonts w:ascii="Bookman Old Style" w:hAnsi="Bookman Old Style" w:cs="Arial"/>
          <w:b w:val="0"/>
          <w:color w:val="000000" w:themeColor="text1"/>
          <w:lang w:val="es-CO"/>
        </w:rPr>
        <w:instrText xml:space="preserve"> REF _Ref363553082 \r \h  \* MERGEFORMAT </w:instrText>
      </w:r>
      <w:r w:rsidRPr="005971A3">
        <w:rPr>
          <w:rFonts w:ascii="Bookman Old Style" w:hAnsi="Bookman Old Style" w:cs="Arial"/>
          <w:b w:val="0"/>
          <w:color w:val="000000" w:themeColor="text1"/>
          <w:lang w:val="es-CO"/>
        </w:rPr>
      </w:r>
      <w:r w:rsidRPr="005971A3">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j)</w:t>
      </w:r>
      <w:r w:rsidRPr="005971A3">
        <w:rPr>
          <w:rFonts w:ascii="Bookman Old Style" w:hAnsi="Bookman Old Style" w:cs="Arial"/>
          <w:b w:val="0"/>
          <w:color w:val="000000" w:themeColor="text1"/>
          <w:lang w:val="es-CO"/>
        </w:rPr>
        <w:fldChar w:fldCharType="end"/>
      </w:r>
      <w:r w:rsidRPr="005971A3">
        <w:rPr>
          <w:rFonts w:ascii="Bookman Old Style" w:hAnsi="Bookman Old Style" w:cs="Arial"/>
          <w:b w:val="0"/>
          <w:color w:val="000000" w:themeColor="text1"/>
          <w:lang w:val="es-CO"/>
        </w:rPr>
        <w:t xml:space="preserve"> del </w:t>
      </w:r>
      <w:r w:rsidRPr="005971A3">
        <w:rPr>
          <w:rFonts w:ascii="Bookman Old Style" w:hAnsi="Bookman Old Style"/>
          <w:b w:val="0"/>
          <w:color w:val="000000" w:themeColor="text1"/>
          <w:lang w:val="es-CO"/>
        </w:rPr>
        <w:t>numeral</w:t>
      </w:r>
      <w:r w:rsidRPr="005971A3">
        <w:rPr>
          <w:rFonts w:ascii="Bookman Old Style" w:hAnsi="Bookman Old Style" w:cs="Arial"/>
          <w:b w:val="0"/>
          <w:color w:val="000000" w:themeColor="text1"/>
          <w:lang w:val="es-CO"/>
        </w:rPr>
        <w:t xml:space="preserve"> </w:t>
      </w:r>
      <w:r w:rsidRPr="005971A3">
        <w:rPr>
          <w:rFonts w:ascii="Bookman Old Style" w:hAnsi="Bookman Old Style" w:cs="Arial"/>
          <w:b w:val="0"/>
          <w:color w:val="000000" w:themeColor="text1"/>
          <w:lang w:val="es-CO"/>
        </w:rPr>
        <w:fldChar w:fldCharType="begin"/>
      </w:r>
      <w:r w:rsidRPr="005971A3">
        <w:rPr>
          <w:rFonts w:ascii="Bookman Old Style" w:hAnsi="Bookman Old Style" w:cs="Arial"/>
          <w:b w:val="0"/>
          <w:color w:val="000000" w:themeColor="text1"/>
          <w:lang w:val="es-CO"/>
        </w:rPr>
        <w:instrText xml:space="preserve"> REF _Ref363553086 \r \h  \* MERGEFORMAT </w:instrText>
      </w:r>
      <w:r w:rsidRPr="005971A3">
        <w:rPr>
          <w:rFonts w:ascii="Bookman Old Style" w:hAnsi="Bookman Old Style" w:cs="Arial"/>
          <w:b w:val="0"/>
          <w:color w:val="000000" w:themeColor="text1"/>
          <w:lang w:val="es-CO"/>
        </w:rPr>
      </w:r>
      <w:r w:rsidRPr="005971A3">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4.1</w:t>
      </w:r>
      <w:r w:rsidRPr="005971A3">
        <w:rPr>
          <w:rFonts w:ascii="Bookman Old Style" w:hAnsi="Bookman Old Style" w:cs="Arial"/>
          <w:b w:val="0"/>
          <w:color w:val="000000" w:themeColor="text1"/>
          <w:lang w:val="es-CO"/>
        </w:rPr>
        <w:fldChar w:fldCharType="end"/>
      </w:r>
      <w:r w:rsidRPr="005971A3">
        <w:rPr>
          <w:rFonts w:ascii="Bookman Old Style" w:hAnsi="Bookman Old Style" w:cs="Arial"/>
          <w:b w:val="0"/>
          <w:color w:val="000000" w:themeColor="text1"/>
          <w:lang w:val="es-CO"/>
        </w:rPr>
        <w:t xml:space="preserve"> de este Anexo</w:t>
      </w:r>
      <w:r w:rsidRPr="005971A3">
        <w:rPr>
          <w:rFonts w:ascii="Bookman Old Style" w:hAnsi="Bookman Old Style"/>
          <w:b w:val="0"/>
          <w:color w:val="000000" w:themeColor="text1"/>
          <w:lang w:val="es-CO"/>
        </w:rPr>
        <w:t xml:space="preserve">. Si se cumplen estos requisitos, el administrador de la subasta entenderá que es un comprador habilitado para participar en la subasta y lo incluirá en el documento de que trata el literal </w:t>
      </w:r>
      <w:r w:rsidRPr="005971A3">
        <w:rPr>
          <w:rFonts w:ascii="Bookman Old Style" w:hAnsi="Bookman Old Style"/>
          <w:b w:val="0"/>
          <w:color w:val="000000" w:themeColor="text1"/>
          <w:lang w:val="es-CO"/>
        </w:rPr>
        <w:fldChar w:fldCharType="begin"/>
      </w:r>
      <w:r w:rsidRPr="005971A3">
        <w:rPr>
          <w:rFonts w:ascii="Bookman Old Style" w:hAnsi="Bookman Old Style"/>
          <w:b w:val="0"/>
          <w:color w:val="000000" w:themeColor="text1"/>
          <w:lang w:val="es-CO"/>
        </w:rPr>
        <w:instrText xml:space="preserve"> REF _Ref363553255 \r \h  \* MERGEFORMAT </w:instrText>
      </w:r>
      <w:r w:rsidRPr="005971A3">
        <w:rPr>
          <w:rFonts w:ascii="Bookman Old Style" w:hAnsi="Bookman Old Style"/>
          <w:b w:val="0"/>
          <w:color w:val="000000" w:themeColor="text1"/>
          <w:lang w:val="es-CO"/>
        </w:rPr>
      </w:r>
      <w:r w:rsidRPr="005971A3">
        <w:rPr>
          <w:rFonts w:ascii="Bookman Old Style" w:hAnsi="Bookman Old Style"/>
          <w:b w:val="0"/>
          <w:color w:val="000000" w:themeColor="text1"/>
          <w:lang w:val="es-CO"/>
        </w:rPr>
        <w:fldChar w:fldCharType="separate"/>
      </w:r>
      <w:r w:rsidR="00636B6A">
        <w:rPr>
          <w:rFonts w:ascii="Bookman Old Style" w:hAnsi="Bookman Old Style"/>
          <w:b w:val="0"/>
          <w:color w:val="000000" w:themeColor="text1"/>
          <w:lang w:val="es-CO"/>
        </w:rPr>
        <w:t>k)</w:t>
      </w:r>
      <w:r w:rsidRPr="005971A3">
        <w:rPr>
          <w:rFonts w:ascii="Bookman Old Style" w:hAnsi="Bookman Old Style"/>
          <w:b w:val="0"/>
          <w:color w:val="000000" w:themeColor="text1"/>
          <w:lang w:val="es-CO"/>
        </w:rPr>
        <w:fldChar w:fldCharType="end"/>
      </w:r>
      <w:r w:rsidRPr="005971A3">
        <w:rPr>
          <w:rFonts w:ascii="Bookman Old Style" w:hAnsi="Bookman Old Style"/>
          <w:b w:val="0"/>
          <w:color w:val="000000" w:themeColor="text1"/>
          <w:lang w:val="es-CO"/>
        </w:rPr>
        <w:t xml:space="preserve"> </w:t>
      </w:r>
      <w:r w:rsidRPr="005971A3">
        <w:rPr>
          <w:rFonts w:ascii="Bookman Old Style" w:hAnsi="Bookman Old Style" w:cs="Arial"/>
          <w:b w:val="0"/>
          <w:color w:val="000000" w:themeColor="text1"/>
          <w:lang w:val="es-CO"/>
        </w:rPr>
        <w:t xml:space="preserve">del </w:t>
      </w:r>
      <w:r w:rsidRPr="005971A3">
        <w:rPr>
          <w:rFonts w:ascii="Bookman Old Style" w:hAnsi="Bookman Old Style"/>
          <w:b w:val="0"/>
          <w:color w:val="000000" w:themeColor="text1"/>
          <w:lang w:val="es-CO"/>
        </w:rPr>
        <w:t>numeral</w:t>
      </w:r>
      <w:r w:rsidRPr="00483BFD">
        <w:rPr>
          <w:rFonts w:ascii="Bookman Old Style" w:hAnsi="Bookman Old Style" w:cs="Arial"/>
          <w:b w:val="0"/>
          <w:color w:val="000000" w:themeColor="text1"/>
          <w:lang w:val="es-CO"/>
        </w:rPr>
        <w:t xml:space="preserve"> </w:t>
      </w:r>
      <w:r w:rsidRPr="00483BFD">
        <w:rPr>
          <w:rFonts w:ascii="Bookman Old Style" w:hAnsi="Bookman Old Style" w:cs="Arial"/>
          <w:b w:val="0"/>
          <w:color w:val="000000" w:themeColor="text1"/>
          <w:lang w:val="es-CO"/>
        </w:rPr>
        <w:fldChar w:fldCharType="begin"/>
      </w:r>
      <w:r w:rsidRPr="00483BFD">
        <w:rPr>
          <w:rFonts w:ascii="Bookman Old Style" w:hAnsi="Bookman Old Style" w:cs="Arial"/>
          <w:b w:val="0"/>
          <w:color w:val="000000" w:themeColor="text1"/>
          <w:lang w:val="es-CO"/>
        </w:rPr>
        <w:instrText xml:space="preserve"> REF _Ref363553086 \r \h  \* MERGEFORMAT </w:instrText>
      </w:r>
      <w:r w:rsidRPr="00483BFD">
        <w:rPr>
          <w:rFonts w:ascii="Bookman Old Style" w:hAnsi="Bookman Old Style" w:cs="Arial"/>
          <w:b w:val="0"/>
          <w:color w:val="000000" w:themeColor="text1"/>
          <w:lang w:val="es-CO"/>
        </w:rPr>
      </w:r>
      <w:r w:rsidRPr="00483BFD">
        <w:rPr>
          <w:rFonts w:ascii="Bookman Old Style" w:hAnsi="Bookman Old Style" w:cs="Arial"/>
          <w:b w:val="0"/>
          <w:color w:val="000000" w:themeColor="text1"/>
          <w:lang w:val="es-CO"/>
        </w:rPr>
        <w:fldChar w:fldCharType="separate"/>
      </w:r>
      <w:r w:rsidR="00636B6A">
        <w:rPr>
          <w:rFonts w:ascii="Bookman Old Style" w:hAnsi="Bookman Old Style" w:cs="Arial"/>
          <w:b w:val="0"/>
          <w:color w:val="000000" w:themeColor="text1"/>
          <w:lang w:val="es-CO"/>
        </w:rPr>
        <w:t>4.1</w:t>
      </w:r>
      <w:r w:rsidRPr="00483BFD">
        <w:rPr>
          <w:rFonts w:ascii="Bookman Old Style" w:hAnsi="Bookman Old Style" w:cs="Arial"/>
          <w:b w:val="0"/>
          <w:color w:val="000000" w:themeColor="text1"/>
          <w:lang w:val="es-CO"/>
        </w:rPr>
        <w:fldChar w:fldCharType="end"/>
      </w:r>
      <w:r w:rsidRPr="00483BFD">
        <w:rPr>
          <w:rFonts w:ascii="Bookman Old Style" w:hAnsi="Bookman Old Style" w:cs="Arial"/>
          <w:b w:val="0"/>
          <w:color w:val="000000" w:themeColor="text1"/>
          <w:lang w:val="es-CO"/>
        </w:rPr>
        <w:t xml:space="preserve"> de este Anexo</w:t>
      </w:r>
      <w:r w:rsidRPr="00483BFD">
        <w:rPr>
          <w:rFonts w:ascii="Bookman Old Style" w:hAnsi="Bookman Old Style"/>
          <w:b w:val="0"/>
          <w:color w:val="000000" w:themeColor="text1"/>
        </w:rPr>
        <w:t>.</w:t>
      </w:r>
      <w:r w:rsidRPr="00483BFD">
        <w:rPr>
          <w:rFonts w:ascii="Bookman Old Style" w:hAnsi="Bookman Old Style" w:cs="Arial"/>
          <w:b w:val="0"/>
          <w:color w:val="000000" w:themeColor="text1"/>
          <w:lang w:val="es-ES"/>
        </w:rPr>
        <w:t xml:space="preserve"> </w:t>
      </w:r>
    </w:p>
    <w:p w14:paraId="34469EDB" w14:textId="77777777" w:rsidR="005C0F94" w:rsidRPr="00483BFD" w:rsidRDefault="005C0F94" w:rsidP="005C0F94">
      <w:pPr>
        <w:pStyle w:val="Textoindependiente"/>
        <w:ind w:left="0"/>
        <w:jc w:val="both"/>
        <w:rPr>
          <w:rFonts w:ascii="Bookman Old Style" w:hAnsi="Bookman Old Style" w:cs="Arial"/>
          <w:b w:val="0"/>
          <w:color w:val="000000" w:themeColor="text1"/>
          <w:lang w:val="es-ES"/>
        </w:rPr>
      </w:pPr>
    </w:p>
    <w:p w14:paraId="144913A6"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r w:rsidRPr="00483BFD">
        <w:rPr>
          <w:rFonts w:ascii="Bookman Old Style" w:hAnsi="Bookman Old Style" w:cs="Arial"/>
          <w:b w:val="0"/>
          <w:color w:val="000000" w:themeColor="text1"/>
          <w:lang w:val="es-CO"/>
        </w:rPr>
        <w:t>En el evento en que una declaración de demanda máxima no se ajuste a lo aquí dispuesto el administrador de la subasta lo pondrá en conocimiento del comprador respectivo, el cual dispondrá de 24 horas, contadas a partir del momento en que el administrador de la subasta lo haya informado, para la corrección correspondiente. Si cumplido este plazo el administrador de la subasta no recibe la declaración debidamente ajustada, éste entenderá que el comprador no participará en la subasta.</w:t>
      </w:r>
    </w:p>
    <w:p w14:paraId="528383D9"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p>
    <w:p w14:paraId="1A65ECAF"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La información señalada en este </w:t>
      </w:r>
      <w:r w:rsidRPr="00483BFD">
        <w:rPr>
          <w:rFonts w:ascii="Bookman Old Style" w:hAnsi="Bookman Old Style" w:cs="Arial"/>
          <w:color w:val="000000" w:themeColor="text1"/>
        </w:rPr>
        <w:t>numeral</w:t>
      </w:r>
      <w:r w:rsidRPr="00483BFD">
        <w:rPr>
          <w:rFonts w:ascii="Bookman Old Style" w:hAnsi="Bookman Old Style"/>
          <w:color w:val="000000" w:themeColor="text1"/>
        </w:rPr>
        <w:t xml:space="preserve"> deberá ser presentada a través del medio y de los formatos que defina el administrador de la subasta.</w:t>
      </w:r>
    </w:p>
    <w:p w14:paraId="5335A8AD" w14:textId="77777777" w:rsidR="005C0F94" w:rsidRPr="00483BFD" w:rsidRDefault="005C0F94" w:rsidP="005C0F94">
      <w:pPr>
        <w:ind w:left="0"/>
        <w:jc w:val="both"/>
        <w:rPr>
          <w:rFonts w:ascii="Bookman Old Style" w:hAnsi="Bookman Old Style"/>
          <w:color w:val="000000" w:themeColor="text1"/>
        </w:rPr>
      </w:pPr>
    </w:p>
    <w:p w14:paraId="4C94CA0A"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190" w:name="_Ref336418743"/>
      <w:r w:rsidRPr="00483BFD">
        <w:rPr>
          <w:rFonts w:ascii="Bookman Old Style" w:hAnsi="Bookman Old Style"/>
          <w:color w:val="000000" w:themeColor="text1"/>
          <w:sz w:val="24"/>
          <w:szCs w:val="24"/>
        </w:rPr>
        <w:t>Ronda cero (0</w:t>
      </w:r>
      <w:bookmarkEnd w:id="190"/>
      <w:r w:rsidRPr="00483BFD">
        <w:rPr>
          <w:rFonts w:ascii="Bookman Old Style" w:hAnsi="Bookman Old Style"/>
          <w:color w:val="000000" w:themeColor="text1"/>
          <w:sz w:val="24"/>
          <w:szCs w:val="24"/>
        </w:rPr>
        <w:t>)</w:t>
      </w:r>
    </w:p>
    <w:p w14:paraId="0317CFA2" w14:textId="77777777" w:rsidR="005C0F94" w:rsidRPr="00483BFD" w:rsidRDefault="005C0F94" w:rsidP="005C0F94">
      <w:pPr>
        <w:ind w:left="0"/>
        <w:jc w:val="both"/>
        <w:rPr>
          <w:rFonts w:ascii="Bookman Old Style" w:hAnsi="Bookman Old Style"/>
          <w:color w:val="000000" w:themeColor="text1"/>
        </w:rPr>
      </w:pPr>
    </w:p>
    <w:p w14:paraId="43851FD7"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La subasta se iniciará con la ronda cero (0), en la cual tendrán lugar los siguientes eventos:</w:t>
      </w:r>
    </w:p>
    <w:p w14:paraId="65235877" w14:textId="77777777" w:rsidR="005C0F94" w:rsidRPr="00483BFD" w:rsidRDefault="005C0F94" w:rsidP="005C0F94">
      <w:pPr>
        <w:ind w:left="0"/>
        <w:jc w:val="both"/>
        <w:rPr>
          <w:rFonts w:ascii="Bookman Old Style" w:hAnsi="Bookman Old Style"/>
          <w:color w:val="000000" w:themeColor="text1"/>
        </w:rPr>
      </w:pPr>
    </w:p>
    <w:p w14:paraId="1805CA83" w14:textId="11FB68FB" w:rsidR="005C0F94" w:rsidRPr="00483BFD" w:rsidRDefault="005C0F94" w:rsidP="005C0F94">
      <w:pPr>
        <w:numPr>
          <w:ilvl w:val="0"/>
          <w:numId w:val="142"/>
        </w:numPr>
        <w:autoSpaceDE w:val="0"/>
        <w:autoSpaceDN w:val="0"/>
        <w:adjustRightInd w:val="0"/>
        <w:ind w:left="1134" w:hanging="567"/>
        <w:jc w:val="both"/>
        <w:rPr>
          <w:rFonts w:ascii="Bookman Old Style" w:hAnsi="Bookman Old Style" w:cs="Arial"/>
          <w:color w:val="000000" w:themeColor="text1"/>
        </w:rPr>
      </w:pPr>
      <w:bookmarkStart w:id="191" w:name="_Ref336266482"/>
      <w:r w:rsidRPr="00483BFD">
        <w:rPr>
          <w:rFonts w:ascii="Bookman Old Style" w:hAnsi="Bookman Old Style" w:cs="Arial"/>
          <w:color w:val="000000" w:themeColor="text1"/>
        </w:rPr>
        <w:t xml:space="preserve">Para cada producto el subastador hará público </w:t>
      </w:r>
      <w:r w:rsidRPr="00483BFD">
        <w:rPr>
          <w:rFonts w:ascii="Bookman Old Style" w:hAnsi="Bookman Old Style"/>
          <w:color w:val="000000" w:themeColor="text1"/>
        </w:rPr>
        <w:t>el precio de inicio de la subasta</w:t>
      </w:r>
      <w:r w:rsidRPr="00483BFD">
        <w:rPr>
          <w:rFonts w:ascii="Bookman Old Style" w:hAnsi="Bookman Old Style" w:cs="Arial"/>
          <w:color w:val="000000" w:themeColor="text1"/>
        </w:rPr>
        <w:t xml:space="preserve"> y la cantidad total de energía ofrecida a ese precio, en los términos de la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_Ref336265748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sidRPr="00996A90">
        <w:rPr>
          <w:rFonts w:ascii="Bookman Old Style" w:hAnsi="Bookman Old Style" w:cs="Arial"/>
          <w:color w:val="000000" w:themeColor="text1"/>
        </w:rPr>
        <w:t xml:space="preserve">Tabla </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w:t>
      </w:r>
      <w:bookmarkEnd w:id="191"/>
    </w:p>
    <w:p w14:paraId="3136D20A"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1F24AA4B" w14:textId="06854F6C" w:rsidR="005C0F94" w:rsidRPr="00483BFD" w:rsidRDefault="005C0F94" w:rsidP="005C0F94">
      <w:pPr>
        <w:pStyle w:val="Descripcin"/>
        <w:keepNext/>
        <w:spacing w:before="0" w:after="0" w:line="240" w:lineRule="auto"/>
        <w:ind w:left="1134"/>
        <w:rPr>
          <w:rFonts w:ascii="Bookman Old Style" w:hAnsi="Bookman Old Style"/>
          <w:b/>
          <w:color w:val="000000" w:themeColor="text1"/>
          <w:sz w:val="24"/>
          <w:szCs w:val="24"/>
          <w:lang w:val="es-CO"/>
        </w:rPr>
      </w:pPr>
      <w:bookmarkStart w:id="192" w:name="_Ref336265748"/>
      <w:r w:rsidRPr="00483BFD">
        <w:rPr>
          <w:rFonts w:ascii="Bookman Old Style" w:hAnsi="Bookman Old Style"/>
          <w:b/>
          <w:color w:val="000000" w:themeColor="text1"/>
          <w:sz w:val="24"/>
          <w:szCs w:val="24"/>
          <w:lang w:val="es-CO"/>
        </w:rPr>
        <w:t xml:space="preserve">Tabla </w:t>
      </w:r>
      <w:bookmarkEnd w:id="192"/>
      <w:r w:rsidR="00683F24">
        <w:rPr>
          <w:rFonts w:ascii="Bookman Old Style" w:hAnsi="Bookman Old Style"/>
          <w:b/>
          <w:color w:val="000000" w:themeColor="text1"/>
          <w:sz w:val="24"/>
          <w:szCs w:val="24"/>
          <w:lang w:val="es-CO"/>
        </w:rPr>
        <w:t>3</w:t>
      </w:r>
      <w:r w:rsidRPr="00483BFD">
        <w:rPr>
          <w:rFonts w:ascii="Bookman Old Style" w:hAnsi="Bookman Old Style"/>
          <w:b/>
          <w:color w:val="000000" w:themeColor="text1"/>
          <w:sz w:val="24"/>
          <w:szCs w:val="24"/>
          <w:lang w:val="es-CO"/>
        </w:rPr>
        <w:t xml:space="preserve">. Oferta del producto </w:t>
      </w:r>
      <m:oMath>
        <m:sSub>
          <m:sSubPr>
            <m:ctrlPr>
              <w:rPr>
                <w:rFonts w:ascii="Cambria Math" w:hAnsi="Cambria Math" w:cs="Arial"/>
                <w:b/>
                <w:i/>
                <w:color w:val="000000" w:themeColor="text1"/>
                <w:sz w:val="24"/>
                <w:szCs w:val="24"/>
              </w:rPr>
            </m:ctrlPr>
          </m:sSubPr>
          <m:e>
            <m:r>
              <m:rPr>
                <m:sty m:val="bi"/>
              </m:rPr>
              <w:rPr>
                <w:rFonts w:ascii="Cambria Math" w:hAnsi="Cambria Math" w:cs="Arial"/>
                <w:color w:val="000000" w:themeColor="text1"/>
                <w:sz w:val="24"/>
                <w:szCs w:val="24"/>
              </w:rPr>
              <m:t>T</m:t>
            </m:r>
          </m:e>
          <m:sub>
            <m:r>
              <m:rPr>
                <m:sty m:val="bi"/>
              </m:rPr>
              <w:rPr>
                <w:rFonts w:ascii="Cambria Math" w:hAnsi="Cambria Math" w:cs="Arial"/>
                <w:color w:val="000000" w:themeColor="text1"/>
                <w:sz w:val="24"/>
                <w:szCs w:val="24"/>
              </w:rPr>
              <m:t>f,d</m:t>
            </m:r>
          </m:sub>
        </m:sSub>
      </m:oMath>
      <w:r w:rsidRPr="00483BFD">
        <w:rPr>
          <w:rFonts w:ascii="Bookman Old Style" w:hAnsi="Bookman Old Style"/>
          <w:b/>
          <w:color w:val="000000" w:themeColor="text1"/>
          <w:sz w:val="24"/>
          <w:szCs w:val="24"/>
          <w:lang w:val="es-CO"/>
        </w:rPr>
        <w:t xml:space="preserve"> al menor precio de reserva</w:t>
      </w:r>
    </w:p>
    <w:p w14:paraId="5CA5BEDC"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p>
    <w:tbl>
      <w:tblPr>
        <w:tblStyle w:val="Tablaconcuadrcula"/>
        <w:tblW w:w="0" w:type="auto"/>
        <w:tblInd w:w="1526" w:type="dxa"/>
        <w:tblLook w:val="04A0" w:firstRow="1" w:lastRow="0" w:firstColumn="1" w:lastColumn="0" w:noHBand="0" w:noVBand="1"/>
      </w:tblPr>
      <w:tblGrid>
        <w:gridCol w:w="3862"/>
        <w:gridCol w:w="3862"/>
      </w:tblGrid>
      <w:tr w:rsidR="005C0F94" w:rsidRPr="00483BFD" w14:paraId="29D00210" w14:textId="77777777">
        <w:tc>
          <w:tcPr>
            <w:tcW w:w="3862" w:type="dxa"/>
            <w:vAlign w:val="center"/>
          </w:tcPr>
          <w:p w14:paraId="5D97DFED" w14:textId="77777777" w:rsidR="005C0F94" w:rsidRPr="00483BFD" w:rsidRDefault="005C0F94">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 xml:space="preserve">Oferta, </w:t>
            </w:r>
            <m:oMath>
              <m:sSub>
                <m:sSubPr>
                  <m:ctrlPr>
                    <w:rPr>
                      <w:rFonts w:ascii="Cambria Math" w:hAnsi="Cambria Math" w:cs="Arial"/>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Sub>
              <m:r>
                <m:rPr>
                  <m:sty m:val="bi"/>
                </m:rPr>
                <w:rPr>
                  <w:rFonts w:ascii="Cambria Math" w:hAnsi="Cambria Math" w:cs="Arial"/>
                  <w:color w:val="000000" w:themeColor="text1"/>
                </w:rPr>
                <m:t>(</m:t>
              </m:r>
              <m:sSubSup>
                <m:sSubSupPr>
                  <m:ctrlPr>
                    <w:rPr>
                      <w:rFonts w:ascii="Cambria Math" w:hAnsi="Cambria Math" w:cs="Arial"/>
                      <w:i/>
                      <w:color w:val="000000" w:themeColor="text1"/>
                    </w:rPr>
                  </m:ctrlPr>
                </m:sSubSupPr>
                <m:e>
                  <m:r>
                    <m:rPr>
                      <m:sty m:val="bi"/>
                    </m:rPr>
                    <w:rPr>
                      <w:rFonts w:ascii="Cambria Math" w:hAnsi="Cambria Math" w:cs="Arial"/>
                      <w:color w:val="000000" w:themeColor="text1"/>
                    </w:rPr>
                    <m:t>p</m:t>
                  </m:r>
                </m:e>
                <m:sub>
                  <m:sSub>
                    <m:sSubPr>
                      <m:ctrlPr>
                        <w:rPr>
                          <w:rFonts w:ascii="Cambria Math" w:hAnsi="Cambria Math" w:cs="Arial"/>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oMath>
          </w:p>
        </w:tc>
        <w:tc>
          <w:tcPr>
            <w:tcW w:w="3862" w:type="dxa"/>
            <w:vAlign w:val="center"/>
          </w:tcPr>
          <w:p w14:paraId="2676776B" w14:textId="77777777" w:rsidR="005C0F94" w:rsidRPr="00483BFD" w:rsidRDefault="005C0F94">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 xml:space="preserve">Precio, </w:t>
            </w:r>
            <m:oMath>
              <m:sSubSup>
                <m:sSubSupPr>
                  <m:ctrlPr>
                    <w:rPr>
                      <w:rFonts w:ascii="Cambria Math" w:hAnsi="Cambria Math" w:cs="Arial"/>
                      <w:i/>
                      <w:color w:val="000000" w:themeColor="text1"/>
                    </w:rPr>
                  </m:ctrlPr>
                </m:sSubSupPr>
                <m:e>
                  <m:r>
                    <m:rPr>
                      <m:sty m:val="bi"/>
                    </m:rPr>
                    <w:rPr>
                      <w:rFonts w:ascii="Cambria Math" w:hAnsi="Cambria Math" w:cs="Arial"/>
                      <w:color w:val="000000" w:themeColor="text1"/>
                    </w:rPr>
                    <m:t>p</m:t>
                  </m:r>
                </m:e>
                <m:sub>
                  <m:sSub>
                    <m:sSubPr>
                      <m:ctrlPr>
                        <w:rPr>
                          <w:rFonts w:ascii="Cambria Math" w:hAnsi="Cambria Math" w:cs="Arial"/>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m:t>
                  </m:r>
                </m:sup>
              </m:sSubSup>
            </m:oMath>
          </w:p>
        </w:tc>
      </w:tr>
      <w:tr w:rsidR="005C0F94" w:rsidRPr="00483BFD" w14:paraId="02766557" w14:textId="77777777">
        <w:tc>
          <w:tcPr>
            <w:tcW w:w="3862" w:type="dxa"/>
            <w:vAlign w:val="center"/>
          </w:tcPr>
          <w:p w14:paraId="2BEBF083" w14:textId="77777777" w:rsidR="005C0F94" w:rsidRPr="00851155" w:rsidRDefault="005C0F94">
            <w:pPr>
              <w:pStyle w:val="Textoindependiente"/>
              <w:ind w:left="0"/>
              <w:rPr>
                <w:rFonts w:ascii="Bookman Old Style" w:hAnsi="Bookman Old Style" w:cs="Arial"/>
                <w:b w:val="0"/>
                <w:color w:val="000000" w:themeColor="text1"/>
                <w:lang w:val="es-CO"/>
              </w:rPr>
            </w:pPr>
            <m:oMathPara>
              <m:oMath>
                <m:r>
                  <m:rPr>
                    <m:sty m:val="bi"/>
                  </m:rPr>
                  <w:rPr>
                    <w:rFonts w:ascii="Cambria Math" w:hAnsi="Cambria Math"/>
                    <w:color w:val="000000" w:themeColor="text1"/>
                  </w:rPr>
                  <m:t>0</m:t>
                </m:r>
              </m:oMath>
            </m:oMathPara>
          </w:p>
        </w:tc>
        <w:tc>
          <w:tcPr>
            <w:tcW w:w="3862" w:type="dxa"/>
            <w:vAlign w:val="center"/>
          </w:tcPr>
          <w:p w14:paraId="15769D1F" w14:textId="77777777" w:rsidR="005C0F94" w:rsidRPr="00851155" w:rsidRDefault="005C0F94">
            <w:pPr>
              <w:pStyle w:val="Textoindependiente"/>
              <w:ind w:left="0"/>
              <w:rPr>
                <w:rFonts w:ascii="Bookman Old Style" w:hAnsi="Bookman Old Style" w:cs="Arial"/>
                <w:b w:val="0"/>
                <w:color w:val="000000" w:themeColor="text1"/>
                <w:lang w:val="es-CO"/>
              </w:rPr>
            </w:pPr>
            <m:oMathPara>
              <m:oMath>
                <m:r>
                  <m:rPr>
                    <m:sty m:val="bi"/>
                  </m:rPr>
                  <w:rPr>
                    <w:rFonts w:ascii="Cambria Math" w:hAnsi="Cambria Math"/>
                    <w:color w:val="000000" w:themeColor="text1"/>
                  </w:rPr>
                  <m:t>0&lt;</m:t>
                </m:r>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p</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0</m:t>
                    </m:r>
                  </m:sup>
                </m:sSubSup>
                <m:r>
                  <m:rPr>
                    <m:sty m:val="bi"/>
                  </m:rPr>
                  <w:rPr>
                    <w:rFonts w:ascii="Cambria Math" w:hAnsi="Cambria Math" w:cs="Arial"/>
                    <w:color w:val="000000" w:themeColor="text1"/>
                  </w:rPr>
                  <m:t>&lt;</m:t>
                </m:r>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PR</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f,d,s</m:t>
                        </m:r>
                        <m:r>
                          <m:rPr>
                            <m:sty m:val="bi"/>
                          </m:rPr>
                          <w:rPr>
                            <w:rFonts w:ascii="Cambria Math" w:hAnsi="Cambria Math" w:cs="Arial"/>
                            <w:color w:val="000000" w:themeColor="text1"/>
                          </w:rPr>
                          <m:t>1</m:t>
                        </m:r>
                      </m:sub>
                    </m:sSub>
                  </m:sub>
                </m:sSub>
              </m:oMath>
            </m:oMathPara>
          </w:p>
        </w:tc>
      </w:tr>
      <w:tr w:rsidR="005C0F94" w:rsidRPr="00483BFD" w14:paraId="67EEED06" w14:textId="77777777">
        <w:tc>
          <w:tcPr>
            <w:tcW w:w="3862" w:type="dxa"/>
            <w:vAlign w:val="center"/>
          </w:tcPr>
          <w:p w14:paraId="131A5B21" w14:textId="77777777" w:rsidR="005C0F94" w:rsidRPr="00851155" w:rsidRDefault="00FB7B28">
            <w:pPr>
              <w:pStyle w:val="Textoindependiente"/>
              <w:ind w:left="0"/>
              <w:rPr>
                <w:rFonts w:ascii="Bookman Old Style" w:hAnsi="Bookman Old Style"/>
                <w:b w:val="0"/>
                <w:color w:val="000000" w:themeColor="text1"/>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f,d,s</m:t>
                        </m:r>
                        <m:r>
                          <m:rPr>
                            <m:sty m:val="bi"/>
                          </m:rPr>
                          <w:rPr>
                            <w:rFonts w:ascii="Cambria Math" w:hAnsi="Cambria Math" w:cs="Arial"/>
                            <w:color w:val="000000" w:themeColor="text1"/>
                          </w:rPr>
                          <m:t>1</m:t>
                        </m:r>
                      </m:sub>
                    </m:sSub>
                  </m:sub>
                </m:sSub>
              </m:oMath>
            </m:oMathPara>
          </w:p>
        </w:tc>
        <w:tc>
          <w:tcPr>
            <w:tcW w:w="3862" w:type="dxa"/>
            <w:vAlign w:val="center"/>
          </w:tcPr>
          <w:p w14:paraId="7526AE05" w14:textId="77777777" w:rsidR="005C0F94" w:rsidRPr="00851155" w:rsidRDefault="00FB7B28">
            <w:pPr>
              <w:pStyle w:val="Textoindependiente"/>
              <w:ind w:left="0"/>
              <w:rPr>
                <w:rFonts w:ascii="Bookman Old Style" w:hAnsi="Bookman Old Style" w:cs="Arial"/>
                <w:b w:val="0"/>
                <w:color w:val="000000" w:themeColor="text1"/>
              </w:rPr>
            </w:pPr>
            <m:oMathPara>
              <m:oMath>
                <m:sSub>
                  <m:sSubPr>
                    <m:ctrlPr>
                      <w:rPr>
                        <w:rFonts w:ascii="Cambria Math" w:hAnsi="Cambria Math" w:cs="Arial"/>
                        <w:b w:val="0"/>
                        <w:i/>
                        <w:color w:val="000000" w:themeColor="text1"/>
                      </w:rPr>
                    </m:ctrlPr>
                  </m:sSub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p</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0</m:t>
                        </m:r>
                      </m:sup>
                    </m:sSubSup>
                    <m:r>
                      <m:rPr>
                        <m:sty m:val="bi"/>
                      </m:rPr>
                      <w:rPr>
                        <w:rFonts w:ascii="Cambria Math" w:hAnsi="Cambria Math" w:cs="Arial"/>
                        <w:color w:val="000000" w:themeColor="text1"/>
                      </w:rPr>
                      <m:t>=PR</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f,d,s</m:t>
                        </m:r>
                        <m:r>
                          <m:rPr>
                            <m:sty m:val="bi"/>
                          </m:rPr>
                          <w:rPr>
                            <w:rFonts w:ascii="Cambria Math" w:hAnsi="Cambria Math" w:cs="Arial"/>
                            <w:color w:val="000000" w:themeColor="text1"/>
                          </w:rPr>
                          <m:t>1</m:t>
                        </m:r>
                      </m:sub>
                    </m:sSub>
                  </m:sub>
                </m:sSub>
              </m:oMath>
            </m:oMathPara>
          </w:p>
        </w:tc>
      </w:tr>
    </w:tbl>
    <w:p w14:paraId="5407FF15"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p>
    <w:p w14:paraId="51D1A4CA" w14:textId="77777777" w:rsidR="005C0F94" w:rsidRPr="00483BFD" w:rsidRDefault="005C0F94" w:rsidP="005C0F94">
      <w:pPr>
        <w:ind w:left="2268" w:hanging="1134"/>
        <w:jc w:val="both"/>
        <w:outlineLvl w:val="0"/>
        <w:rPr>
          <w:rFonts w:ascii="Bookman Old Style" w:hAnsi="Bookman Old Style" w:cs="Arial"/>
          <w:color w:val="000000" w:themeColor="text1"/>
        </w:rPr>
      </w:pPr>
      <w:r w:rsidRPr="00483BFD">
        <w:rPr>
          <w:rFonts w:ascii="Bookman Old Style" w:hAnsi="Bookman Old Style" w:cs="Arial"/>
          <w:color w:val="000000" w:themeColor="text1"/>
        </w:rPr>
        <w:lastRenderedPageBreak/>
        <w:t>Donde:</w:t>
      </w:r>
    </w:p>
    <w:p w14:paraId="72ABC341" w14:textId="77777777" w:rsidR="005C0F94" w:rsidRPr="00851155" w:rsidRDefault="005C0F94" w:rsidP="005C0F94">
      <w:pPr>
        <w:ind w:left="2268" w:hanging="1134"/>
        <w:jc w:val="both"/>
        <w:outlineLvl w:val="0"/>
        <w:rPr>
          <w:rFonts w:ascii="Bookman Old Style" w:hAnsi="Bookman Old Style" w:cs="Arial"/>
          <w:color w:val="000000" w:themeColor="text1"/>
        </w:rPr>
      </w:pPr>
    </w:p>
    <w:p w14:paraId="426E87B4" w14:textId="77777777" w:rsidR="005C0F94" w:rsidRPr="00851155" w:rsidRDefault="00FB7B28" w:rsidP="005C0F94">
      <w:pPr>
        <w:ind w:left="2552" w:hanging="1418"/>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r>
          <w:rPr>
            <w:rFonts w:ascii="Cambria Math" w:hAnsi="Cambria Math" w:cs="Arial"/>
            <w:color w:val="000000" w:themeColor="text1"/>
          </w:rPr>
          <m:t>)</m:t>
        </m:r>
      </m:oMath>
      <w:r w:rsidR="005C0F94" w:rsidRPr="00851155">
        <w:rPr>
          <w:rFonts w:ascii="Bookman Old Style" w:hAnsi="Bookman Old Style" w:cs="Arial"/>
          <w:color w:val="000000" w:themeColor="text1"/>
        </w:rPr>
        <w:t>:</w:t>
      </w:r>
      <w:r w:rsidR="005C0F94" w:rsidRPr="00851155">
        <w:rPr>
          <w:rFonts w:ascii="Bookman Old Style" w:hAnsi="Bookman Old Style" w:cs="Arial"/>
          <w:color w:val="000000" w:themeColor="text1"/>
        </w:rPr>
        <w:tab/>
        <w:t xml:space="preserve">Cantidad de energía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851155">
        <w:rPr>
          <w:rFonts w:ascii="Bookman Old Style" w:hAnsi="Bookman Old Style" w:cs="Arial"/>
          <w:color w:val="000000" w:themeColor="text1"/>
        </w:rPr>
        <w:t xml:space="preserve"> ofrecida en la subasta por parte de todos los vendedores habilitados al precio </w:t>
      </w:r>
      <m:oMath>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oMath>
      <w:r w:rsidR="005C0F94" w:rsidRPr="00851155">
        <w:rPr>
          <w:rFonts w:ascii="Bookman Old Style" w:hAnsi="Bookman Old Style" w:cs="Arial"/>
          <w:i/>
          <w:color w:val="000000" w:themeColor="text1"/>
        </w:rPr>
        <w:t>.</w:t>
      </w:r>
      <w:r w:rsidR="005C0F94" w:rsidRPr="00851155">
        <w:rPr>
          <w:rFonts w:ascii="Bookman Old Style" w:hAnsi="Bookman Old Style" w:cs="Arial"/>
          <w:color w:val="000000" w:themeColor="text1"/>
        </w:rPr>
        <w:t xml:space="preserve"> Este valor se expresará en MBTUD.</w:t>
      </w:r>
    </w:p>
    <w:p w14:paraId="2558DE3B" w14:textId="77777777" w:rsidR="005C0F94" w:rsidRPr="00851155" w:rsidRDefault="005C0F94" w:rsidP="005C0F94">
      <w:pPr>
        <w:ind w:left="2268" w:hanging="1134"/>
        <w:jc w:val="both"/>
        <w:outlineLvl w:val="0"/>
        <w:rPr>
          <w:rFonts w:ascii="Bookman Old Style" w:hAnsi="Bookman Old Style" w:cs="Arial"/>
          <w:color w:val="000000" w:themeColor="text1"/>
        </w:rPr>
      </w:pPr>
    </w:p>
    <w:p w14:paraId="5D524F1B" w14:textId="77777777" w:rsidR="005C0F94" w:rsidRPr="00851155" w:rsidRDefault="00FB7B28" w:rsidP="005C0F94">
      <w:pPr>
        <w:pStyle w:val="Textoindependiente"/>
        <w:ind w:left="2552" w:hanging="1418"/>
        <w:jc w:val="both"/>
        <w:rPr>
          <w:rFonts w:ascii="Bookman Old Style" w:hAnsi="Bookman Old Style" w:cs="Arial"/>
          <w:b w:val="0"/>
          <w:color w:val="000000" w:themeColor="text1"/>
          <w:lang w:val="es-CO"/>
        </w:rPr>
      </w:pPr>
      <m:oMath>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p</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m:t>
            </m:r>
          </m:sup>
        </m:sSubSup>
      </m:oMath>
      <w:r w:rsidR="005C0F94" w:rsidRPr="00851155">
        <w:rPr>
          <w:rFonts w:ascii="Bookman Old Style" w:hAnsi="Bookman Old Style" w:cs="Arial"/>
          <w:b w:val="0"/>
          <w:color w:val="000000" w:themeColor="text1"/>
          <w:lang w:val="es-CO"/>
        </w:rPr>
        <w:t>:</w:t>
      </w:r>
      <w:r w:rsidR="005C0F94" w:rsidRPr="00851155">
        <w:rPr>
          <w:rFonts w:ascii="Bookman Old Style" w:hAnsi="Bookman Old Style" w:cs="Arial"/>
          <w:b w:val="0"/>
          <w:color w:val="000000" w:themeColor="text1"/>
          <w:lang w:val="es-CO"/>
        </w:rPr>
        <w:tab/>
        <w:t xml:space="preserve">Precio del producto </w:t>
      </w:r>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oMath>
      <w:r w:rsidR="005C0F94" w:rsidRPr="00851155">
        <w:rPr>
          <w:rFonts w:ascii="Bookman Old Style" w:hAnsi="Bookman Old Style" w:cs="Arial"/>
          <w:b w:val="0"/>
          <w:color w:val="000000" w:themeColor="text1"/>
          <w:lang w:val="es-CO"/>
        </w:rPr>
        <w:t xml:space="preserve"> durante la ronda </w:t>
      </w:r>
      <m:oMath>
        <m:r>
          <m:rPr>
            <m:sty m:val="bi"/>
          </m:rPr>
          <w:rPr>
            <w:rFonts w:ascii="Cambria Math" w:hAnsi="Cambria Math" w:cs="Arial"/>
            <w:color w:val="000000" w:themeColor="text1"/>
          </w:rPr>
          <m:t>r</m:t>
        </m:r>
      </m:oMath>
      <w:r w:rsidR="005C0F94" w:rsidRPr="00851155">
        <w:rPr>
          <w:rFonts w:ascii="Bookman Old Style" w:hAnsi="Bookman Old Style" w:cs="Arial"/>
          <w:b w:val="0"/>
          <w:color w:val="000000" w:themeColor="text1"/>
          <w:lang w:val="es-CO"/>
        </w:rPr>
        <w:t>. Este valor se expresará en dólares de los Estados Unidos de América por MBTU.</w:t>
      </w:r>
    </w:p>
    <w:p w14:paraId="39B19833" w14:textId="77777777" w:rsidR="005C0F94" w:rsidRPr="00851155" w:rsidRDefault="005C0F94" w:rsidP="005C0F94">
      <w:pPr>
        <w:ind w:left="2552" w:hanging="1418"/>
        <w:jc w:val="both"/>
        <w:outlineLvl w:val="0"/>
        <w:rPr>
          <w:rFonts w:ascii="Bookman Old Style" w:hAnsi="Bookman Old Style" w:cs="Arial"/>
          <w:color w:val="000000" w:themeColor="text1"/>
          <w:lang w:val="es-CO"/>
        </w:rPr>
      </w:pPr>
    </w:p>
    <w:p w14:paraId="6D28AAC0" w14:textId="77777777" w:rsidR="005C0F94" w:rsidRPr="00851155" w:rsidRDefault="00FB7B28" w:rsidP="005C0F94">
      <w:pPr>
        <w:ind w:left="2552" w:hanging="1418"/>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005C0F94" w:rsidRPr="00851155">
        <w:rPr>
          <w:rFonts w:ascii="Bookman Old Style" w:hAnsi="Bookman Old Style" w:cs="Arial"/>
          <w:color w:val="000000" w:themeColor="text1"/>
        </w:rPr>
        <w:t>:</w:t>
      </w:r>
      <w:r w:rsidR="005C0F94" w:rsidRPr="00851155">
        <w:rPr>
          <w:rFonts w:ascii="Bookman Old Style" w:hAnsi="Bookman Old Style" w:cs="Arial"/>
          <w:color w:val="000000" w:themeColor="text1"/>
        </w:rPr>
        <w:tab/>
        <w:t xml:space="preserve">Cantidad total de energía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851155">
        <w:rPr>
          <w:rFonts w:ascii="Bookman Old Style" w:hAnsi="Bookman Old Style" w:cs="Arial"/>
          <w:color w:val="000000" w:themeColor="text1"/>
        </w:rPr>
        <w:t xml:space="preserve"> ofrecida en la subasta por parte de los vendedores </w:t>
      </w:r>
      <m:oMath>
        <m:r>
          <w:rPr>
            <w:rFonts w:ascii="Cambria Math" w:hAnsi="Cambria Math" w:cs="Arial"/>
            <w:color w:val="000000" w:themeColor="text1"/>
          </w:rPr>
          <m:t>s1</m:t>
        </m:r>
      </m:oMath>
      <w:r w:rsidR="005C0F94" w:rsidRPr="00851155">
        <w:rPr>
          <w:rFonts w:ascii="Bookman Old Style" w:hAnsi="Bookman Old Style" w:cs="Arial"/>
          <w:color w:val="000000" w:themeColor="text1"/>
        </w:rPr>
        <w:t xml:space="preserve">, siendo </w:t>
      </w:r>
      <m:oMath>
        <m:r>
          <w:rPr>
            <w:rFonts w:ascii="Cambria Math" w:hAnsi="Cambria Math" w:cs="Arial"/>
            <w:color w:val="000000" w:themeColor="text1"/>
          </w:rPr>
          <m:t>s1</m:t>
        </m:r>
      </m:oMath>
      <w:r w:rsidR="005C0F94" w:rsidRPr="00851155">
        <w:rPr>
          <w:rFonts w:ascii="Bookman Old Style" w:hAnsi="Bookman Old Style" w:cs="Arial"/>
          <w:color w:val="000000" w:themeColor="text1"/>
        </w:rPr>
        <w:t xml:space="preserve"> los vendedores habilitados que hayan declarado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005C0F94" w:rsidRPr="00851155">
        <w:rPr>
          <w:rFonts w:ascii="Bookman Old Style" w:hAnsi="Bookman Old Style" w:cs="Arial"/>
          <w:color w:val="000000" w:themeColor="text1"/>
        </w:rPr>
        <w:t xml:space="preserve"> como precio de reserva del </w:t>
      </w:r>
      <w:r w:rsidR="005C0F94" w:rsidRPr="00851155">
        <w:rPr>
          <w:rFonts w:ascii="Bookman Old Style" w:hAnsi="Bookman Old Style" w:cs="Arial"/>
          <w:color w:val="000000" w:themeColor="text1"/>
          <w:lang w:val="es-CO"/>
        </w:rPr>
        <w:t xml:space="preserve">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851155">
        <w:rPr>
          <w:rFonts w:ascii="Bookman Old Style" w:hAnsi="Bookman Old Style" w:cs="Arial"/>
          <w:color w:val="000000" w:themeColor="text1"/>
        </w:rPr>
        <w:t>. Este valor se expresará en MBTUD.</w:t>
      </w:r>
    </w:p>
    <w:p w14:paraId="4C2B79DE" w14:textId="77777777" w:rsidR="005C0F94" w:rsidRPr="00851155" w:rsidRDefault="005C0F94" w:rsidP="005C0F94">
      <w:pPr>
        <w:ind w:left="2552" w:hanging="1418"/>
        <w:jc w:val="both"/>
        <w:outlineLvl w:val="0"/>
        <w:rPr>
          <w:rFonts w:ascii="Bookman Old Style" w:hAnsi="Bookman Old Style" w:cs="Arial"/>
          <w:color w:val="000000" w:themeColor="text1"/>
        </w:rPr>
      </w:pPr>
    </w:p>
    <w:p w14:paraId="3AEF05B4" w14:textId="77777777" w:rsidR="005C0F94" w:rsidRPr="00851155" w:rsidRDefault="00FB7B28" w:rsidP="005C0F94">
      <w:pPr>
        <w:ind w:left="2552" w:hanging="1418"/>
        <w:jc w:val="both"/>
        <w:outlineLvl w:val="0"/>
        <w:rPr>
          <w:rFonts w:ascii="Bookman Old Style" w:hAnsi="Bookman Old Style"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005C0F94" w:rsidRPr="00851155">
        <w:rPr>
          <w:rFonts w:ascii="Bookman Old Style" w:hAnsi="Bookman Old Style" w:cs="Arial"/>
          <w:color w:val="000000" w:themeColor="text1"/>
        </w:rPr>
        <w:t>:</w:t>
      </w:r>
      <w:r w:rsidR="005C0F94" w:rsidRPr="00851155">
        <w:rPr>
          <w:rFonts w:ascii="Bookman Old Style" w:hAnsi="Bookman Old Style" w:cs="Arial"/>
          <w:color w:val="000000" w:themeColor="text1"/>
        </w:rPr>
        <w:tab/>
        <w:t xml:space="preserve">Menor precio de reserva del </w:t>
      </w:r>
      <w:r w:rsidR="005C0F94" w:rsidRPr="00851155">
        <w:rPr>
          <w:rFonts w:ascii="Bookman Old Style" w:hAnsi="Bookman Old Style" w:cs="Arial"/>
          <w:color w:val="000000" w:themeColor="text1"/>
          <w:lang w:val="es-CO"/>
        </w:rPr>
        <w:t xml:space="preserve">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851155">
        <w:rPr>
          <w:rFonts w:ascii="Bookman Old Style" w:hAnsi="Bookman Old Style" w:cs="Arial"/>
          <w:i/>
          <w:color w:val="000000" w:themeColor="text1"/>
        </w:rPr>
        <w:t>.</w:t>
      </w:r>
      <w:r w:rsidR="005C0F94" w:rsidRPr="00851155">
        <w:rPr>
          <w:rFonts w:ascii="Bookman Old Style" w:hAnsi="Bookman Old Style" w:cs="Arial"/>
          <w:color w:val="000000" w:themeColor="text1"/>
        </w:rPr>
        <w:t xml:space="preserve"> Este valor se expresará en dólares de los Estados Unidos de América por MBTU.</w:t>
      </w:r>
    </w:p>
    <w:p w14:paraId="7EBA8BE0" w14:textId="77777777" w:rsidR="005C0F94" w:rsidRPr="00851155" w:rsidRDefault="005C0F94" w:rsidP="005C0F94">
      <w:pPr>
        <w:autoSpaceDE w:val="0"/>
        <w:autoSpaceDN w:val="0"/>
        <w:adjustRightInd w:val="0"/>
        <w:ind w:left="1134"/>
        <w:jc w:val="both"/>
        <w:rPr>
          <w:rFonts w:ascii="Bookman Old Style" w:hAnsi="Bookman Old Style" w:cs="Arial"/>
          <w:color w:val="000000" w:themeColor="text1"/>
        </w:rPr>
      </w:pPr>
    </w:p>
    <w:p w14:paraId="55950723" w14:textId="00B59972" w:rsidR="005C0F94" w:rsidRPr="00483BFD" w:rsidRDefault="005C0F94" w:rsidP="005C0F94">
      <w:pPr>
        <w:numPr>
          <w:ilvl w:val="0"/>
          <w:numId w:val="142"/>
        </w:numPr>
        <w:autoSpaceDE w:val="0"/>
        <w:autoSpaceDN w:val="0"/>
        <w:adjustRightInd w:val="0"/>
        <w:ind w:left="1134" w:hanging="567"/>
        <w:jc w:val="both"/>
        <w:rPr>
          <w:rFonts w:ascii="Bookman Old Style" w:hAnsi="Bookman Old Style" w:cs="Arial"/>
          <w:color w:val="000000" w:themeColor="text1"/>
        </w:rPr>
      </w:pPr>
      <w:bookmarkStart w:id="193" w:name="_Ref336434642"/>
      <w:r w:rsidRPr="00483BFD">
        <w:rPr>
          <w:rFonts w:ascii="Bookman Old Style" w:hAnsi="Bookman Old Style" w:cs="Arial"/>
          <w:color w:val="000000" w:themeColor="text1"/>
        </w:rPr>
        <w:t xml:space="preserve">Una vez se publique la información a la que se hace referencia en el literal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_Ref336266482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a)</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numeral, y durante el tiempo que determine el subastador, cada comprador habilitado le informará al subastador su demanda de energía de cada producto, </w:t>
      </w:r>
      <w:r w:rsidRPr="00483BFD">
        <w:rPr>
          <w:rFonts w:ascii="Bookman Old Style" w:hAnsi="Bookman Old Style" w:cs="Arial"/>
          <w:color w:val="000000" w:themeColor="text1"/>
          <w:lang w:val="es-CO"/>
        </w:rPr>
        <w:t xml:space="preserve">para lo cual deberá declarar la información establecida en la </w:t>
      </w:r>
      <w:r w:rsidRPr="00483BFD">
        <w:rPr>
          <w:rFonts w:ascii="Bookman Old Style" w:hAnsi="Bookman Old Style" w:cs="Arial"/>
          <w:color w:val="000000" w:themeColor="text1"/>
          <w:lang w:val="es-CO"/>
        </w:rPr>
        <w:fldChar w:fldCharType="begin"/>
      </w:r>
      <w:r w:rsidRPr="00483BFD">
        <w:rPr>
          <w:rFonts w:ascii="Bookman Old Style" w:hAnsi="Bookman Old Style" w:cs="Arial"/>
          <w:color w:val="000000" w:themeColor="text1"/>
          <w:lang w:val="es-CO"/>
        </w:rPr>
        <w:instrText xml:space="preserve"> REF _Ref336339890 \h  \* MERGEFORMAT </w:instrText>
      </w:r>
      <w:r w:rsidRPr="00483BFD">
        <w:rPr>
          <w:rFonts w:ascii="Bookman Old Style" w:hAnsi="Bookman Old Style" w:cs="Arial"/>
          <w:color w:val="000000" w:themeColor="text1"/>
          <w:lang w:val="es-CO"/>
        </w:rPr>
      </w:r>
      <w:r w:rsidRPr="00483BFD">
        <w:rPr>
          <w:rFonts w:ascii="Bookman Old Style" w:hAnsi="Bookman Old Style" w:cs="Arial"/>
          <w:color w:val="000000" w:themeColor="text1"/>
          <w:lang w:val="es-CO"/>
        </w:rPr>
        <w:fldChar w:fldCharType="separate"/>
      </w:r>
      <w:r w:rsidR="00636B6A" w:rsidRPr="00996A90">
        <w:rPr>
          <w:rFonts w:ascii="Bookman Old Style" w:hAnsi="Bookman Old Style"/>
          <w:color w:val="000000" w:themeColor="text1"/>
          <w:lang w:val="es-CO"/>
        </w:rPr>
        <w:t xml:space="preserve">Tabla </w:t>
      </w:r>
      <w:r w:rsidRPr="00483BFD">
        <w:rPr>
          <w:rFonts w:ascii="Bookman Old Style" w:hAnsi="Bookman Old Style" w:cs="Arial"/>
          <w:color w:val="000000" w:themeColor="text1"/>
          <w:lang w:val="es-CO"/>
        </w:rPr>
        <w:fldChar w:fldCharType="end"/>
      </w:r>
      <w:r w:rsidRPr="00483BFD">
        <w:rPr>
          <w:rFonts w:ascii="Bookman Old Style" w:hAnsi="Bookman Old Style" w:cs="Arial"/>
          <w:color w:val="000000" w:themeColor="text1"/>
          <w:lang w:val="es-CO"/>
        </w:rPr>
        <w:t>. Esto lo hará a través del medio y del formato que defina el subastador.</w:t>
      </w:r>
      <w:bookmarkEnd w:id="193"/>
    </w:p>
    <w:p w14:paraId="513F9FCF"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p>
    <w:p w14:paraId="10E296BA" w14:textId="41B598BD" w:rsidR="005C0F94" w:rsidRPr="00483BFD" w:rsidRDefault="005C0F94" w:rsidP="005C0F94">
      <w:pPr>
        <w:pStyle w:val="Descripcin"/>
        <w:keepNext/>
        <w:spacing w:before="0" w:after="0" w:line="240" w:lineRule="auto"/>
        <w:rPr>
          <w:rFonts w:ascii="Bookman Old Style" w:hAnsi="Bookman Old Style"/>
          <w:b/>
          <w:color w:val="000000" w:themeColor="text1"/>
          <w:sz w:val="24"/>
          <w:szCs w:val="24"/>
          <w:lang w:val="es-CO"/>
        </w:rPr>
      </w:pPr>
      <w:bookmarkStart w:id="194" w:name="_Ref336339890"/>
      <w:r w:rsidRPr="00483BFD">
        <w:rPr>
          <w:rFonts w:ascii="Bookman Old Style" w:hAnsi="Bookman Old Style"/>
          <w:b/>
          <w:color w:val="000000" w:themeColor="text1"/>
          <w:sz w:val="24"/>
          <w:szCs w:val="24"/>
          <w:lang w:val="es-CO"/>
        </w:rPr>
        <w:t xml:space="preserve">Tabla </w:t>
      </w:r>
      <w:bookmarkEnd w:id="194"/>
      <w:r w:rsidR="00683F24">
        <w:rPr>
          <w:rFonts w:ascii="Bookman Old Style" w:hAnsi="Bookman Old Style"/>
          <w:b/>
          <w:color w:val="000000" w:themeColor="text1"/>
          <w:sz w:val="24"/>
          <w:szCs w:val="24"/>
          <w:lang w:val="es-CO"/>
        </w:rPr>
        <w:t>4</w:t>
      </w:r>
      <w:r w:rsidRPr="00483BFD">
        <w:rPr>
          <w:rFonts w:ascii="Bookman Old Style" w:hAnsi="Bookman Old Style"/>
          <w:b/>
          <w:color w:val="000000" w:themeColor="text1"/>
          <w:sz w:val="24"/>
          <w:szCs w:val="24"/>
          <w:lang w:val="es-CO"/>
        </w:rPr>
        <w:t>. Demanda de energía en la ronda cero (0)</w:t>
      </w:r>
    </w:p>
    <w:p w14:paraId="5FBD1ED5" w14:textId="77777777" w:rsidR="005C0F94" w:rsidRPr="00483BFD" w:rsidRDefault="005C0F94" w:rsidP="005C0F94">
      <w:pPr>
        <w:pStyle w:val="Textoindependiente"/>
        <w:ind w:left="0"/>
        <w:jc w:val="both"/>
        <w:rPr>
          <w:rFonts w:ascii="Bookman Old Style" w:hAnsi="Bookman Old Style" w:cs="Arial"/>
          <w:b w:val="0"/>
          <w:color w:val="000000" w:themeColor="text1"/>
          <w:lang w:val="es-CO"/>
        </w:rPr>
      </w:pPr>
    </w:p>
    <w:tbl>
      <w:tblPr>
        <w:tblStyle w:val="Tablaconcuadrcula"/>
        <w:tblW w:w="0" w:type="auto"/>
        <w:jc w:val="center"/>
        <w:tblLook w:val="04A0" w:firstRow="1" w:lastRow="0" w:firstColumn="1" w:lastColumn="0" w:noHBand="0" w:noVBand="1"/>
      </w:tblPr>
      <w:tblGrid>
        <w:gridCol w:w="2552"/>
        <w:gridCol w:w="2552"/>
      </w:tblGrid>
      <w:tr w:rsidR="005C0F94" w:rsidRPr="00483BFD" w14:paraId="65ED9637" w14:textId="77777777">
        <w:trPr>
          <w:jc w:val="center"/>
        </w:trPr>
        <w:tc>
          <w:tcPr>
            <w:tcW w:w="2552" w:type="dxa"/>
            <w:vAlign w:val="center"/>
          </w:tcPr>
          <w:p w14:paraId="7554B33B" w14:textId="77777777" w:rsidR="005C0F94" w:rsidRPr="00483BFD" w:rsidRDefault="005C0F94">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Producto</w:t>
            </w:r>
          </w:p>
        </w:tc>
        <w:tc>
          <w:tcPr>
            <w:tcW w:w="2552" w:type="dxa"/>
            <w:vAlign w:val="center"/>
          </w:tcPr>
          <w:p w14:paraId="4D6CE72D" w14:textId="77777777" w:rsidR="005C0F94" w:rsidRPr="00483BFD" w:rsidRDefault="005C0F94">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Cantidad (MBTUD)</w:t>
            </w:r>
          </w:p>
        </w:tc>
      </w:tr>
      <w:tr w:rsidR="005C0F94" w:rsidRPr="00483BFD" w14:paraId="0895DF0B" w14:textId="77777777">
        <w:trPr>
          <w:jc w:val="center"/>
        </w:trPr>
        <w:tc>
          <w:tcPr>
            <w:tcW w:w="2552" w:type="dxa"/>
            <w:vAlign w:val="center"/>
          </w:tcPr>
          <w:p w14:paraId="66A8B942" w14:textId="77777777" w:rsidR="005C0F94" w:rsidRPr="00851155" w:rsidRDefault="00FB7B28">
            <w:pPr>
              <w:pStyle w:val="Textoindependiente"/>
              <w:ind w:left="0"/>
              <w:rPr>
                <w:rFonts w:ascii="Bookman Old Style" w:hAnsi="Bookman Old Style" w:cs="Arial"/>
                <w:b w:val="0"/>
                <w:color w:val="000000" w:themeColor="text1"/>
                <w:lang w:val="es-CO"/>
              </w:rPr>
            </w:pPr>
            <m:oMathPara>
              <m:oMath>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oMath>
            </m:oMathPara>
          </w:p>
        </w:tc>
        <w:tc>
          <w:tcPr>
            <w:tcW w:w="2552" w:type="dxa"/>
            <w:vAlign w:val="center"/>
          </w:tcPr>
          <w:p w14:paraId="71D80DC9" w14:textId="77777777" w:rsidR="005C0F94" w:rsidRPr="00851155" w:rsidRDefault="00FB7B28">
            <w:pPr>
              <w:pStyle w:val="Textoindependiente"/>
              <w:ind w:left="0"/>
              <w:rPr>
                <w:rFonts w:ascii="Bookman Old Style" w:hAnsi="Bookman Old Style" w:cs="Arial"/>
                <w:b w:val="0"/>
                <w:color w:val="000000" w:themeColor="text1"/>
                <w:lang w:val="es-CO"/>
              </w:rPr>
            </w:pPr>
            <m:oMathPara>
              <m:oMath>
                <m:sSubSup>
                  <m:sSubSupPr>
                    <m:ctrlPr>
                      <w:rPr>
                        <w:rFonts w:ascii="Cambria Math" w:hAnsi="Cambria Math" w:cs="Arial"/>
                        <w:b w:val="0"/>
                        <w:i/>
                        <w:color w:val="000000" w:themeColor="text1"/>
                        <w:lang w:val="es-CO"/>
                      </w:rPr>
                    </m:ctrlPr>
                  </m:sSubSupPr>
                  <m:e>
                    <m:r>
                      <m:rPr>
                        <m:sty m:val="bi"/>
                      </m:rPr>
                      <w:rPr>
                        <w:rFonts w:ascii="Cambria Math" w:hAnsi="Cambria Math" w:cs="Arial"/>
                        <w:color w:val="000000" w:themeColor="text1"/>
                        <w:lang w:val="es-CO"/>
                      </w:rPr>
                      <m:t>D</m:t>
                    </m:r>
                  </m:e>
                  <m:sub>
                    <m:sSub>
                      <m:sSubPr>
                        <m:ctrlPr>
                          <w:rPr>
                            <w:rFonts w:ascii="Cambria Math" w:hAnsi="Cambria Math" w:cs="Arial"/>
                            <w:b w:val="0"/>
                            <w:i/>
                            <w:color w:val="000000" w:themeColor="text1"/>
                            <w:lang w:val="es-CO"/>
                          </w:rPr>
                        </m:ctrlPr>
                      </m:sSubPr>
                      <m:e>
                        <m:r>
                          <m:rPr>
                            <m:sty m:val="bi"/>
                          </m:rPr>
                          <w:rPr>
                            <w:rFonts w:ascii="Cambria Math" w:hAnsi="Cambria Math" w:cs="Arial"/>
                            <w:color w:val="000000" w:themeColor="text1"/>
                            <w:lang w:val="es-CO"/>
                          </w:rPr>
                          <m:t>T</m:t>
                        </m:r>
                      </m:e>
                      <m:sub>
                        <m:r>
                          <m:rPr>
                            <m:sty m:val="bi"/>
                          </m:rPr>
                          <w:rPr>
                            <w:rFonts w:ascii="Cambria Math" w:hAnsi="Cambria Math" w:cs="Arial"/>
                            <w:color w:val="000000" w:themeColor="text1"/>
                            <w:lang w:val="es-CO"/>
                          </w:rPr>
                          <m:t>f,d,b</m:t>
                        </m:r>
                      </m:sub>
                    </m:sSub>
                  </m:sub>
                  <m:sup>
                    <m:r>
                      <m:rPr>
                        <m:sty m:val="bi"/>
                      </m:rPr>
                      <w:rPr>
                        <w:rFonts w:ascii="Cambria Math" w:hAnsi="Cambria Math" w:cs="Arial"/>
                        <w:color w:val="000000" w:themeColor="text1"/>
                        <w:lang w:val="es-CO"/>
                      </w:rPr>
                      <m:t>0</m:t>
                    </m:r>
                  </m:sup>
                </m:sSubSup>
              </m:oMath>
            </m:oMathPara>
          </w:p>
        </w:tc>
      </w:tr>
    </w:tbl>
    <w:p w14:paraId="789A68C2" w14:textId="77777777" w:rsidR="005C0F94" w:rsidRPr="00483BFD" w:rsidRDefault="005C0F94" w:rsidP="005C0F94">
      <w:pPr>
        <w:ind w:left="1134"/>
        <w:jc w:val="both"/>
        <w:outlineLvl w:val="0"/>
        <w:rPr>
          <w:rFonts w:ascii="Bookman Old Style" w:hAnsi="Bookman Old Style" w:cs="Arial"/>
          <w:color w:val="000000" w:themeColor="text1"/>
        </w:rPr>
      </w:pPr>
    </w:p>
    <w:p w14:paraId="56B1CA6B" w14:textId="77777777" w:rsidR="005C0F94" w:rsidRPr="00483BFD" w:rsidRDefault="005C0F94" w:rsidP="005C0F94">
      <w:pPr>
        <w:ind w:left="1134"/>
        <w:jc w:val="both"/>
        <w:outlineLvl w:val="0"/>
        <w:rPr>
          <w:rFonts w:ascii="Bookman Old Style" w:hAnsi="Bookman Old Style" w:cs="Arial"/>
          <w:color w:val="000000" w:themeColor="text1"/>
        </w:rPr>
      </w:pPr>
      <w:r w:rsidRPr="00483BFD">
        <w:rPr>
          <w:rFonts w:ascii="Bookman Old Style" w:hAnsi="Bookman Old Style" w:cs="Arial"/>
          <w:color w:val="000000" w:themeColor="text1"/>
        </w:rPr>
        <w:t>Donde:</w:t>
      </w:r>
    </w:p>
    <w:p w14:paraId="7DAF5318" w14:textId="77777777" w:rsidR="005C0F94" w:rsidRPr="00483BFD" w:rsidRDefault="005C0F94" w:rsidP="005C0F94">
      <w:pPr>
        <w:ind w:left="1134"/>
        <w:jc w:val="both"/>
        <w:outlineLvl w:val="0"/>
        <w:rPr>
          <w:rFonts w:ascii="Bookman Old Style" w:hAnsi="Bookman Old Style" w:cs="Arial"/>
          <w:color w:val="000000" w:themeColor="text1"/>
        </w:rPr>
      </w:pPr>
    </w:p>
    <w:p w14:paraId="4A13B2F5" w14:textId="77777777" w:rsidR="005C0F94" w:rsidRPr="00483BFD" w:rsidRDefault="00FB7B28" w:rsidP="005C0F94">
      <w:pPr>
        <w:ind w:left="2268" w:hanging="1134"/>
        <w:jc w:val="both"/>
        <w:outlineLvl w:val="0"/>
        <w:rPr>
          <w:rFonts w:ascii="Bookman Old Style" w:hAnsi="Bookman Old Style" w:cs="Arial"/>
          <w:i/>
          <w:color w:val="000000" w:themeColor="text1"/>
        </w:rPr>
      </w:pPr>
      <m:oMath>
        <m:sSubSup>
          <m:sSubSupPr>
            <m:ctrlPr>
              <w:rPr>
                <w:rFonts w:ascii="Cambria Math" w:hAnsi="Cambria Math" w:cs="Arial"/>
                <w:bCs/>
                <w:i/>
                <w:color w:val="000000" w:themeColor="text1"/>
                <w:lang w:val="es-CO" w:eastAsia="x-none"/>
              </w:rPr>
            </m:ctrlPr>
          </m:sSubSupPr>
          <m:e>
            <m:r>
              <w:rPr>
                <w:rFonts w:ascii="Cambria Math" w:hAnsi="Cambria Math" w:cs="Arial"/>
                <w:color w:val="000000" w:themeColor="text1"/>
                <w:lang w:val="es-CO"/>
              </w:rPr>
              <m:t>D</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f,d,b</m:t>
                </m:r>
              </m:sub>
            </m:sSub>
          </m:sub>
          <m:sup>
            <m:r>
              <w:rPr>
                <w:rFonts w:ascii="Cambria Math" w:hAnsi="Cambria Math" w:cs="Arial"/>
                <w:color w:val="000000" w:themeColor="text1"/>
                <w:lang w:val="es-CO"/>
              </w:rPr>
              <m:t>0</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solicitada en la ronda cero (0) por parte del comprador habilitado </w:t>
      </w:r>
      <m:oMath>
        <m:r>
          <w:rPr>
            <w:rFonts w:ascii="Cambria Math" w:hAnsi="Cambria Math" w:cs="Arial"/>
            <w:color w:val="000000" w:themeColor="text1"/>
          </w:rPr>
          <m:t>b</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70C548ED" w14:textId="77777777" w:rsidR="005C0F94" w:rsidRPr="00483BFD" w:rsidRDefault="005C0F94" w:rsidP="005C0F94">
      <w:pPr>
        <w:pStyle w:val="Textoindependiente"/>
        <w:ind w:left="2268" w:hanging="1134"/>
        <w:jc w:val="both"/>
        <w:rPr>
          <w:rFonts w:ascii="Bookman Old Style" w:hAnsi="Bookman Old Style" w:cs="Arial"/>
          <w:b w:val="0"/>
          <w:color w:val="000000" w:themeColor="text1"/>
          <w:lang w:val="es-CO"/>
        </w:rPr>
      </w:pPr>
    </w:p>
    <w:p w14:paraId="5B8BA9D3" w14:textId="77777777" w:rsidR="005C0F94" w:rsidRPr="00483BFD" w:rsidRDefault="005C0F94" w:rsidP="005C0F94">
      <w:pPr>
        <w:ind w:left="1134"/>
        <w:jc w:val="both"/>
        <w:outlineLvl w:val="0"/>
        <w:rPr>
          <w:rFonts w:ascii="Bookman Old Style" w:hAnsi="Bookman Old Style" w:cs="Arial"/>
          <w:color w:val="000000" w:themeColor="text1"/>
        </w:rPr>
      </w:pPr>
      <w:r w:rsidRPr="00483BFD">
        <w:rPr>
          <w:rFonts w:ascii="Bookman Old Style" w:hAnsi="Bookman Old Style" w:cs="Arial"/>
          <w:color w:val="000000" w:themeColor="text1"/>
        </w:rPr>
        <w:t>La demanda declarada por cada comprador habilitado estará sujeta a las siguientes condiciones, las cuales deberán ser verificadas por el subastador:</w:t>
      </w:r>
    </w:p>
    <w:p w14:paraId="17FEFC11" w14:textId="77777777" w:rsidR="005C0F94" w:rsidRPr="00483BFD" w:rsidRDefault="005C0F94" w:rsidP="005C0F94">
      <w:pPr>
        <w:ind w:left="1134"/>
        <w:jc w:val="both"/>
        <w:outlineLvl w:val="0"/>
        <w:rPr>
          <w:rFonts w:ascii="Bookman Old Style" w:hAnsi="Bookman Old Style" w:cs="Arial"/>
          <w:color w:val="000000" w:themeColor="text1"/>
        </w:rPr>
      </w:pPr>
    </w:p>
    <w:p w14:paraId="2C18C7AF" w14:textId="77777777" w:rsidR="005C0F94" w:rsidRPr="00483BFD" w:rsidRDefault="005C0F94" w:rsidP="005C0F94">
      <w:pPr>
        <w:pStyle w:val="Prrafodelista"/>
        <w:numPr>
          <w:ilvl w:val="0"/>
          <w:numId w:val="174"/>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Los compradores habilitados del tipo A sólo podrán solicitar energía de las modalidades contractuales </w:t>
      </w:r>
      <m:oMath>
        <m:r>
          <w:rPr>
            <w:rFonts w:ascii="Cambria Math" w:hAnsi="Cambria Math" w:cs="Arial"/>
            <w:color w:val="000000" w:themeColor="text1"/>
            <w:sz w:val="24"/>
            <w:szCs w:val="24"/>
          </w:rPr>
          <m:t>CF</m:t>
        </m:r>
      </m:oMath>
      <w:r w:rsidRPr="00483BFD">
        <w:rPr>
          <w:rFonts w:ascii="Bookman Old Style" w:hAnsi="Bookman Old Style" w:cs="Arial"/>
          <w:color w:val="000000" w:themeColor="text1"/>
          <w:sz w:val="24"/>
          <w:szCs w:val="24"/>
        </w:rPr>
        <w:t xml:space="preserve"> y </w:t>
      </w:r>
      <m:oMath>
        <m:r>
          <w:rPr>
            <w:rFonts w:ascii="Cambria Math" w:hAnsi="Cambria Math" w:cs="Arial"/>
            <w:color w:val="000000" w:themeColor="text1"/>
            <w:sz w:val="24"/>
            <w:szCs w:val="24"/>
          </w:rPr>
          <m:t>CFC</m:t>
        </m:r>
      </m:oMath>
      <w:r w:rsidRPr="00483BFD">
        <w:rPr>
          <w:rFonts w:ascii="Bookman Old Style" w:hAnsi="Bookman Old Style" w:cs="Arial"/>
          <w:color w:val="000000" w:themeColor="text1"/>
          <w:sz w:val="24"/>
          <w:szCs w:val="24"/>
          <w:lang w:val="es-ES" w:eastAsia="es-ES"/>
        </w:rPr>
        <w:t>.</w:t>
      </w:r>
    </w:p>
    <w:p w14:paraId="4DB13E32" w14:textId="77777777" w:rsidR="005C0F94" w:rsidRPr="00483BFD" w:rsidRDefault="005C0F94" w:rsidP="005C0F94">
      <w:pPr>
        <w:pStyle w:val="Prrafodelista"/>
        <w:ind w:left="1701" w:hanging="567"/>
        <w:contextualSpacing/>
        <w:jc w:val="both"/>
        <w:rPr>
          <w:rFonts w:ascii="Bookman Old Style" w:hAnsi="Bookman Old Style" w:cs="Arial"/>
          <w:color w:val="000000" w:themeColor="text1"/>
          <w:sz w:val="24"/>
          <w:szCs w:val="24"/>
          <w:lang w:val="es-ES" w:eastAsia="es-ES"/>
        </w:rPr>
      </w:pPr>
    </w:p>
    <w:p w14:paraId="23ABD1CB" w14:textId="77777777" w:rsidR="005C0F94" w:rsidRPr="00483BFD" w:rsidRDefault="005C0F94" w:rsidP="005C0F94">
      <w:pPr>
        <w:pStyle w:val="Prrafodelista"/>
        <w:numPr>
          <w:ilvl w:val="0"/>
          <w:numId w:val="174"/>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Los compradores habilitados del tipo B sólo podrán solicitar energía de las modalidades contractuales </w:t>
      </w:r>
      <m:oMath>
        <m:r>
          <w:rPr>
            <w:rFonts w:ascii="Cambria Math" w:hAnsi="Cambria Math" w:cs="Arial"/>
            <w:color w:val="000000" w:themeColor="text1"/>
            <w:sz w:val="24"/>
            <w:szCs w:val="24"/>
          </w:rPr>
          <m:t>CF</m:t>
        </m:r>
      </m:oMath>
      <w:r w:rsidRPr="00483BFD">
        <w:rPr>
          <w:rFonts w:ascii="Bookman Old Style" w:hAnsi="Bookman Old Style" w:cs="Arial"/>
          <w:color w:val="000000" w:themeColor="text1"/>
          <w:sz w:val="24"/>
          <w:szCs w:val="24"/>
        </w:rPr>
        <w:t xml:space="preserve"> y </w:t>
      </w:r>
      <m:oMath>
        <m:r>
          <w:rPr>
            <w:rFonts w:ascii="Cambria Math" w:hAnsi="Cambria Math" w:cs="Arial"/>
            <w:color w:val="000000" w:themeColor="text1"/>
            <w:sz w:val="24"/>
            <w:szCs w:val="24"/>
          </w:rPr>
          <m:t>OCG</m:t>
        </m:r>
      </m:oMath>
      <w:r w:rsidRPr="00483BFD">
        <w:rPr>
          <w:rFonts w:ascii="Bookman Old Style" w:hAnsi="Bookman Old Style" w:cs="Arial"/>
          <w:color w:val="000000" w:themeColor="text1"/>
          <w:sz w:val="24"/>
          <w:szCs w:val="24"/>
          <w:lang w:val="es-ES" w:eastAsia="es-ES"/>
        </w:rPr>
        <w:t>.</w:t>
      </w:r>
    </w:p>
    <w:p w14:paraId="119C131E" w14:textId="77777777" w:rsidR="005C0F94" w:rsidRPr="00483BFD" w:rsidRDefault="005C0F94" w:rsidP="005C0F94">
      <w:pPr>
        <w:pStyle w:val="Prrafodelista"/>
        <w:ind w:left="1701" w:hanging="567"/>
        <w:contextualSpacing/>
        <w:jc w:val="both"/>
        <w:rPr>
          <w:rFonts w:ascii="Bookman Old Style" w:hAnsi="Bookman Old Style" w:cs="Arial"/>
          <w:color w:val="000000" w:themeColor="text1"/>
          <w:sz w:val="24"/>
          <w:szCs w:val="24"/>
          <w:lang w:val="es-ES" w:eastAsia="es-ES"/>
        </w:rPr>
      </w:pPr>
    </w:p>
    <w:p w14:paraId="2B962C7C" w14:textId="77777777" w:rsidR="005C0F94" w:rsidRPr="00483BFD" w:rsidRDefault="005C0F94" w:rsidP="005C0F94">
      <w:pPr>
        <w:pStyle w:val="Prrafodelista"/>
        <w:numPr>
          <w:ilvl w:val="0"/>
          <w:numId w:val="174"/>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lastRenderedPageBreak/>
        <w:t>La energía de los diferentes productos demandada por el comprador habilitado</w:t>
      </w:r>
      <w:r w:rsidRPr="00483BFD">
        <w:rPr>
          <w:rFonts w:ascii="Bookman Old Style" w:hAnsi="Bookman Old Style" w:cs="Arial"/>
          <w:color w:val="000000" w:themeColor="text1"/>
          <w:sz w:val="24"/>
          <w:szCs w:val="24"/>
        </w:rPr>
        <w:t xml:space="preserve"> </w:t>
      </w:r>
      <m:oMath>
        <m:r>
          <w:rPr>
            <w:rFonts w:ascii="Cambria Math" w:hAnsi="Cambria Math" w:cs="Arial"/>
            <w:color w:val="000000" w:themeColor="text1"/>
            <w:sz w:val="24"/>
            <w:szCs w:val="24"/>
          </w:rPr>
          <m:t>b</m:t>
        </m:r>
      </m:oMath>
      <w:r w:rsidRPr="00483BFD">
        <w:rPr>
          <w:rFonts w:ascii="Bookman Old Style" w:hAnsi="Bookman Old Style" w:cs="Arial"/>
          <w:color w:val="000000" w:themeColor="text1"/>
          <w:sz w:val="24"/>
          <w:szCs w:val="24"/>
          <w:lang w:val="es-ES" w:eastAsia="es-ES"/>
        </w:rPr>
        <w:t xml:space="preserve"> deberá ser igual o inferior a la máxima cantidad de energía demandada por dicho comprador habilitado, así:</w:t>
      </w:r>
    </w:p>
    <w:p w14:paraId="3B354892"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062DD35F" w14:textId="731309F1" w:rsidR="005C0F94" w:rsidRPr="005D761F" w:rsidRDefault="00FB7B28" w:rsidP="005C0F94">
      <w:pPr>
        <w:pStyle w:val="Prrafodelista"/>
        <w:ind w:left="1701"/>
        <w:contextualSpacing/>
        <w:jc w:val="both"/>
        <w:rPr>
          <w:rFonts w:ascii="Bookman Old Style" w:hAnsi="Bookman Old Style" w:cs="Arial"/>
          <w:b/>
          <w:bCs/>
          <w:color w:val="000000" w:themeColor="text1"/>
          <w:sz w:val="24"/>
          <w:szCs w:val="24"/>
          <w:lang w:val="es-ES" w:eastAsia="es-ES"/>
        </w:rPr>
      </w:pPr>
      <m:oMathPara>
        <m:oMath>
          <m:sSub>
            <m:sSubPr>
              <m:ctrlPr>
                <w:rPr>
                  <w:rFonts w:ascii="Cambria Math" w:hAnsi="Cambria Math" w:cs="Arial"/>
                  <w:b/>
                  <w:bCs/>
                  <w:i/>
                  <w:color w:val="000000" w:themeColor="text1"/>
                  <w:sz w:val="24"/>
                  <w:szCs w:val="24"/>
                </w:rPr>
              </m:ctrlPr>
            </m:sSubPr>
            <m:e>
              <m:r>
                <m:rPr>
                  <m:sty m:val="bi"/>
                </m:rPr>
                <w:rPr>
                  <w:rFonts w:ascii="Cambria Math" w:hAnsi="Cambria Math" w:cs="Arial"/>
                  <w:color w:val="000000" w:themeColor="text1"/>
                  <w:sz w:val="24"/>
                  <w:szCs w:val="24"/>
                </w:rPr>
                <m:t>D</m:t>
              </m:r>
            </m:e>
            <m:sub>
              <m:r>
                <m:rPr>
                  <m:sty m:val="bi"/>
                </m:rPr>
                <w:rPr>
                  <w:rFonts w:ascii="Cambria Math" w:hAnsi="Cambria Math" w:cs="Arial"/>
                  <w:color w:val="000000" w:themeColor="text1"/>
                  <w:sz w:val="24"/>
                  <w:szCs w:val="24"/>
                </w:rPr>
                <m:t>b</m:t>
              </m:r>
            </m:sub>
          </m:sSub>
          <m:r>
            <m:rPr>
              <m:sty m:val="bi"/>
            </m:rPr>
            <w:rPr>
              <w:rFonts w:ascii="Cambria Math" w:hAnsi="Cambria Math" w:cs="Arial"/>
              <w:color w:val="000000" w:themeColor="text1"/>
              <w:sz w:val="24"/>
              <w:szCs w:val="24"/>
            </w:rPr>
            <m:t>≥</m:t>
          </m:r>
          <m:nary>
            <m:naryPr>
              <m:chr m:val="∑"/>
              <m:limLoc m:val="undOvr"/>
              <m:supHide m:val="1"/>
              <m:ctrlPr>
                <w:rPr>
                  <w:rFonts w:ascii="Cambria Math" w:hAnsi="Cambria Math" w:cs="Arial"/>
                  <w:b/>
                  <w:bCs/>
                  <w:i/>
                  <w:color w:val="000000" w:themeColor="text1"/>
                  <w:sz w:val="24"/>
                  <w:szCs w:val="24"/>
                </w:rPr>
              </m:ctrlPr>
            </m:naryPr>
            <m:sub>
              <m:r>
                <m:rPr>
                  <m:sty m:val="bi"/>
                </m:rPr>
                <w:rPr>
                  <w:rFonts w:ascii="Cambria Math" w:hAnsi="Cambria Math" w:cs="Arial"/>
                  <w:color w:val="000000" w:themeColor="text1"/>
                  <w:sz w:val="24"/>
                  <w:szCs w:val="24"/>
                </w:rPr>
                <m:t>T</m:t>
              </m:r>
            </m:sub>
            <m:sup/>
            <m:e>
              <m:nary>
                <m:naryPr>
                  <m:chr m:val="∑"/>
                  <m:limLoc m:val="undOvr"/>
                  <m:supHide m:val="1"/>
                  <m:ctrlPr>
                    <w:rPr>
                      <w:rFonts w:ascii="Cambria Math" w:hAnsi="Cambria Math" w:cs="Arial"/>
                      <w:b/>
                      <w:bCs/>
                      <w:i/>
                      <w:color w:val="000000" w:themeColor="text1"/>
                      <w:sz w:val="24"/>
                      <w:szCs w:val="24"/>
                    </w:rPr>
                  </m:ctrlPr>
                </m:naryPr>
                <m:sub>
                  <m:r>
                    <m:rPr>
                      <m:sty m:val="bi"/>
                    </m:rPr>
                    <w:rPr>
                      <w:rFonts w:ascii="Cambria Math" w:hAnsi="Cambria Math" w:cs="Arial"/>
                      <w:color w:val="000000" w:themeColor="text1"/>
                      <w:sz w:val="24"/>
                      <w:szCs w:val="24"/>
                    </w:rPr>
                    <m:t>f</m:t>
                  </m:r>
                </m:sub>
                <m:sup/>
                <m:e>
                  <m:sSubSup>
                    <m:sSubSupPr>
                      <m:ctrlPr>
                        <w:rPr>
                          <w:rFonts w:ascii="Cambria Math" w:hAnsi="Cambria Math" w:cs="Arial"/>
                          <w:b/>
                          <w:bCs/>
                          <w:i/>
                          <w:color w:val="000000" w:themeColor="text1"/>
                          <w:sz w:val="24"/>
                          <w:szCs w:val="24"/>
                        </w:rPr>
                      </m:ctrlPr>
                    </m:sSubSupPr>
                    <m:e>
                      <m:r>
                        <m:rPr>
                          <m:sty m:val="bi"/>
                        </m:rPr>
                        <w:rPr>
                          <w:rFonts w:ascii="Cambria Math" w:hAnsi="Cambria Math" w:cs="Arial"/>
                          <w:color w:val="000000" w:themeColor="text1"/>
                          <w:sz w:val="24"/>
                          <w:szCs w:val="24"/>
                        </w:rPr>
                        <m:t>D</m:t>
                      </m:r>
                    </m:e>
                    <m:sub>
                      <m:sSub>
                        <m:sSubPr>
                          <m:ctrlPr>
                            <w:rPr>
                              <w:rFonts w:ascii="Cambria Math" w:hAnsi="Cambria Math" w:cs="Arial"/>
                              <w:b/>
                              <w:bCs/>
                              <w:i/>
                              <w:color w:val="000000" w:themeColor="text1"/>
                              <w:sz w:val="24"/>
                              <w:szCs w:val="24"/>
                            </w:rPr>
                          </m:ctrlPr>
                        </m:sSubPr>
                        <m:e>
                          <m:r>
                            <m:rPr>
                              <m:sty m:val="bi"/>
                            </m:rPr>
                            <w:rPr>
                              <w:rFonts w:ascii="Cambria Math" w:hAnsi="Cambria Math" w:cs="Arial"/>
                              <w:color w:val="000000" w:themeColor="text1"/>
                              <w:sz w:val="24"/>
                              <w:szCs w:val="24"/>
                            </w:rPr>
                            <m:t>T</m:t>
                          </m:r>
                        </m:e>
                        <m:sub>
                          <m:r>
                            <m:rPr>
                              <m:sty m:val="bi"/>
                            </m:rPr>
                            <w:rPr>
                              <w:rFonts w:ascii="Cambria Math" w:hAnsi="Cambria Math" w:cs="Arial"/>
                              <w:color w:val="000000" w:themeColor="text1"/>
                              <w:sz w:val="24"/>
                              <w:szCs w:val="24"/>
                            </w:rPr>
                            <m:t>f,d,b</m:t>
                          </m:r>
                        </m:sub>
                      </m:sSub>
                    </m:sub>
                    <m:sup>
                      <m:r>
                        <m:rPr>
                          <m:sty m:val="bi"/>
                        </m:rPr>
                        <w:rPr>
                          <w:rFonts w:ascii="Cambria Math" w:hAnsi="Cambria Math" w:cs="Arial"/>
                          <w:color w:val="000000" w:themeColor="text1"/>
                          <w:sz w:val="24"/>
                          <w:szCs w:val="24"/>
                        </w:rPr>
                        <m:t>0</m:t>
                      </m:r>
                    </m:sup>
                  </m:sSubSup>
                </m:e>
              </m:nary>
            </m:e>
          </m:nary>
        </m:oMath>
      </m:oMathPara>
    </w:p>
    <w:p w14:paraId="27129E2F" w14:textId="77777777" w:rsidR="005C0F94" w:rsidRPr="00483BFD" w:rsidRDefault="005C0F94" w:rsidP="005C0F94">
      <w:pPr>
        <w:ind w:left="1134"/>
        <w:jc w:val="both"/>
        <w:outlineLvl w:val="0"/>
        <w:rPr>
          <w:rFonts w:ascii="Bookman Old Style" w:hAnsi="Bookman Old Style" w:cs="Arial"/>
          <w:color w:val="000000" w:themeColor="text1"/>
        </w:rPr>
      </w:pPr>
    </w:p>
    <w:p w14:paraId="104B2D2C" w14:textId="77777777" w:rsidR="005C0F94" w:rsidRPr="00483BFD" w:rsidRDefault="005C0F94" w:rsidP="005C0F94">
      <w:pPr>
        <w:ind w:left="1134"/>
        <w:jc w:val="both"/>
        <w:outlineLvl w:val="0"/>
        <w:rPr>
          <w:rFonts w:ascii="Bookman Old Style" w:hAnsi="Bookman Old Style" w:cs="Arial"/>
          <w:color w:val="000000" w:themeColor="text1"/>
        </w:rPr>
      </w:pPr>
      <w:r w:rsidRPr="00483BFD">
        <w:rPr>
          <w:rFonts w:ascii="Bookman Old Style" w:hAnsi="Bookman Old Style" w:cs="Arial"/>
          <w:color w:val="000000" w:themeColor="text1"/>
        </w:rPr>
        <w:t>En el evento en que una declaración de demanda no se ajuste a lo dispuesto en alguno de estos tres (3) numerales, el subastador entenderá que el comprador habilitado se retiró de la subasta.</w:t>
      </w:r>
    </w:p>
    <w:p w14:paraId="2F109806" w14:textId="77777777" w:rsidR="005C0F94" w:rsidRPr="00483BFD" w:rsidRDefault="005C0F94" w:rsidP="005C0F94">
      <w:pPr>
        <w:ind w:left="1134"/>
        <w:jc w:val="both"/>
        <w:outlineLvl w:val="0"/>
        <w:rPr>
          <w:rFonts w:ascii="Bookman Old Style" w:hAnsi="Bookman Old Style" w:cs="Arial"/>
          <w:color w:val="000000" w:themeColor="text1"/>
        </w:rPr>
      </w:pPr>
    </w:p>
    <w:p w14:paraId="2AA4EA02" w14:textId="5CF96B1C" w:rsidR="005C0F94" w:rsidRPr="00483BFD" w:rsidRDefault="005C0F94" w:rsidP="005C0F94">
      <w:pPr>
        <w:numPr>
          <w:ilvl w:val="0"/>
          <w:numId w:val="142"/>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Si el subastador encuentra que para cada producto ofrecido al precio de reserva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Pr="00483BFD">
        <w:rPr>
          <w:rFonts w:ascii="Bookman Old Style" w:hAnsi="Bookman Old Style" w:cs="Arial"/>
          <w:color w:val="000000" w:themeColor="text1"/>
        </w:rPr>
        <w:t xml:space="preserve"> la oferta es igual o superior a la demanda por el mismo, la subasta terminará en la ronda cero (0). En este caso, a cada comprador habilitado </w:t>
      </w:r>
      <m:oMath>
        <m:r>
          <w:rPr>
            <w:rFonts w:ascii="Cambria Math" w:hAnsi="Cambria Math" w:cs="Arial"/>
            <w:color w:val="000000" w:themeColor="text1"/>
          </w:rPr>
          <m:t>b</m:t>
        </m:r>
      </m:oMath>
      <w:r w:rsidRPr="00483BFD">
        <w:rPr>
          <w:rFonts w:ascii="Bookman Old Style" w:hAnsi="Bookman Old Style" w:cs="Arial"/>
          <w:color w:val="000000" w:themeColor="text1"/>
        </w:rPr>
        <w:t xml:space="preserve"> se le adjudicará la cantidad de energía de cada producto que él demandó, </w:t>
      </w:r>
      <m:oMath>
        <m:sSubSup>
          <m:sSubSupPr>
            <m:ctrlPr>
              <w:rPr>
                <w:rFonts w:ascii="Cambria Math" w:hAnsi="Cambria Math" w:cs="Arial"/>
                <w:i/>
                <w:color w:val="000000" w:themeColor="text1"/>
                <w:lang w:val="es-CO"/>
              </w:rPr>
            </m:ctrlPr>
          </m:sSubSupPr>
          <m:e>
            <m:r>
              <w:rPr>
                <w:rFonts w:ascii="Cambria Math" w:hAnsi="Cambria Math" w:cs="Arial"/>
                <w:color w:val="000000" w:themeColor="text1"/>
                <w:lang w:val="es-CO"/>
              </w:rPr>
              <m:t>D</m:t>
            </m:r>
          </m:e>
          <m:sub>
            <m:sSub>
              <m:sSubPr>
                <m:ctrlPr>
                  <w:rPr>
                    <w:rFonts w:ascii="Cambria Math" w:hAnsi="Cambria Math" w:cs="Arial"/>
                    <w:i/>
                    <w:color w:val="000000" w:themeColor="text1"/>
                    <w:lang w:val="es-CO"/>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f,d,b</m:t>
                </m:r>
              </m:sub>
            </m:sSub>
          </m:sub>
          <m:sup>
            <m:r>
              <w:rPr>
                <w:rFonts w:ascii="Cambria Math" w:hAnsi="Cambria Math" w:cs="Arial"/>
                <w:color w:val="000000" w:themeColor="text1"/>
                <w:lang w:val="es-CO"/>
              </w:rPr>
              <m:t>0</m:t>
            </m:r>
          </m:sup>
        </m:sSubSup>
      </m:oMath>
      <w:r w:rsidRPr="00483BFD">
        <w:rPr>
          <w:rFonts w:ascii="Bookman Old Style" w:hAnsi="Bookman Old Style" w:cs="Arial"/>
          <w:color w:val="000000" w:themeColor="text1"/>
          <w:lang w:val="es-CO"/>
        </w:rPr>
        <w:t>,</w:t>
      </w:r>
      <w:r w:rsidRPr="00483BFD">
        <w:rPr>
          <w:rFonts w:ascii="Bookman Old Style" w:hAnsi="Bookman Old Style" w:cs="Arial"/>
          <w:color w:val="000000" w:themeColor="text1"/>
        </w:rPr>
        <w:t xml:space="preserve"> al respectivo precio de inicio,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Pr="00483BFD">
        <w:rPr>
          <w:rFonts w:ascii="Bookman Old Style" w:hAnsi="Bookman Old Style" w:cs="Arial"/>
          <w:color w:val="000000" w:themeColor="text1"/>
        </w:rPr>
        <w:t xml:space="preserve">. Para estos efectos el subastador dará cumplimiento a lo dispuesto en los numerales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_Ref336367102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5.10</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y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_Ref336367104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5.11</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de este Anexo.</w:t>
      </w:r>
    </w:p>
    <w:p w14:paraId="13B221AD"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33C2A03F" w14:textId="4E7A21C1" w:rsidR="005C0F94" w:rsidRPr="00483BFD" w:rsidRDefault="005C0F94" w:rsidP="005C0F94">
      <w:pPr>
        <w:autoSpaceDE w:val="0"/>
        <w:autoSpaceDN w:val="0"/>
        <w:adjustRightInd w:val="0"/>
        <w:ind w:left="1134"/>
        <w:jc w:val="both"/>
        <w:rPr>
          <w:rFonts w:ascii="Bookman Old Style" w:hAnsi="Bookman Old Style" w:cs="Arial"/>
          <w:color w:val="000000" w:themeColor="text1"/>
        </w:rPr>
      </w:pPr>
      <w:r w:rsidRPr="00483BFD" w:rsidDel="00591A13">
        <w:rPr>
          <w:rFonts w:ascii="Bookman Old Style" w:hAnsi="Bookman Old Style" w:cs="Arial"/>
          <w:color w:val="000000" w:themeColor="text1"/>
        </w:rPr>
        <w:t>Si la demanda de uno o más productos es superior a la cantidad ofrecida</w:t>
      </w:r>
      <w:r w:rsidRPr="00483BFD">
        <w:rPr>
          <w:rFonts w:ascii="Bookman Old Style" w:hAnsi="Bookman Old Style" w:cs="Arial"/>
          <w:color w:val="000000" w:themeColor="text1"/>
        </w:rPr>
        <w:t xml:space="preserve"> a los precios de reserva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Pr="00483BFD" w:rsidDel="00591A13">
        <w:rPr>
          <w:rFonts w:ascii="Bookman Old Style" w:hAnsi="Bookman Old Style" w:cs="Arial"/>
          <w:color w:val="000000" w:themeColor="text1"/>
        </w:rPr>
        <w:t>, la subasta continuará. En este caso, el subastador continuará la subasta, dando aplicación a lo señalado en l</w:t>
      </w:r>
      <w:r w:rsidRPr="00483BFD">
        <w:rPr>
          <w:rFonts w:ascii="Bookman Old Style" w:hAnsi="Bookman Old Style" w:cs="Arial"/>
          <w:color w:val="000000" w:themeColor="text1"/>
        </w:rPr>
        <w:t>o</w:t>
      </w:r>
      <w:r w:rsidRPr="00483BFD" w:rsidDel="00591A13">
        <w:rPr>
          <w:rFonts w:ascii="Bookman Old Style" w:hAnsi="Bookman Old Style" w:cs="Arial"/>
          <w:color w:val="000000" w:themeColor="text1"/>
        </w:rPr>
        <w:t xml:space="preserve">s </w:t>
      </w:r>
      <w:r w:rsidRPr="00483BFD">
        <w:rPr>
          <w:rFonts w:ascii="Bookman Old Style" w:hAnsi="Bookman Old Style" w:cs="Arial"/>
          <w:color w:val="000000" w:themeColor="text1"/>
        </w:rPr>
        <w:t>numerales</w:t>
      </w:r>
      <w:r w:rsidRPr="00483BFD" w:rsidDel="00591A13">
        <w:rPr>
          <w:rFonts w:ascii="Bookman Old Style" w:hAnsi="Bookman Old Style" w:cs="Arial"/>
          <w:color w:val="000000" w:themeColor="text1"/>
        </w:rPr>
        <w:t xml:space="preserve"> </w:t>
      </w:r>
      <w:r w:rsidRPr="00483BFD" w:rsidDel="00591A13">
        <w:rPr>
          <w:rFonts w:ascii="Bookman Old Style" w:hAnsi="Bookman Old Style" w:cs="Arial"/>
          <w:color w:val="000000" w:themeColor="text1"/>
        </w:rPr>
        <w:fldChar w:fldCharType="begin"/>
      </w:r>
      <w:r w:rsidRPr="00483BFD" w:rsidDel="00591A13">
        <w:rPr>
          <w:rFonts w:ascii="Bookman Old Style" w:hAnsi="Bookman Old Style" w:cs="Arial"/>
          <w:color w:val="000000" w:themeColor="text1"/>
        </w:rPr>
        <w:instrText xml:space="preserve"> REF _Ref336367133 \r \h  \* MERGEFORMAT </w:instrText>
      </w:r>
      <w:r w:rsidRPr="00483BFD" w:rsidDel="00591A13">
        <w:rPr>
          <w:rFonts w:ascii="Bookman Old Style" w:hAnsi="Bookman Old Style" w:cs="Arial"/>
          <w:color w:val="000000" w:themeColor="text1"/>
        </w:rPr>
      </w:r>
      <w:r w:rsidRPr="00483BFD" w:rsidDel="00591A13">
        <w:rPr>
          <w:rFonts w:ascii="Bookman Old Style" w:hAnsi="Bookman Old Style" w:cs="Arial"/>
          <w:color w:val="000000" w:themeColor="text1"/>
        </w:rPr>
        <w:fldChar w:fldCharType="separate"/>
      </w:r>
      <w:r w:rsidR="00636B6A">
        <w:rPr>
          <w:rFonts w:ascii="Bookman Old Style" w:hAnsi="Bookman Old Style" w:cs="Arial"/>
          <w:color w:val="000000" w:themeColor="text1"/>
        </w:rPr>
        <w:t>5.7</w:t>
      </w:r>
      <w:r w:rsidRPr="00483BFD" w:rsidDel="00591A13">
        <w:rPr>
          <w:rFonts w:ascii="Bookman Old Style" w:hAnsi="Bookman Old Style" w:cs="Arial"/>
          <w:color w:val="000000" w:themeColor="text1"/>
        </w:rPr>
        <w:fldChar w:fldCharType="end"/>
      </w:r>
      <w:r w:rsidRPr="00483BFD" w:rsidDel="00591A13">
        <w:rPr>
          <w:rFonts w:ascii="Bookman Old Style" w:hAnsi="Bookman Old Style" w:cs="Arial"/>
          <w:color w:val="000000" w:themeColor="text1"/>
        </w:rPr>
        <w:t xml:space="preserve"> a </w:t>
      </w:r>
      <w:r w:rsidRPr="00483BFD" w:rsidDel="00591A13">
        <w:rPr>
          <w:rFonts w:ascii="Bookman Old Style" w:hAnsi="Bookman Old Style" w:cs="Arial"/>
          <w:color w:val="000000" w:themeColor="text1"/>
        </w:rPr>
        <w:fldChar w:fldCharType="begin"/>
      </w:r>
      <w:r w:rsidRPr="00483BFD" w:rsidDel="00591A13">
        <w:rPr>
          <w:rFonts w:ascii="Bookman Old Style" w:hAnsi="Bookman Old Style" w:cs="Arial"/>
          <w:color w:val="000000" w:themeColor="text1"/>
        </w:rPr>
        <w:instrText xml:space="preserve"> REF _Ref336367104 \r \h  \* MERGEFORMAT </w:instrText>
      </w:r>
      <w:r w:rsidRPr="00483BFD" w:rsidDel="00591A13">
        <w:rPr>
          <w:rFonts w:ascii="Bookman Old Style" w:hAnsi="Bookman Old Style" w:cs="Arial"/>
          <w:color w:val="000000" w:themeColor="text1"/>
        </w:rPr>
      </w:r>
      <w:r w:rsidRPr="00483BFD" w:rsidDel="00591A13">
        <w:rPr>
          <w:rFonts w:ascii="Bookman Old Style" w:hAnsi="Bookman Old Style" w:cs="Arial"/>
          <w:color w:val="000000" w:themeColor="text1"/>
        </w:rPr>
        <w:fldChar w:fldCharType="separate"/>
      </w:r>
      <w:r w:rsidR="00636B6A">
        <w:rPr>
          <w:rFonts w:ascii="Bookman Old Style" w:hAnsi="Bookman Old Style" w:cs="Arial"/>
          <w:color w:val="000000" w:themeColor="text1"/>
        </w:rPr>
        <w:t>5.11</w:t>
      </w:r>
      <w:r w:rsidRPr="00483BFD" w:rsidDel="00591A13">
        <w:rPr>
          <w:rFonts w:ascii="Bookman Old Style" w:hAnsi="Bookman Old Style" w:cs="Arial"/>
          <w:color w:val="000000" w:themeColor="text1"/>
        </w:rPr>
        <w:fldChar w:fldCharType="end"/>
      </w:r>
      <w:r w:rsidRPr="00483BFD" w:rsidDel="00591A13">
        <w:rPr>
          <w:rFonts w:ascii="Bookman Old Style" w:hAnsi="Bookman Old Style" w:cs="Arial"/>
          <w:color w:val="000000" w:themeColor="text1"/>
        </w:rPr>
        <w:t xml:space="preserve"> de este Anexo.</w:t>
      </w:r>
    </w:p>
    <w:p w14:paraId="4C8A65C8" w14:textId="77777777" w:rsidR="005C0F94" w:rsidRPr="00483BFD" w:rsidRDefault="005C0F94" w:rsidP="005C0F94">
      <w:pPr>
        <w:ind w:left="0"/>
        <w:jc w:val="both"/>
        <w:rPr>
          <w:rFonts w:ascii="Bookman Old Style" w:hAnsi="Bookman Old Style"/>
          <w:color w:val="000000" w:themeColor="text1"/>
        </w:rPr>
      </w:pPr>
    </w:p>
    <w:p w14:paraId="746F7BC6"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195" w:name="_Ref336367133"/>
      <w:r w:rsidRPr="00483BFD">
        <w:rPr>
          <w:rFonts w:ascii="Bookman Old Style" w:hAnsi="Bookman Old Style"/>
          <w:color w:val="000000" w:themeColor="text1"/>
          <w:sz w:val="24"/>
          <w:szCs w:val="24"/>
        </w:rPr>
        <w:t>Información al final de cada ronda</w:t>
      </w:r>
      <w:bookmarkEnd w:id="195"/>
    </w:p>
    <w:p w14:paraId="73EC5E20" w14:textId="77777777" w:rsidR="005C0F94" w:rsidRPr="00483BFD" w:rsidRDefault="005C0F94" w:rsidP="005C0F94">
      <w:pPr>
        <w:ind w:left="0"/>
        <w:jc w:val="both"/>
        <w:rPr>
          <w:rFonts w:ascii="Bookman Old Style" w:hAnsi="Bookman Old Style"/>
          <w:color w:val="000000" w:themeColor="text1"/>
          <w:lang w:val="es-CO"/>
        </w:rPr>
      </w:pPr>
    </w:p>
    <w:p w14:paraId="4DE3F3ED"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Al final de cada ronda </w:t>
      </w:r>
      <m:oMath>
        <m:r>
          <w:rPr>
            <w:rFonts w:ascii="Cambria Math" w:hAnsi="Cambria Math" w:cs="Arial"/>
            <w:color w:val="000000" w:themeColor="text1"/>
          </w:rPr>
          <m:t>r</m:t>
        </m:r>
      </m:oMath>
      <w:r w:rsidRPr="00483BFD">
        <w:rPr>
          <w:rFonts w:ascii="Bookman Old Style" w:hAnsi="Bookman Old Style"/>
          <w:color w:val="000000" w:themeColor="text1"/>
        </w:rPr>
        <w:t xml:space="preserve"> de la subasta, el subastador hará pública la siguiente información para cada producto:</w:t>
      </w:r>
    </w:p>
    <w:p w14:paraId="3D11A024" w14:textId="77777777" w:rsidR="005C0F94" w:rsidRPr="00483BFD" w:rsidRDefault="005C0F94" w:rsidP="005C0F94">
      <w:pPr>
        <w:ind w:left="0"/>
        <w:jc w:val="both"/>
        <w:rPr>
          <w:rFonts w:ascii="Bookman Old Style" w:hAnsi="Bookman Old Style"/>
          <w:color w:val="000000" w:themeColor="text1"/>
        </w:rPr>
      </w:pPr>
    </w:p>
    <w:p w14:paraId="68396522" w14:textId="77777777" w:rsidR="005C0F94" w:rsidRPr="00483BFD" w:rsidRDefault="005C0F94" w:rsidP="005C0F94">
      <w:pPr>
        <w:numPr>
          <w:ilvl w:val="0"/>
          <w:numId w:val="14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Si hay o no exceso de demanda.</w:t>
      </w:r>
    </w:p>
    <w:p w14:paraId="7CE9C44E" w14:textId="77777777" w:rsidR="005C0F94" w:rsidRPr="00483BFD" w:rsidRDefault="005C0F94" w:rsidP="005C0F94">
      <w:pPr>
        <w:pStyle w:val="Textoindependiente"/>
        <w:ind w:left="2268" w:hanging="1134"/>
        <w:jc w:val="both"/>
        <w:rPr>
          <w:rFonts w:ascii="Bookman Old Style" w:hAnsi="Bookman Old Style" w:cs="Arial"/>
          <w:color w:val="000000" w:themeColor="text1"/>
        </w:rPr>
      </w:pPr>
    </w:p>
    <w:p w14:paraId="2F1CE750" w14:textId="77777777" w:rsidR="005C0F94" w:rsidRPr="00483BFD" w:rsidRDefault="005C0F94" w:rsidP="005C0F94">
      <w:pPr>
        <w:numPr>
          <w:ilvl w:val="0"/>
          <w:numId w:val="14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Precio de cierre de la siguiente ronda, </w:t>
      </w:r>
      <m:oMath>
        <m:sSubSup>
          <m:sSubSupPr>
            <m:ctrlPr>
              <w:rPr>
                <w:rFonts w:ascii="Cambria Math" w:hAnsi="Cambria Math" w:cs="Arial"/>
                <w:bCs/>
                <w:i/>
                <w:color w:val="000000" w:themeColor="text1"/>
              </w:rPr>
            </m:ctrlPr>
          </m:sSubSupPr>
          <m:e>
            <m:r>
              <w:rPr>
                <w:rFonts w:ascii="Cambria Math" w:hAnsi="Cambria Math" w:cs="Arial"/>
                <w:color w:val="000000" w:themeColor="text1"/>
              </w:rPr>
              <m:t>p</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oMath>
      <w:r w:rsidRPr="00483BFD">
        <w:rPr>
          <w:rFonts w:ascii="Bookman Old Style" w:hAnsi="Bookman Old Style" w:cs="Arial"/>
          <w:color w:val="000000" w:themeColor="text1"/>
        </w:rPr>
        <w:t>.</w:t>
      </w:r>
    </w:p>
    <w:p w14:paraId="02E2AF06"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4D612D2E" w14:textId="77777777" w:rsidR="005C0F94" w:rsidRPr="00483BFD" w:rsidRDefault="005C0F94" w:rsidP="005C0F94">
      <w:pPr>
        <w:numPr>
          <w:ilvl w:val="0"/>
          <w:numId w:val="14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Oferta de gas, </w:t>
      </w: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r>
          <w:rPr>
            <w:rFonts w:ascii="Cambria Math" w:hAnsi="Cambria Math" w:cs="Arial"/>
            <w:color w:val="000000" w:themeColor="text1"/>
          </w:rPr>
          <m:t>)</m:t>
        </m:r>
      </m:oMath>
      <w:r w:rsidRPr="00483BFD">
        <w:rPr>
          <w:rFonts w:ascii="Bookman Old Style" w:hAnsi="Bookman Old Style" w:cs="Arial"/>
          <w:color w:val="000000" w:themeColor="text1"/>
        </w:rPr>
        <w:t xml:space="preserve">, al precio de cierre de la siguiente ronda, </w:t>
      </w:r>
      <m:oMath>
        <m:sSubSup>
          <m:sSubSupPr>
            <m:ctrlPr>
              <w:rPr>
                <w:rFonts w:ascii="Cambria Math" w:hAnsi="Cambria Math" w:cs="Arial"/>
                <w:bCs/>
                <w:i/>
                <w:color w:val="000000" w:themeColor="text1"/>
              </w:rPr>
            </m:ctrlPr>
          </m:sSubSupPr>
          <m:e>
            <m:r>
              <w:rPr>
                <w:rFonts w:ascii="Cambria Math" w:hAnsi="Cambria Math" w:cs="Arial"/>
                <w:color w:val="000000" w:themeColor="text1"/>
              </w:rPr>
              <m:t>p</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oMath>
      <w:r w:rsidRPr="00483BFD">
        <w:rPr>
          <w:rFonts w:ascii="Bookman Old Style" w:hAnsi="Bookman Old Style" w:cs="Arial"/>
          <w:color w:val="000000" w:themeColor="text1"/>
        </w:rPr>
        <w:t>.</w:t>
      </w:r>
    </w:p>
    <w:p w14:paraId="240F19CD"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725DA104" w14:textId="77777777" w:rsidR="005C0F94" w:rsidRPr="00483BFD" w:rsidRDefault="005C0F94" w:rsidP="005C0F94">
      <w:pPr>
        <w:numPr>
          <w:ilvl w:val="0"/>
          <w:numId w:val="143"/>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Duración de la siguiente ronda.</w:t>
      </w:r>
    </w:p>
    <w:p w14:paraId="0CF7049A" w14:textId="77777777" w:rsidR="005C0F94" w:rsidRPr="00483BFD" w:rsidRDefault="005C0F94" w:rsidP="005C0F94">
      <w:pPr>
        <w:ind w:left="0"/>
        <w:jc w:val="both"/>
        <w:rPr>
          <w:rFonts w:ascii="Bookman Old Style" w:hAnsi="Bookman Old Style"/>
          <w:color w:val="000000" w:themeColor="text1"/>
        </w:rPr>
      </w:pPr>
    </w:p>
    <w:p w14:paraId="7B783C04"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r w:rsidRPr="00483BFD">
        <w:rPr>
          <w:rFonts w:ascii="Bookman Old Style" w:hAnsi="Bookman Old Style"/>
          <w:color w:val="000000" w:themeColor="text1"/>
          <w:sz w:val="24"/>
          <w:szCs w:val="24"/>
        </w:rPr>
        <w:t>Reglas de actividad</w:t>
      </w:r>
    </w:p>
    <w:p w14:paraId="4EA36EDF" w14:textId="77777777" w:rsidR="005C0F94" w:rsidRPr="00483BFD" w:rsidRDefault="005C0F94" w:rsidP="005C0F94">
      <w:pPr>
        <w:ind w:left="0"/>
        <w:rPr>
          <w:rFonts w:ascii="Bookman Old Style" w:hAnsi="Bookman Old Style"/>
          <w:color w:val="000000" w:themeColor="text1"/>
          <w:lang w:val="es-CO"/>
        </w:rPr>
      </w:pPr>
    </w:p>
    <w:p w14:paraId="6EE13FF1" w14:textId="77777777" w:rsidR="005C0F94" w:rsidRPr="00483BFD" w:rsidRDefault="005C0F94" w:rsidP="005C0F94">
      <w:pPr>
        <w:ind w:left="0"/>
        <w:jc w:val="both"/>
        <w:rPr>
          <w:rFonts w:ascii="Bookman Old Style" w:hAnsi="Bookman Old Style"/>
          <w:color w:val="000000" w:themeColor="text1"/>
          <w:lang w:val="es-CO"/>
        </w:rPr>
      </w:pPr>
      <w:r w:rsidRPr="00483BFD">
        <w:rPr>
          <w:rFonts w:ascii="Bookman Old Style" w:hAnsi="Bookman Old Style"/>
          <w:color w:val="000000" w:themeColor="text1"/>
          <w:lang w:val="es-CO"/>
        </w:rPr>
        <w:t>Las demandas presentadas por los compradores habilitados, a partir de la ronda 1, estarán sujetas a las siguientes reglas de actividad:</w:t>
      </w:r>
    </w:p>
    <w:p w14:paraId="525F0612" w14:textId="77777777" w:rsidR="005C0F94" w:rsidRPr="00483BFD" w:rsidRDefault="005C0F94" w:rsidP="005C0F94">
      <w:pPr>
        <w:ind w:left="0"/>
        <w:jc w:val="both"/>
        <w:rPr>
          <w:rFonts w:ascii="Bookman Old Style" w:hAnsi="Bookman Old Style"/>
          <w:color w:val="000000" w:themeColor="text1"/>
          <w:lang w:val="es-CO"/>
        </w:rPr>
      </w:pPr>
    </w:p>
    <w:p w14:paraId="2278D4C1" w14:textId="77777777" w:rsidR="005C0F94" w:rsidRPr="00483BFD" w:rsidRDefault="005C0F94" w:rsidP="005C0F94">
      <w:pPr>
        <w:numPr>
          <w:ilvl w:val="0"/>
          <w:numId w:val="14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Regla de actividad de los compradores habilitados del tipo A: la demanda total de cada uno de estos compradores deberá mantenerse o reducirse en la medida en que avanza la subasta, así:</w:t>
      </w:r>
    </w:p>
    <w:p w14:paraId="1086BF64"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1C69198D" w14:textId="263EDFAA" w:rsidR="005C0F94" w:rsidRPr="00F503ED" w:rsidRDefault="00FB7B28" w:rsidP="005C0F94">
      <w:pPr>
        <w:pStyle w:val="Prrafodelista"/>
        <w:ind w:left="1701"/>
        <w:contextualSpacing/>
        <w:jc w:val="both"/>
        <w:rPr>
          <w:rFonts w:ascii="Bookman Old Style" w:hAnsi="Bookman Old Style" w:cs="Arial"/>
          <w:color w:val="000000" w:themeColor="text1"/>
          <w:sz w:val="24"/>
          <w:szCs w:val="24"/>
          <w:lang w:val="es-ES" w:eastAsia="es-ES"/>
        </w:rPr>
      </w:pPr>
      <m:oMathPara>
        <m:oMath>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m:t>
                          </m:r>
                          <m:r>
                            <m:rPr>
                              <m:sty m:val="bi"/>
                            </m:rPr>
                            <w:rPr>
                              <w:rFonts w:ascii="Cambria Math" w:hAnsi="Cambria Math" w:cs="Arial"/>
                              <w:color w:val="000000" w:themeColor="text1"/>
                              <w:sz w:val="24"/>
                              <w:szCs w:val="24"/>
                            </w:rPr>
                            <m:t>95</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CFC</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m:t>
                          </m:r>
                          <m:r>
                            <m:rPr>
                              <m:sty m:val="bi"/>
                            </m:rPr>
                            <w:rPr>
                              <w:rFonts w:ascii="Cambria Math" w:hAnsi="Cambria Math" w:cs="Arial"/>
                              <w:color w:val="000000" w:themeColor="text1"/>
                              <w:sz w:val="24"/>
                              <w:szCs w:val="24"/>
                            </w:rPr>
                            <m:t>95</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r+1</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CFC</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r+1</m:t>
                      </m:r>
                    </m:sup>
                  </m:sSubSup>
                </m:e>
              </m:nary>
            </m:e>
          </m:nary>
        </m:oMath>
      </m:oMathPara>
    </w:p>
    <w:p w14:paraId="0705EEDF" w14:textId="77777777" w:rsidR="005C0F94" w:rsidRPr="00F503E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09A9A0C8" w14:textId="77777777" w:rsidR="005C0F94" w:rsidRPr="00F503ED" w:rsidRDefault="005C0F94" w:rsidP="005C0F94">
      <w:pPr>
        <w:numPr>
          <w:ilvl w:val="0"/>
          <w:numId w:val="144"/>
        </w:numPr>
        <w:autoSpaceDE w:val="0"/>
        <w:autoSpaceDN w:val="0"/>
        <w:adjustRightInd w:val="0"/>
        <w:ind w:left="1134" w:hanging="567"/>
        <w:jc w:val="both"/>
        <w:rPr>
          <w:rFonts w:ascii="Bookman Old Style" w:hAnsi="Bookman Old Style" w:cs="Arial"/>
          <w:color w:val="000000" w:themeColor="text1"/>
        </w:rPr>
      </w:pPr>
      <w:r w:rsidRPr="00F503ED">
        <w:rPr>
          <w:rFonts w:ascii="Bookman Old Style" w:hAnsi="Bookman Old Style" w:cs="Arial"/>
          <w:color w:val="000000" w:themeColor="text1"/>
        </w:rPr>
        <w:t>Regla de actividad de los compradores habilitados del tipo B: la demanda total de cada uno de estos compradores deberá mantenerse o reducirse en la medida en que avanza la subasta, así:</w:t>
      </w:r>
    </w:p>
    <w:p w14:paraId="4B89BBDF" w14:textId="77777777" w:rsidR="005C0F94" w:rsidRPr="00F503ED" w:rsidRDefault="005C0F94" w:rsidP="005C0F94">
      <w:pPr>
        <w:autoSpaceDE w:val="0"/>
        <w:autoSpaceDN w:val="0"/>
        <w:adjustRightInd w:val="0"/>
        <w:ind w:left="1134"/>
        <w:jc w:val="both"/>
        <w:rPr>
          <w:rFonts w:ascii="Bookman Old Style" w:hAnsi="Bookman Old Style" w:cs="Arial"/>
          <w:color w:val="000000" w:themeColor="text1"/>
        </w:rPr>
      </w:pPr>
    </w:p>
    <w:p w14:paraId="7DF94215" w14:textId="1B1AB70E" w:rsidR="005C0F94" w:rsidRPr="00F503ED" w:rsidRDefault="00FB7B28" w:rsidP="005C0F94">
      <w:pPr>
        <w:pStyle w:val="Prrafodelista"/>
        <w:ind w:left="1701"/>
        <w:contextualSpacing/>
        <w:jc w:val="both"/>
        <w:rPr>
          <w:rFonts w:ascii="Bookman Old Style" w:hAnsi="Bookman Old Style" w:cs="Arial"/>
          <w:color w:val="000000" w:themeColor="text1"/>
          <w:sz w:val="24"/>
          <w:szCs w:val="24"/>
          <w:lang w:val="es-ES" w:eastAsia="es-ES"/>
        </w:rPr>
      </w:pPr>
      <m:oMathPara>
        <m:oMath>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m:t>
                          </m:r>
                          <m:r>
                            <m:rPr>
                              <m:sty m:val="bi"/>
                            </m:rPr>
                            <w:rPr>
                              <w:rFonts w:ascii="Cambria Math" w:hAnsi="Cambria Math" w:cs="Arial"/>
                              <w:color w:val="000000" w:themeColor="text1"/>
                              <w:sz w:val="24"/>
                              <w:szCs w:val="24"/>
                            </w:rPr>
                            <m:t>95</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OCG</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CF</m:t>
                          </m:r>
                          <m:r>
                            <m:rPr>
                              <m:sty m:val="bi"/>
                            </m:rPr>
                            <w:rPr>
                              <w:rFonts w:ascii="Cambria Math" w:hAnsi="Cambria Math" w:cs="Arial"/>
                              <w:color w:val="000000" w:themeColor="text1"/>
                              <w:sz w:val="24"/>
                              <w:szCs w:val="24"/>
                            </w:rPr>
                            <m:t>95</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r+1</m:t>
                      </m:r>
                    </m:sup>
                  </m:sSubSup>
                </m:e>
              </m:nary>
            </m:e>
          </m:nary>
          <m:r>
            <w:rPr>
              <w:rFonts w:ascii="Cambria Math" w:hAnsi="Cambria Math" w:cs="Arial"/>
              <w:color w:val="000000" w:themeColor="text1"/>
              <w:sz w:val="24"/>
              <w:szCs w:val="24"/>
            </w:rPr>
            <m:t>+</m:t>
          </m:r>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f</m:t>
              </m:r>
            </m:sub>
            <m:sup/>
            <m:e>
              <m:nary>
                <m:naryPr>
                  <m:chr m:val="∑"/>
                  <m:limLoc m:val="undOvr"/>
                  <m:supHide m:val="1"/>
                  <m:ctrlPr>
                    <w:rPr>
                      <w:rFonts w:ascii="Cambria Math" w:hAnsi="Cambria Math" w:cs="Arial"/>
                      <w:i/>
                      <w:color w:val="000000" w:themeColor="text1"/>
                      <w:sz w:val="24"/>
                      <w:szCs w:val="24"/>
                    </w:rPr>
                  </m:ctrlPr>
                </m:naryPr>
                <m:sub>
                  <m:r>
                    <w:rPr>
                      <w:rFonts w:ascii="Cambria Math" w:hAnsi="Cambria Math" w:cs="Arial"/>
                      <w:color w:val="000000" w:themeColor="text1"/>
                      <w:sz w:val="24"/>
                      <w:szCs w:val="24"/>
                    </w:rPr>
                    <m:t>d</m:t>
                  </m:r>
                </m:sub>
                <m:sup/>
                <m:e>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bCs/>
                              <w:i/>
                              <w:color w:val="000000" w:themeColor="text1"/>
                              <w:sz w:val="24"/>
                              <w:szCs w:val="24"/>
                            </w:rPr>
                          </m:ctrlPr>
                        </m:sSubPr>
                        <m:e>
                          <m:r>
                            <w:rPr>
                              <w:rFonts w:ascii="Cambria Math" w:hAnsi="Cambria Math" w:cs="Arial"/>
                              <w:color w:val="000000" w:themeColor="text1"/>
                              <w:sz w:val="24"/>
                              <w:szCs w:val="24"/>
                            </w:rPr>
                            <m:t>OCG</m:t>
                          </m:r>
                        </m:e>
                        <m:sub>
                          <m:r>
                            <w:rPr>
                              <w:rFonts w:ascii="Cambria Math" w:hAnsi="Cambria Math" w:cs="Arial"/>
                              <w:color w:val="000000" w:themeColor="text1"/>
                              <w:sz w:val="24"/>
                              <w:szCs w:val="24"/>
                            </w:rPr>
                            <m:t>f,d,b</m:t>
                          </m:r>
                        </m:sub>
                      </m:sSub>
                    </m:sub>
                    <m:sup>
                      <m:r>
                        <w:rPr>
                          <w:rFonts w:ascii="Cambria Math" w:hAnsi="Cambria Math" w:cs="Arial"/>
                          <w:color w:val="000000" w:themeColor="text1"/>
                          <w:sz w:val="24"/>
                          <w:szCs w:val="24"/>
                        </w:rPr>
                        <m:t>r+1</m:t>
                      </m:r>
                    </m:sup>
                  </m:sSubSup>
                </m:e>
              </m:nary>
            </m:e>
          </m:nary>
        </m:oMath>
      </m:oMathPara>
    </w:p>
    <w:p w14:paraId="5E692B4B"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03AECC45" w14:textId="77777777" w:rsidR="005C0F94" w:rsidRPr="00483BFD" w:rsidRDefault="005C0F94" w:rsidP="005C0F94">
      <w:pPr>
        <w:numPr>
          <w:ilvl w:val="0"/>
          <w:numId w:val="14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Regla de actividad de los compradores habilitados: cada comprador </w:t>
      </w:r>
      <m:oMath>
        <m:r>
          <w:rPr>
            <w:rFonts w:ascii="Cambria Math" w:hAnsi="Cambria Math" w:cs="Arial"/>
            <w:color w:val="000000" w:themeColor="text1"/>
          </w:rPr>
          <m:t>b'</m:t>
        </m:r>
      </m:oMath>
      <w:r w:rsidRPr="00483BFD">
        <w:rPr>
          <w:rFonts w:ascii="Bookman Old Style" w:hAnsi="Bookman Old Style" w:cs="Arial"/>
          <w:color w:val="000000" w:themeColor="text1"/>
        </w:rPr>
        <w:t xml:space="preserve">, entendido como aquel que en la ronda </w:t>
      </w:r>
      <m:oMath>
        <m:r>
          <w:rPr>
            <w:rFonts w:ascii="Cambria Math" w:hAnsi="Cambria Math" w:cs="Arial"/>
            <w:color w:val="000000" w:themeColor="text1"/>
          </w:rPr>
          <m:t>r+1</m:t>
        </m:r>
      </m:oMath>
      <w:r w:rsidRPr="00483BFD">
        <w:rPr>
          <w:rFonts w:ascii="Bookman Old Style" w:hAnsi="Bookman Old Style" w:cs="Arial"/>
          <w:color w:val="000000" w:themeColor="text1"/>
        </w:rPr>
        <w:t xml:space="preserve"> solicite una cantidad de energía del producto</w:t>
      </w:r>
      <w:r w:rsidRPr="00483BFD">
        <w:rPr>
          <w:rFonts w:ascii="Bookman Old Style" w:hAnsi="Bookman Old Style" w:cs="Arial"/>
          <w:b/>
          <w:color w:val="000000" w:themeColor="text1"/>
          <w:lang w:val="es-CO"/>
        </w:rPr>
        <w:t xml:space="preserve">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inferior a la que</w:t>
      </w:r>
      <w:r w:rsidRPr="00483BFD">
        <w:rPr>
          <w:rFonts w:ascii="Bookman Old Style" w:hAnsi="Bookman Old Style" w:cs="Arial"/>
          <w:b/>
          <w:color w:val="000000" w:themeColor="text1"/>
        </w:rPr>
        <w:t xml:space="preserve"> </w:t>
      </w:r>
      <w:r w:rsidRPr="00483BFD">
        <w:rPr>
          <w:rFonts w:ascii="Bookman Old Style" w:hAnsi="Bookman Old Style" w:cs="Arial"/>
          <w:color w:val="000000" w:themeColor="text1"/>
        </w:rPr>
        <w:t xml:space="preserve">solicitó en la ronda </w:t>
      </w:r>
      <m:oMath>
        <m:r>
          <w:rPr>
            <w:rFonts w:ascii="Cambria Math" w:hAnsi="Cambria Math" w:cs="Arial"/>
            <w:color w:val="000000" w:themeColor="text1"/>
          </w:rPr>
          <m:t>r</m:t>
        </m:r>
      </m:oMath>
      <w:r w:rsidRPr="00483BFD">
        <w:rPr>
          <w:rFonts w:ascii="Bookman Old Style" w:hAnsi="Bookman Old Style" w:cs="Arial"/>
          <w:color w:val="000000" w:themeColor="text1"/>
        </w:rPr>
        <w:t xml:space="preserve">, deberá presentar al subastador el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Pr="00483BFD">
        <w:rPr>
          <w:rFonts w:ascii="Bookman Old Style" w:hAnsi="Bookman Old Style" w:cs="Arial"/>
          <w:color w:val="000000" w:themeColor="text1"/>
        </w:rPr>
        <w:t xml:space="preserve"> con el cual no reduciría las cantidades de energía del producto</w:t>
      </w:r>
      <w:r w:rsidRPr="00483BFD">
        <w:rPr>
          <w:rFonts w:ascii="Bookman Old Style" w:hAnsi="Bookman Old Style" w:cs="Arial"/>
          <w:b/>
          <w:color w:val="000000" w:themeColor="text1"/>
          <w:lang w:val="es-CO"/>
        </w:rPr>
        <w:t xml:space="preserve">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en la ronda </w:t>
      </w:r>
      <m:oMath>
        <m:r>
          <w:rPr>
            <w:rFonts w:ascii="Cambria Math" w:hAnsi="Cambria Math" w:cs="Arial"/>
            <w:color w:val="000000" w:themeColor="text1"/>
          </w:rPr>
          <m:t>r+1</m:t>
        </m:r>
      </m:oMath>
      <w:r w:rsidRPr="00483BFD">
        <w:rPr>
          <w:rFonts w:ascii="Bookman Old Style" w:hAnsi="Bookman Old Style" w:cs="Arial"/>
          <w:color w:val="000000" w:themeColor="text1"/>
        </w:rPr>
        <w:t xml:space="preserve">. El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Pr="00483BFD">
        <w:rPr>
          <w:rFonts w:ascii="Bookman Old Style" w:hAnsi="Bookman Old Style" w:cs="Arial"/>
          <w:color w:val="000000" w:themeColor="text1"/>
        </w:rPr>
        <w:t xml:space="preserve"> deberá ser mayor al precio de cierre de la ronda </w:t>
      </w:r>
      <m:oMath>
        <m:r>
          <w:rPr>
            <w:rFonts w:ascii="Cambria Math" w:hAnsi="Cambria Math" w:cs="Arial"/>
            <w:color w:val="000000" w:themeColor="text1"/>
          </w:rPr>
          <m:t>r</m:t>
        </m:r>
      </m:oMath>
      <w:r w:rsidRPr="00483BFD">
        <w:rPr>
          <w:rFonts w:ascii="Bookman Old Style" w:hAnsi="Bookman Old Style" w:cs="Arial"/>
          <w:color w:val="000000" w:themeColor="text1"/>
        </w:rPr>
        <w:t xml:space="preserve"> y deberá ser mayor o igual al último precio presentado por el comprador </w:t>
      </w:r>
      <m:oMath>
        <m:r>
          <w:rPr>
            <w:rFonts w:ascii="Cambria Math" w:hAnsi="Cambria Math" w:cs="Arial"/>
            <w:color w:val="000000" w:themeColor="text1"/>
          </w:rPr>
          <m:t>b'</m:t>
        </m:r>
      </m:oMath>
      <w:r w:rsidRPr="00483BFD">
        <w:rPr>
          <w:rFonts w:ascii="Bookman Old Style" w:hAnsi="Bookman Old Style" w:cs="Arial"/>
          <w:color w:val="000000" w:themeColor="text1"/>
        </w:rPr>
        <w:t xml:space="preserve"> para dicho producto. En caso de que el comprador </w:t>
      </w:r>
      <m:oMath>
        <m:r>
          <w:rPr>
            <w:rFonts w:ascii="Cambria Math" w:hAnsi="Cambria Math" w:cs="Arial"/>
            <w:color w:val="000000" w:themeColor="text1"/>
          </w:rPr>
          <m:t>b'</m:t>
        </m:r>
      </m:oMath>
      <w:r w:rsidRPr="00483BFD">
        <w:rPr>
          <w:rFonts w:ascii="Bookman Old Style" w:hAnsi="Bookman Old Style" w:cs="Arial"/>
          <w:color w:val="000000" w:themeColor="text1"/>
        </w:rPr>
        <w:t xml:space="preserve"> no presente el mencionado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Pr="00483BFD">
        <w:rPr>
          <w:rFonts w:ascii="Bookman Old Style" w:hAnsi="Bookman Old Style" w:cs="Arial"/>
          <w:color w:val="000000" w:themeColor="text1"/>
        </w:rPr>
        <w:t xml:space="preserve">, el subastador entenderá que dicho precio es igual al precio de cierre de la ronda </w:t>
      </w:r>
      <m:oMath>
        <m:r>
          <w:rPr>
            <w:rFonts w:ascii="Cambria Math" w:hAnsi="Cambria Math" w:cs="Arial"/>
            <w:color w:val="000000" w:themeColor="text1"/>
          </w:rPr>
          <m:t>r+1</m:t>
        </m:r>
      </m:oMath>
      <w:r w:rsidRPr="00483BFD">
        <w:rPr>
          <w:rFonts w:ascii="Bookman Old Style" w:hAnsi="Bookman Old Style" w:cs="Arial"/>
          <w:color w:val="000000" w:themeColor="text1"/>
        </w:rPr>
        <w:t xml:space="preserve">. El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Pr="00483BFD">
        <w:rPr>
          <w:rFonts w:ascii="Bookman Old Style" w:hAnsi="Bookman Old Style" w:cs="Arial"/>
          <w:color w:val="000000" w:themeColor="text1"/>
        </w:rPr>
        <w:t xml:space="preserve"> no </w:t>
      </w:r>
      <w:r w:rsidRPr="00483BFD">
        <w:rPr>
          <w:rFonts w:ascii="Bookman Old Style" w:hAnsi="Bookman Old Style"/>
          <w:bCs/>
          <w:color w:val="000000" w:themeColor="text1"/>
          <w:lang w:eastAsia="x-none"/>
        </w:rPr>
        <w:t>podrá tener más de dos (2) cifras decimales</w:t>
      </w:r>
      <w:r w:rsidRPr="00483BFD">
        <w:rPr>
          <w:rFonts w:ascii="Bookman Old Style" w:hAnsi="Bookman Old Style" w:cs="Arial"/>
          <w:color w:val="000000" w:themeColor="text1"/>
        </w:rPr>
        <w:t>.</w:t>
      </w:r>
    </w:p>
    <w:p w14:paraId="63DF1562" w14:textId="77777777" w:rsidR="005C0F94" w:rsidRPr="00483BFD" w:rsidRDefault="005C0F94" w:rsidP="005C0F94">
      <w:pPr>
        <w:contextualSpacing/>
        <w:jc w:val="both"/>
        <w:rPr>
          <w:rFonts w:ascii="Bookman Old Style" w:hAnsi="Bookman Old Style" w:cs="Arial"/>
          <w:color w:val="000000" w:themeColor="text1"/>
        </w:rPr>
      </w:pPr>
    </w:p>
    <w:p w14:paraId="004431CA" w14:textId="77777777" w:rsidR="005C0F94" w:rsidRPr="00483BFD" w:rsidRDefault="005C0F94" w:rsidP="005C0F94">
      <w:pPr>
        <w:numPr>
          <w:ilvl w:val="0"/>
          <w:numId w:val="14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Regla de control de exceso de oferta: durante la subasta se controlará que la demanda de energía de un producto por parte de los compradores habilitados no se reduzca, de una ronda a otra, en una cantidad tal que se genere un exceso de oferta. Para esto el subastador dará aplicación a este procedimiento en cada ronda de la subasta:</w:t>
      </w:r>
    </w:p>
    <w:p w14:paraId="5336B60C"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74F2D5E1" w14:textId="77777777" w:rsidR="005C0F94" w:rsidRPr="00483BFD" w:rsidRDefault="005C0F94" w:rsidP="005C0F94">
      <w:pPr>
        <w:pStyle w:val="Prrafodelista"/>
        <w:numPr>
          <w:ilvl w:val="0"/>
          <w:numId w:val="249"/>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Calculará el valor del exceso de demanda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ED</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sub>
          <m:sup>
            <m:r>
              <w:rPr>
                <w:rFonts w:ascii="Cambria Math" w:hAnsi="Cambria Math" w:cs="Arial"/>
                <w:color w:val="000000" w:themeColor="text1"/>
                <w:sz w:val="24"/>
                <w:szCs w:val="24"/>
              </w:rPr>
              <m:t>r</m:t>
            </m:r>
          </m:sup>
        </m:sSubSup>
      </m:oMath>
      <w:r w:rsidRPr="00483BFD">
        <w:rPr>
          <w:rFonts w:ascii="Bookman Old Style" w:hAnsi="Bookman Old Style" w:cs="Arial"/>
          <w:color w:val="000000" w:themeColor="text1"/>
          <w:sz w:val="24"/>
          <w:szCs w:val="24"/>
        </w:rPr>
        <w:t xml:space="preserve"> de la siguiente manera:</w:t>
      </w:r>
    </w:p>
    <w:p w14:paraId="23041A11"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6F68C56E" w14:textId="77777777" w:rsidR="005C0F94" w:rsidRPr="00483BFD" w:rsidRDefault="00FB7B28" w:rsidP="005C0F94">
      <w:pPr>
        <w:autoSpaceDE w:val="0"/>
        <w:autoSpaceDN w:val="0"/>
        <w:adjustRightInd w:val="0"/>
        <w:ind w:left="1701"/>
        <w:jc w:val="both"/>
        <w:rPr>
          <w:rFonts w:ascii="Bookman Old Style" w:hAnsi="Bookman Old Style" w:cs="Arial"/>
          <w:color w:val="000000" w:themeColor="text1"/>
        </w:rPr>
      </w:pPr>
      <m:oMathPara>
        <m:oMath>
          <m:sSubSup>
            <m:sSubSupPr>
              <m:ctrlPr>
                <w:rPr>
                  <w:rFonts w:ascii="Cambria Math" w:hAnsi="Cambria Math" w:cs="Arial"/>
                  <w:i/>
                  <w:color w:val="000000" w:themeColor="text1"/>
                </w:rPr>
              </m:ctrlPr>
            </m:sSubSupPr>
            <m:e>
              <m:r>
                <w:rPr>
                  <w:rFonts w:ascii="Cambria Math" w:hAnsi="Cambria Math" w:cs="Arial"/>
                  <w:color w:val="000000" w:themeColor="text1"/>
                </w:rPr>
                <m:t>ED</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r>
            <w:rPr>
              <w:rFonts w:ascii="Cambria Math" w:hAnsi="Cambria Math" w:cs="Arial"/>
              <w:color w:val="000000" w:themeColor="text1"/>
            </w:rPr>
            <m:t>=máx</m:t>
          </m:r>
          <m:d>
            <m:dPr>
              <m:begChr m:val="["/>
              <m:endChr m:val="]"/>
              <m:ctrlPr>
                <w:rPr>
                  <w:rFonts w:ascii="Cambria Math" w:hAnsi="Cambria Math" w:cs="Arial"/>
                  <w:i/>
                  <w:color w:val="000000" w:themeColor="text1"/>
                </w:rPr>
              </m:ctrlPr>
            </m:dPr>
            <m:e>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b</m:t>
                  </m:r>
                </m:sub>
                <m:sup/>
                <m:e>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sub>
                    <m:sup>
                      <m:r>
                        <w:rPr>
                          <w:rFonts w:ascii="Cambria Math" w:hAnsi="Cambria Math" w:cs="Arial"/>
                          <w:color w:val="000000" w:themeColor="text1"/>
                        </w:rPr>
                        <m:t>r</m:t>
                      </m:r>
                    </m:sup>
                  </m:sSubSup>
                </m:e>
              </m:nary>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d>
                <m:dPr>
                  <m:ctrlPr>
                    <w:rPr>
                      <w:rFonts w:ascii="Cambria Math" w:hAnsi="Cambria Math" w:cs="Arial"/>
                      <w:i/>
                      <w:color w:val="000000" w:themeColor="text1"/>
                    </w:rPr>
                  </m:ctrlPr>
                </m:dPr>
                <m:e>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e>
              </m:d>
              <m:r>
                <w:rPr>
                  <w:rFonts w:ascii="Cambria Math" w:hAnsi="Cambria Math" w:cs="Arial"/>
                  <w:color w:val="000000" w:themeColor="text1"/>
                </w:rPr>
                <m:t>,0</m:t>
              </m:r>
            </m:e>
          </m:d>
        </m:oMath>
      </m:oMathPara>
    </w:p>
    <w:p w14:paraId="216B0333"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21668748"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Donde:</w:t>
      </w:r>
    </w:p>
    <w:p w14:paraId="7560A121"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1712763D"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ED</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Exceso de demanda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en la ronda </w:t>
      </w:r>
      <m:oMath>
        <m:r>
          <w:rPr>
            <w:rFonts w:ascii="Cambria Math" w:hAnsi="Cambria Math" w:cs="Arial"/>
            <w:color w:val="000000" w:themeColor="text1"/>
          </w:rPr>
          <m:t>r</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3A4EB064" w14:textId="77777777" w:rsidR="005C0F94" w:rsidRPr="00483BFD" w:rsidRDefault="005C0F94" w:rsidP="005C0F94">
      <w:pPr>
        <w:autoSpaceDE w:val="0"/>
        <w:autoSpaceDN w:val="0"/>
        <w:adjustRightInd w:val="0"/>
        <w:ind w:left="3119" w:hanging="1418"/>
        <w:jc w:val="both"/>
        <w:rPr>
          <w:rFonts w:ascii="Bookman Old Style" w:hAnsi="Bookman Old Style" w:cs="Arial"/>
          <w:color w:val="000000" w:themeColor="text1"/>
        </w:rPr>
      </w:pPr>
    </w:p>
    <w:p w14:paraId="77D1C8F0"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Sup>
          <m:sSubSupPr>
            <m:ctrlPr>
              <w:rPr>
                <w:rFonts w:ascii="Cambria Math" w:hAnsi="Cambria Math" w:cs="Arial"/>
                <w:bCs/>
                <w:i/>
                <w:color w:val="000000" w:themeColor="text1"/>
                <w:lang w:val="es-CO" w:eastAsia="x-none"/>
              </w:rPr>
            </m:ctrlPr>
          </m:sSubSupPr>
          <m:e>
            <m:r>
              <w:rPr>
                <w:rFonts w:ascii="Cambria Math" w:hAnsi="Cambria Math" w:cs="Arial"/>
                <w:color w:val="000000" w:themeColor="text1"/>
                <w:lang w:val="es-CO"/>
              </w:rPr>
              <m:t>D</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f,d,b</m:t>
                </m:r>
              </m:sub>
            </m:sSub>
          </m:sub>
          <m:sup>
            <m:r>
              <w:rPr>
                <w:rFonts w:ascii="Cambria Math" w:hAnsi="Cambria Math" w:cs="Arial"/>
                <w:color w:val="000000" w:themeColor="text1"/>
                <w:lang w:val="es-CO"/>
              </w:rPr>
              <m:t>r</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solicitada en la ronda </w:t>
      </w:r>
      <m:oMath>
        <m:r>
          <w:rPr>
            <w:rFonts w:ascii="Cambria Math" w:hAnsi="Cambria Math" w:cs="Arial"/>
            <w:color w:val="000000" w:themeColor="text1"/>
          </w:rPr>
          <m:t>r</m:t>
        </m:r>
      </m:oMath>
      <w:r w:rsidR="005C0F94" w:rsidRPr="00483BFD">
        <w:rPr>
          <w:rFonts w:ascii="Bookman Old Style" w:hAnsi="Bookman Old Style" w:cs="Arial"/>
          <w:color w:val="000000" w:themeColor="text1"/>
        </w:rPr>
        <w:t xml:space="preserve"> por parte del comprador habilitado </w:t>
      </w:r>
      <m:oMath>
        <m:r>
          <w:rPr>
            <w:rFonts w:ascii="Cambria Math" w:hAnsi="Cambria Math" w:cs="Arial"/>
            <w:color w:val="000000" w:themeColor="text1"/>
          </w:rPr>
          <m:t>b</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46168C82" w14:textId="77777777" w:rsidR="005C0F94" w:rsidRPr="00483BFD" w:rsidRDefault="005C0F94" w:rsidP="005C0F94">
      <w:pPr>
        <w:autoSpaceDE w:val="0"/>
        <w:autoSpaceDN w:val="0"/>
        <w:adjustRightInd w:val="0"/>
        <w:ind w:left="3119" w:hanging="1418"/>
        <w:jc w:val="both"/>
        <w:rPr>
          <w:rFonts w:ascii="Bookman Old Style" w:hAnsi="Bookman Old Style" w:cs="Arial"/>
          <w:color w:val="000000" w:themeColor="text1"/>
        </w:rPr>
      </w:pPr>
    </w:p>
    <w:p w14:paraId="6A1931AA" w14:textId="77777777" w:rsidR="005C0F94" w:rsidRPr="00483BFD" w:rsidRDefault="00FB7B28" w:rsidP="005C0F94">
      <w:pPr>
        <w:ind w:left="3119" w:hanging="1418"/>
        <w:jc w:val="both"/>
        <w:outlineLvl w:val="0"/>
        <w:rPr>
          <w:rFonts w:ascii="Bookman Old Style" w:hAnsi="Bookman Old Style"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r>
          <w:rPr>
            <w:rFonts w:ascii="Cambria Math" w:hAnsi="Cambria Math" w:cs="Arial"/>
            <w:color w:val="000000" w:themeColor="text1"/>
          </w:rPr>
          <m:t>)</m:t>
        </m:r>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b/>
          <w:color w:val="000000" w:themeColor="text1"/>
        </w:rPr>
        <w:t xml:space="preserve"> </w:t>
      </w:r>
      <w:r w:rsidR="005C0F94" w:rsidRPr="00483BFD">
        <w:rPr>
          <w:rFonts w:ascii="Bookman Old Style" w:hAnsi="Bookman Old Style" w:cs="Arial"/>
          <w:color w:val="000000" w:themeColor="text1"/>
        </w:rPr>
        <w:t xml:space="preserve">ofrecida en la subasta por parte de todos los vendedores habilitados al precio </w:t>
      </w:r>
      <m:oMath>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639329D0" w14:textId="77777777" w:rsidR="005C0F94" w:rsidRPr="00483BFD" w:rsidRDefault="005C0F94" w:rsidP="005C0F94">
      <w:pPr>
        <w:ind w:left="3119" w:hanging="1418"/>
        <w:jc w:val="both"/>
        <w:outlineLvl w:val="0"/>
        <w:rPr>
          <w:rFonts w:ascii="Bookman Old Style" w:hAnsi="Bookman Old Style" w:cs="Arial"/>
          <w:color w:val="000000" w:themeColor="text1"/>
        </w:rPr>
      </w:pPr>
    </w:p>
    <w:p w14:paraId="1FB7EF59" w14:textId="77777777" w:rsidR="005C0F94" w:rsidRPr="00483BFD" w:rsidRDefault="005C0F94" w:rsidP="005C0F94">
      <w:pPr>
        <w:ind w:left="3119" w:hanging="1418"/>
        <w:jc w:val="both"/>
        <w:outlineLvl w:val="0"/>
        <w:rPr>
          <w:rFonts w:ascii="Bookman Old Style" w:hAnsi="Bookman Old Style"/>
          <w:color w:val="000000" w:themeColor="text1"/>
        </w:rPr>
      </w:pPr>
      <m:oMath>
        <m:r>
          <w:rPr>
            <w:rFonts w:ascii="Cambria Math" w:hAnsi="Cambria Math" w:cs="Arial"/>
            <w:color w:val="000000" w:themeColor="text1"/>
          </w:rPr>
          <m:t>r</m:t>
        </m:r>
      </m:oMath>
      <w:r w:rsidRPr="00483BFD">
        <w:rPr>
          <w:rFonts w:ascii="Bookman Old Style" w:hAnsi="Bookman Old Style" w:cs="Arial"/>
          <w:color w:val="000000" w:themeColor="text1"/>
          <w:lang w:val="es-CO"/>
        </w:rPr>
        <w:t>:</w:t>
      </w:r>
      <w:r w:rsidRPr="00483BFD">
        <w:rPr>
          <w:rFonts w:ascii="Bookman Old Style" w:hAnsi="Bookman Old Style" w:cs="Arial"/>
          <w:color w:val="000000" w:themeColor="text1"/>
          <w:lang w:val="es-CO"/>
        </w:rPr>
        <w:tab/>
        <w:t>Número de la ronda de la subasta.</w:t>
      </w:r>
    </w:p>
    <w:p w14:paraId="6E65FA8D" w14:textId="77777777" w:rsidR="005C0F94" w:rsidRPr="00483BFD" w:rsidRDefault="005C0F94" w:rsidP="005C0F94">
      <w:pPr>
        <w:autoSpaceDE w:val="0"/>
        <w:autoSpaceDN w:val="0"/>
        <w:adjustRightInd w:val="0"/>
        <w:ind w:left="3119" w:hanging="1418"/>
        <w:jc w:val="both"/>
        <w:rPr>
          <w:rFonts w:ascii="Bookman Old Style" w:hAnsi="Bookman Old Style" w:cs="Arial"/>
          <w:color w:val="000000" w:themeColor="text1"/>
        </w:rPr>
      </w:pPr>
    </w:p>
    <w:p w14:paraId="5949EF87" w14:textId="77777777" w:rsidR="005C0F94" w:rsidRPr="00483BFD" w:rsidRDefault="005C0F94" w:rsidP="005C0F94">
      <w:pPr>
        <w:pStyle w:val="Prrafodelista"/>
        <w:numPr>
          <w:ilvl w:val="0"/>
          <w:numId w:val="249"/>
        </w:numPr>
        <w:ind w:left="1701" w:hanging="567"/>
        <w:contextualSpacing/>
        <w:jc w:val="both"/>
        <w:rPr>
          <w:rFonts w:ascii="Bookman Old Style" w:hAnsi="Bookman Old Style" w:cs="Arial"/>
          <w:color w:val="000000" w:themeColor="text1"/>
          <w:sz w:val="24"/>
          <w:szCs w:val="24"/>
          <w:lang w:val="es-ES" w:eastAsia="es-ES"/>
        </w:rPr>
      </w:pPr>
      <w:bookmarkStart w:id="196" w:name="_Ref361406071"/>
      <w:r w:rsidRPr="00483BFD">
        <w:rPr>
          <w:rFonts w:ascii="Bookman Old Style" w:hAnsi="Bookman Old Style" w:cs="Arial"/>
          <w:color w:val="000000" w:themeColor="text1"/>
          <w:sz w:val="24"/>
          <w:szCs w:val="24"/>
          <w:lang w:val="es-ES" w:eastAsia="es-ES"/>
        </w:rPr>
        <w:t>Verificará si se cumple la siguiente condición</w:t>
      </w:r>
      <w:r w:rsidRPr="00483BFD">
        <w:rPr>
          <w:rFonts w:ascii="Bookman Old Style" w:hAnsi="Bookman Old Style" w:cs="Arial"/>
          <w:color w:val="000000" w:themeColor="text1"/>
          <w:sz w:val="24"/>
          <w:szCs w:val="24"/>
        </w:rPr>
        <w:t>:</w:t>
      </w:r>
      <w:bookmarkEnd w:id="196"/>
    </w:p>
    <w:p w14:paraId="0476F513"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62A48403" w14:textId="77777777" w:rsidR="005C0F94" w:rsidRPr="00483BFD" w:rsidRDefault="00FB7B28" w:rsidP="005C0F94">
      <w:pPr>
        <w:ind w:left="1701"/>
        <w:jc w:val="both"/>
        <w:rPr>
          <w:rFonts w:ascii="Bookman Old Style" w:hAnsi="Bookman Old Style"/>
          <w:color w:val="000000" w:themeColor="text1"/>
        </w:rPr>
      </w:pPr>
      <m:oMathPara>
        <m:oMath>
          <m:sSubSup>
            <m:sSubSupPr>
              <m:ctrlPr>
                <w:rPr>
                  <w:rFonts w:ascii="Cambria Math" w:hAnsi="Cambria Math" w:cs="Arial"/>
                  <w:i/>
                  <w:color w:val="000000" w:themeColor="text1"/>
                </w:rPr>
              </m:ctrlPr>
            </m:sSubSupPr>
            <m:e>
              <m:r>
                <w:rPr>
                  <w:rFonts w:ascii="Cambria Math" w:hAnsi="Cambria Math" w:cs="Arial"/>
                  <w:color w:val="000000" w:themeColor="text1"/>
                </w:rPr>
                <m:t>ED</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r>
            <w:rPr>
              <w:rFonts w:ascii="Cambria Math" w:hAnsi="Cambria Math" w:cs="Arial"/>
              <w:color w:val="000000" w:themeColor="text1"/>
            </w:rPr>
            <m:t>&lt;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b</m:t>
              </m:r>
            </m:sub>
            <m:sup/>
            <m:e>
              <m:r>
                <w:rPr>
                  <w:rFonts w:ascii="Cambria Math" w:hAnsi="Cambria Math" w:cs="Arial"/>
                  <w:color w:val="000000" w:themeColor="text1"/>
                </w:rPr>
                <m:t>(</m:t>
              </m:r>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sub>
                <m:sup>
                  <m:r>
                    <w:rPr>
                      <w:rFonts w:ascii="Cambria Math" w:hAnsi="Cambria Math" w:cs="Arial"/>
                      <w:color w:val="000000" w:themeColor="text1"/>
                    </w:rPr>
                    <m:t>r</m:t>
                  </m:r>
                </m:sup>
              </m:sSubSup>
              <m:r>
                <w:rPr>
                  <w:rFonts w:ascii="Cambria Math" w:hAnsi="Cambria Math" w:cs="Arial"/>
                  <w:color w:val="000000" w:themeColor="text1"/>
                </w:rPr>
                <m:t>-</m:t>
              </m:r>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sub>
                <m:sup>
                  <m:r>
                    <w:rPr>
                      <w:rFonts w:ascii="Cambria Math" w:hAnsi="Cambria Math" w:cs="Arial"/>
                      <w:color w:val="000000" w:themeColor="text1"/>
                    </w:rPr>
                    <m:t>r+1</m:t>
                  </m:r>
                </m:sup>
              </m:sSubSup>
              <m:r>
                <w:rPr>
                  <w:rFonts w:ascii="Cambria Math" w:hAnsi="Cambria Math" w:cs="Arial"/>
                  <w:color w:val="000000" w:themeColor="text1"/>
                </w:rPr>
                <m:t>)</m:t>
              </m:r>
            </m:e>
          </m:nary>
        </m:oMath>
      </m:oMathPara>
    </w:p>
    <w:p w14:paraId="5C694413"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4D6576B3" w14:textId="77777777" w:rsidR="005C0F94" w:rsidRPr="00483BFD" w:rsidRDefault="005C0F94" w:rsidP="005C0F94">
      <w:pPr>
        <w:pStyle w:val="Prrafodelista"/>
        <w:numPr>
          <w:ilvl w:val="0"/>
          <w:numId w:val="249"/>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Si no se cumple la condición anterior no habrá exceso de oferta y por tanto no habrá lugar a aplicar lo dispuesto en el resto de este literal.</w:t>
      </w:r>
    </w:p>
    <w:p w14:paraId="48879D26"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15A498C5" w14:textId="1646E083" w:rsidR="005C0F94" w:rsidRPr="00483BFD" w:rsidRDefault="005C0F94" w:rsidP="005C0F94">
      <w:pPr>
        <w:pStyle w:val="Prrafodelista"/>
        <w:numPr>
          <w:ilvl w:val="0"/>
          <w:numId w:val="249"/>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Si se cumple la condición del numeral </w:t>
      </w:r>
      <w:r w:rsidRPr="00483BFD">
        <w:rPr>
          <w:rFonts w:ascii="Bookman Old Style" w:hAnsi="Bookman Old Style" w:cs="Arial"/>
          <w:color w:val="000000" w:themeColor="text1"/>
          <w:sz w:val="24"/>
          <w:szCs w:val="24"/>
          <w:lang w:val="es-ES" w:eastAsia="es-ES"/>
        </w:rPr>
        <w:fldChar w:fldCharType="begin"/>
      </w:r>
      <w:r w:rsidRPr="00483BFD">
        <w:rPr>
          <w:rFonts w:ascii="Bookman Old Style" w:hAnsi="Bookman Old Style" w:cs="Arial"/>
          <w:color w:val="000000" w:themeColor="text1"/>
          <w:sz w:val="24"/>
          <w:szCs w:val="24"/>
          <w:lang w:val="es-ES" w:eastAsia="es-ES"/>
        </w:rPr>
        <w:instrText xml:space="preserve"> REF _Ref361406071 \r \h  \* MERGEFORMAT </w:instrText>
      </w:r>
      <w:r w:rsidRPr="00483BFD">
        <w:rPr>
          <w:rFonts w:ascii="Bookman Old Style" w:hAnsi="Bookman Old Style" w:cs="Arial"/>
          <w:color w:val="000000" w:themeColor="text1"/>
          <w:sz w:val="24"/>
          <w:szCs w:val="24"/>
          <w:lang w:val="es-ES" w:eastAsia="es-ES"/>
        </w:rPr>
      </w:r>
      <w:r w:rsidRPr="00483BFD">
        <w:rPr>
          <w:rFonts w:ascii="Bookman Old Style" w:hAnsi="Bookman Old Style" w:cs="Arial"/>
          <w:color w:val="000000" w:themeColor="text1"/>
          <w:sz w:val="24"/>
          <w:szCs w:val="24"/>
          <w:lang w:val="es-ES" w:eastAsia="es-ES"/>
        </w:rPr>
        <w:fldChar w:fldCharType="separate"/>
      </w:r>
      <w:proofErr w:type="spellStart"/>
      <w:r w:rsidR="00636B6A">
        <w:rPr>
          <w:rFonts w:ascii="Bookman Old Style" w:hAnsi="Bookman Old Style" w:cs="Arial"/>
          <w:color w:val="000000" w:themeColor="text1"/>
          <w:sz w:val="24"/>
          <w:szCs w:val="24"/>
          <w:lang w:val="es-ES" w:eastAsia="es-ES"/>
        </w:rPr>
        <w:t>ii</w:t>
      </w:r>
      <w:proofErr w:type="spellEnd"/>
      <w:r w:rsidRPr="00483BFD">
        <w:rPr>
          <w:rFonts w:ascii="Bookman Old Style" w:hAnsi="Bookman Old Style" w:cs="Arial"/>
          <w:color w:val="000000" w:themeColor="text1"/>
          <w:sz w:val="24"/>
          <w:szCs w:val="24"/>
          <w:lang w:val="es-ES" w:eastAsia="es-ES"/>
        </w:rPr>
        <w:fldChar w:fldCharType="end"/>
      </w:r>
      <w:r w:rsidRPr="00483BFD">
        <w:rPr>
          <w:rFonts w:ascii="Bookman Old Style" w:hAnsi="Bookman Old Style" w:cs="Arial"/>
          <w:color w:val="000000" w:themeColor="text1"/>
          <w:sz w:val="24"/>
          <w:szCs w:val="24"/>
          <w:lang w:val="es-ES" w:eastAsia="es-ES"/>
        </w:rPr>
        <w:t xml:space="preserve">, calculará el </w:t>
      </w:r>
      <w:r w:rsidRPr="00483BFD">
        <w:rPr>
          <w:rFonts w:ascii="Bookman Old Style" w:hAnsi="Bookman Old Style" w:cs="Arial"/>
          <w:color w:val="000000" w:themeColor="text1"/>
          <w:sz w:val="24"/>
          <w:szCs w:val="24"/>
        </w:rPr>
        <w:t xml:space="preserve">exceso de oferta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EO</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sub>
          <m:sup>
            <m:r>
              <w:rPr>
                <w:rFonts w:ascii="Cambria Math" w:hAnsi="Cambria Math" w:cs="Arial"/>
                <w:color w:val="000000" w:themeColor="text1"/>
                <w:sz w:val="24"/>
                <w:szCs w:val="24"/>
              </w:rPr>
              <m:t>r+1</m:t>
            </m:r>
          </m:sup>
        </m:sSubSup>
      </m:oMath>
      <w:r w:rsidRPr="00483BFD">
        <w:rPr>
          <w:rFonts w:ascii="Bookman Old Style" w:hAnsi="Bookman Old Style" w:cs="Arial"/>
          <w:color w:val="000000" w:themeColor="text1"/>
          <w:sz w:val="24"/>
          <w:szCs w:val="24"/>
          <w:lang w:val="es-ES" w:eastAsia="es-ES"/>
        </w:rPr>
        <w:t xml:space="preserve"> </w:t>
      </w:r>
      <w:r w:rsidRPr="00483BFD">
        <w:rPr>
          <w:rFonts w:ascii="Bookman Old Style" w:hAnsi="Bookman Old Style" w:cs="Arial"/>
          <w:color w:val="000000" w:themeColor="text1"/>
          <w:sz w:val="24"/>
          <w:szCs w:val="24"/>
        </w:rPr>
        <w:t>de la siguiente manera:</w:t>
      </w:r>
    </w:p>
    <w:p w14:paraId="66856880"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2706D36A" w14:textId="77777777" w:rsidR="005C0F94" w:rsidRPr="00483BFD" w:rsidRDefault="00FB7B28" w:rsidP="005C0F94">
      <w:pPr>
        <w:autoSpaceDE w:val="0"/>
        <w:autoSpaceDN w:val="0"/>
        <w:adjustRightInd w:val="0"/>
        <w:ind w:left="1701"/>
        <w:jc w:val="both"/>
        <w:rPr>
          <w:rFonts w:ascii="Bookman Old Style" w:hAnsi="Bookman Old Style" w:cs="Arial"/>
          <w:color w:val="000000" w:themeColor="text1"/>
        </w:rPr>
      </w:pPr>
      <m:oMathPara>
        <m:oMath>
          <m:sSubSup>
            <m:sSubSupPr>
              <m:ctrlPr>
                <w:rPr>
                  <w:rFonts w:ascii="Cambria Math" w:hAnsi="Cambria Math" w:cs="Arial"/>
                  <w:i/>
                  <w:color w:val="000000" w:themeColor="text1"/>
                </w:rPr>
              </m:ctrlPr>
            </m:sSubSupPr>
            <m:e>
              <m:r>
                <w:rPr>
                  <w:rFonts w:ascii="Cambria Math" w:hAnsi="Cambria Math" w:cs="Arial"/>
                  <w:color w:val="000000" w:themeColor="text1"/>
                </w:rPr>
                <m:t>EO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d>
            <m:dPr>
              <m:ctrlPr>
                <w:rPr>
                  <w:rFonts w:ascii="Cambria Math" w:hAnsi="Cambria Math" w:cs="Arial"/>
                  <w:i/>
                  <w:color w:val="000000" w:themeColor="text1"/>
                </w:rPr>
              </m:ctrlPr>
            </m:dPr>
            <m:e>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e>
          </m:d>
          <m:r>
            <w:rPr>
              <w:rFonts w:ascii="Cambria Math" w:hAnsi="Cambria Math" w:cs="Arial"/>
              <w:color w:val="000000" w:themeColor="text1"/>
            </w:rPr>
            <m:t>-</m:t>
          </m:r>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b</m:t>
              </m:r>
            </m:sub>
            <m:sup/>
            <m:e>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sub>
                <m:sup>
                  <m:r>
                    <w:rPr>
                      <w:rFonts w:ascii="Cambria Math" w:hAnsi="Cambria Math" w:cs="Arial"/>
                      <w:color w:val="000000" w:themeColor="text1"/>
                    </w:rPr>
                    <m:t>r+1</m:t>
                  </m:r>
                </m:sup>
              </m:sSubSup>
            </m:e>
          </m:nary>
        </m:oMath>
      </m:oMathPara>
    </w:p>
    <w:p w14:paraId="4BE945F9"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4F2E51B3"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Donde:</w:t>
      </w:r>
    </w:p>
    <w:p w14:paraId="3F011D9D"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28D9E4DB"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Sup>
          <m:sSubSupPr>
            <m:ctrlPr>
              <w:rPr>
                <w:rFonts w:ascii="Cambria Math" w:hAnsi="Cambria Math" w:cs="Arial"/>
                <w:i/>
                <w:color w:val="000000" w:themeColor="text1"/>
              </w:rPr>
            </m:ctrlPr>
          </m:sSubSupPr>
          <m:e>
            <m:r>
              <w:rPr>
                <w:rFonts w:ascii="Cambria Math" w:hAnsi="Cambria Math" w:cs="Arial"/>
                <w:color w:val="000000" w:themeColor="text1"/>
              </w:rPr>
              <m:t>EO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r+1</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Exceso de oferta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en la ronda </w:t>
      </w:r>
      <m:oMath>
        <m:r>
          <w:rPr>
            <w:rFonts w:ascii="Cambria Math" w:hAnsi="Cambria Math" w:cs="Arial"/>
            <w:color w:val="000000" w:themeColor="text1"/>
          </w:rPr>
          <m:t>r+1</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4A2D70B6"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4C49D713" w14:textId="36DF8A55" w:rsidR="005C0F94" w:rsidRPr="00483BFD" w:rsidRDefault="005C0F94" w:rsidP="005C0F94">
      <w:pPr>
        <w:pStyle w:val="Prrafodelista"/>
        <w:numPr>
          <w:ilvl w:val="0"/>
          <w:numId w:val="249"/>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Eliminará</w:t>
      </w:r>
      <w:r w:rsidRPr="00483BFD">
        <w:rPr>
          <w:rFonts w:ascii="Bookman Old Style" w:hAnsi="Bookman Old Style" w:cs="Arial"/>
          <w:color w:val="000000" w:themeColor="text1"/>
          <w:sz w:val="24"/>
          <w:szCs w:val="24"/>
        </w:rPr>
        <w:t xml:space="preserve"> el exceso de oferta </w:t>
      </w: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EO</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sub>
          <m:sup>
            <m:r>
              <w:rPr>
                <w:rFonts w:ascii="Cambria Math" w:hAnsi="Cambria Math" w:cs="Arial"/>
                <w:color w:val="000000" w:themeColor="text1"/>
                <w:sz w:val="24"/>
                <w:szCs w:val="24"/>
              </w:rPr>
              <m:t>r+1</m:t>
            </m:r>
          </m:sup>
        </m:sSubSup>
      </m:oMath>
      <w:r w:rsidRPr="00483BFD">
        <w:rPr>
          <w:rFonts w:ascii="Bookman Old Style" w:hAnsi="Bookman Old Style" w:cs="Arial"/>
          <w:color w:val="000000" w:themeColor="text1"/>
          <w:sz w:val="24"/>
          <w:szCs w:val="24"/>
        </w:rPr>
        <w:t xml:space="preserve">, para lo cual a cada comprador </w:t>
      </w:r>
      <m:oMath>
        <m:r>
          <w:rPr>
            <w:rFonts w:ascii="Cambria Math" w:hAnsi="Cambria Math" w:cs="Arial"/>
            <w:color w:val="000000" w:themeColor="text1"/>
            <w:sz w:val="24"/>
            <w:szCs w:val="24"/>
          </w:rPr>
          <m:t>b'</m:t>
        </m:r>
      </m:oMath>
      <w:r w:rsidRPr="00483BFD">
        <w:rPr>
          <w:rFonts w:ascii="Bookman Old Style" w:hAnsi="Bookman Old Style" w:cs="Arial"/>
          <w:color w:val="000000" w:themeColor="text1"/>
          <w:sz w:val="24"/>
          <w:szCs w:val="24"/>
        </w:rPr>
        <w:t xml:space="preserve"> le asignará, además de la cantidad </w:t>
      </w:r>
      <m:oMath>
        <m:sSubSup>
          <m:sSubSupPr>
            <m:ctrlPr>
              <w:rPr>
                <w:rFonts w:ascii="Cambria Math" w:hAnsi="Cambria Math" w:cs="Arial"/>
                <w:bCs/>
                <w:i/>
                <w:color w:val="000000" w:themeColor="text1"/>
                <w:sz w:val="24"/>
                <w:szCs w:val="24"/>
              </w:rPr>
            </m:ctrlPr>
          </m:sSubSupPr>
          <m:e>
            <m:r>
              <w:rPr>
                <w:rFonts w:ascii="Cambria Math" w:hAnsi="Cambria Math" w:cs="Arial"/>
                <w:color w:val="000000" w:themeColor="text1"/>
                <w:sz w:val="24"/>
                <w:szCs w:val="24"/>
              </w:rPr>
              <m:t>D</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f,d,b</m:t>
                </m:r>
              </m:sub>
            </m:sSub>
            <m:r>
              <w:rPr>
                <w:rFonts w:ascii="Cambria Math" w:hAnsi="Cambria Math" w:cs="Arial"/>
                <w:color w:val="000000" w:themeColor="text1"/>
                <w:sz w:val="24"/>
                <w:szCs w:val="24"/>
              </w:rPr>
              <m:t>'</m:t>
            </m:r>
          </m:sub>
          <m:sup>
            <m:r>
              <w:rPr>
                <w:rFonts w:ascii="Cambria Math" w:hAnsi="Cambria Math" w:cs="Arial"/>
                <w:color w:val="000000" w:themeColor="text1"/>
                <w:sz w:val="24"/>
                <w:szCs w:val="24"/>
              </w:rPr>
              <m:t>r+1</m:t>
            </m:r>
          </m:sup>
        </m:sSubSup>
      </m:oMath>
      <w:r w:rsidRPr="00483BFD">
        <w:rPr>
          <w:rFonts w:ascii="Bookman Old Style" w:hAnsi="Bookman Old Style" w:cs="Arial"/>
          <w:bCs/>
          <w:color w:val="000000" w:themeColor="text1"/>
          <w:sz w:val="24"/>
          <w:szCs w:val="24"/>
        </w:rPr>
        <w:t>,</w:t>
      </w:r>
      <w:r w:rsidRPr="00483BFD">
        <w:rPr>
          <w:rFonts w:ascii="Bookman Old Style" w:hAnsi="Bookman Old Style" w:cs="Arial"/>
          <w:color w:val="000000" w:themeColor="text1"/>
          <w:sz w:val="24"/>
          <w:szCs w:val="24"/>
        </w:rPr>
        <w:t xml:space="preserve"> una cantidad de energía </w:t>
      </w:r>
      <m:oMath>
        <m:sSubSup>
          <m:sSubSupPr>
            <m:ctrlPr>
              <w:rPr>
                <w:rFonts w:ascii="Cambria Math" w:hAnsi="Cambria Math" w:cs="Arial"/>
                <w:bCs/>
                <w:i/>
                <w:color w:val="000000" w:themeColor="text1"/>
                <w:sz w:val="24"/>
                <w:szCs w:val="24"/>
              </w:rPr>
            </m:ctrlPr>
          </m:sSubSupPr>
          <m:e>
            <m:acc>
              <m:accPr>
                <m:ctrlPr>
                  <w:rPr>
                    <w:rFonts w:ascii="Cambria Math" w:hAnsi="Cambria Math" w:cs="Arial"/>
                    <w:i/>
                    <w:color w:val="000000" w:themeColor="text1"/>
                    <w:sz w:val="24"/>
                    <w:szCs w:val="24"/>
                  </w:rPr>
                </m:ctrlPr>
              </m:accPr>
              <m:e>
                <m:r>
                  <w:rPr>
                    <w:rFonts w:ascii="Cambria Math" w:hAnsi="Cambria Math" w:cs="Arial"/>
                    <w:color w:val="000000" w:themeColor="text1"/>
                    <w:sz w:val="24"/>
                    <w:szCs w:val="24"/>
                  </w:rPr>
                  <m:t>D</m:t>
                </m:r>
              </m:e>
            </m:acc>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f,d,b</m:t>
                </m:r>
              </m:sub>
            </m:sSub>
            <m:r>
              <w:rPr>
                <w:rFonts w:ascii="Cambria Math" w:hAnsi="Cambria Math" w:cs="Arial"/>
                <w:color w:val="000000" w:themeColor="text1"/>
                <w:sz w:val="24"/>
                <w:szCs w:val="24"/>
              </w:rPr>
              <m:t>'</m:t>
            </m:r>
          </m:sub>
          <m:sup>
            <m:r>
              <w:rPr>
                <w:rFonts w:ascii="Cambria Math" w:hAnsi="Cambria Math" w:cs="Arial"/>
                <w:color w:val="000000" w:themeColor="text1"/>
                <w:sz w:val="24"/>
                <w:szCs w:val="24"/>
              </w:rPr>
              <m:t>r+1</m:t>
            </m:r>
          </m:sup>
        </m:sSubSup>
      </m:oMath>
      <w:r w:rsidRPr="00483BFD">
        <w:rPr>
          <w:rFonts w:ascii="Bookman Old Style" w:hAnsi="Bookman Old Style" w:cs="Arial"/>
          <w:bCs/>
          <w:color w:val="000000" w:themeColor="text1"/>
          <w:sz w:val="24"/>
          <w:szCs w:val="24"/>
        </w:rPr>
        <w:t xml:space="preserve"> </w:t>
      </w:r>
      <w:r w:rsidRPr="00483BFD">
        <w:rPr>
          <w:rFonts w:ascii="Bookman Old Style" w:hAnsi="Bookman Old Style" w:cs="Arial"/>
          <w:color w:val="000000" w:themeColor="text1"/>
          <w:sz w:val="24"/>
          <w:szCs w:val="24"/>
        </w:rPr>
        <w:t xml:space="preserve">conforme se establece en la </w:t>
      </w:r>
      <w:r w:rsidRPr="00483BFD">
        <w:rPr>
          <w:rFonts w:ascii="Bookman Old Style" w:hAnsi="Bookman Old Style" w:cs="Arial"/>
          <w:color w:val="000000" w:themeColor="text1"/>
          <w:sz w:val="24"/>
          <w:szCs w:val="24"/>
        </w:rPr>
        <w:fldChar w:fldCharType="begin"/>
      </w:r>
      <w:r w:rsidRPr="00483BFD">
        <w:rPr>
          <w:rFonts w:ascii="Bookman Old Style" w:hAnsi="Bookman Old Style" w:cs="Arial"/>
          <w:color w:val="000000" w:themeColor="text1"/>
          <w:sz w:val="24"/>
          <w:szCs w:val="24"/>
        </w:rPr>
        <w:instrText xml:space="preserve"> REF _Ref357700099 \h  \* MERGEFORMAT </w:instrText>
      </w:r>
      <w:r w:rsidRPr="00483BFD">
        <w:rPr>
          <w:rFonts w:ascii="Bookman Old Style" w:hAnsi="Bookman Old Style" w:cs="Arial"/>
          <w:color w:val="000000" w:themeColor="text1"/>
          <w:sz w:val="24"/>
          <w:szCs w:val="24"/>
        </w:rPr>
      </w:r>
      <w:r w:rsidRPr="00483BFD">
        <w:rPr>
          <w:rFonts w:ascii="Bookman Old Style" w:hAnsi="Bookman Old Style" w:cs="Arial"/>
          <w:color w:val="000000" w:themeColor="text1"/>
          <w:sz w:val="24"/>
          <w:szCs w:val="24"/>
        </w:rPr>
        <w:fldChar w:fldCharType="separate"/>
      </w:r>
      <w:r w:rsidR="00636B6A" w:rsidRPr="00996A90">
        <w:rPr>
          <w:rFonts w:ascii="Bookman Old Style" w:hAnsi="Bookman Old Style"/>
          <w:color w:val="000000" w:themeColor="text1"/>
          <w:sz w:val="24"/>
          <w:szCs w:val="24"/>
        </w:rPr>
        <w:t xml:space="preserve">Tabla </w:t>
      </w:r>
      <w:r w:rsidRPr="00483BFD">
        <w:rPr>
          <w:rFonts w:ascii="Bookman Old Style" w:hAnsi="Bookman Old Style" w:cs="Arial"/>
          <w:color w:val="000000" w:themeColor="text1"/>
          <w:sz w:val="24"/>
          <w:szCs w:val="24"/>
        </w:rPr>
        <w:fldChar w:fldCharType="end"/>
      </w:r>
      <w:r w:rsidRPr="00483BFD">
        <w:rPr>
          <w:rFonts w:ascii="Bookman Old Style" w:hAnsi="Bookman Old Style" w:cs="Arial"/>
          <w:color w:val="000000" w:themeColor="text1"/>
          <w:sz w:val="24"/>
          <w:szCs w:val="24"/>
        </w:rPr>
        <w:t>:</w:t>
      </w:r>
    </w:p>
    <w:p w14:paraId="47CCCF64"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173D00DA" w14:textId="157C6011" w:rsidR="005C0F94" w:rsidRPr="00483BFD" w:rsidRDefault="005C0F94" w:rsidP="005C0F94">
      <w:pPr>
        <w:pStyle w:val="Descripcin"/>
        <w:keepNext/>
        <w:spacing w:before="0" w:after="0" w:line="240" w:lineRule="auto"/>
        <w:ind w:left="1701"/>
        <w:rPr>
          <w:rFonts w:ascii="Bookman Old Style" w:hAnsi="Bookman Old Style"/>
          <w:b/>
          <w:color w:val="000000" w:themeColor="text1"/>
          <w:sz w:val="24"/>
          <w:szCs w:val="24"/>
          <w:lang w:val="es-CO"/>
        </w:rPr>
      </w:pPr>
      <w:bookmarkStart w:id="197" w:name="_Ref357700099"/>
      <w:bookmarkStart w:id="198" w:name="_Ref357700082"/>
      <w:r w:rsidRPr="00483BFD">
        <w:rPr>
          <w:rFonts w:ascii="Bookman Old Style" w:hAnsi="Bookman Old Style"/>
          <w:b/>
          <w:color w:val="000000" w:themeColor="text1"/>
          <w:sz w:val="24"/>
          <w:szCs w:val="24"/>
          <w:lang w:val="es-CO"/>
        </w:rPr>
        <w:t xml:space="preserve">Tabla </w:t>
      </w:r>
      <w:bookmarkEnd w:id="197"/>
      <w:r w:rsidR="00683F24">
        <w:rPr>
          <w:rFonts w:ascii="Bookman Old Style" w:hAnsi="Bookman Old Style"/>
          <w:b/>
          <w:color w:val="000000" w:themeColor="text1"/>
          <w:sz w:val="24"/>
          <w:szCs w:val="24"/>
          <w:lang w:val="es-CO"/>
        </w:rPr>
        <w:t>5.</w:t>
      </w:r>
      <w:r w:rsidRPr="00483BFD">
        <w:rPr>
          <w:rFonts w:ascii="Bookman Old Style" w:hAnsi="Bookman Old Style"/>
          <w:b/>
          <w:color w:val="000000" w:themeColor="text1"/>
          <w:sz w:val="24"/>
          <w:szCs w:val="24"/>
          <w:lang w:val="es-CO"/>
        </w:rPr>
        <w:t xml:space="preserve"> Regla exceso de oferta del producto </w:t>
      </w:r>
      <m:oMath>
        <m:sSub>
          <m:sSubPr>
            <m:ctrlPr>
              <w:rPr>
                <w:rFonts w:ascii="Cambria Math" w:hAnsi="Cambria Math" w:cs="Arial"/>
                <w:b/>
                <w:i/>
                <w:color w:val="000000" w:themeColor="text1"/>
                <w:sz w:val="24"/>
                <w:szCs w:val="24"/>
              </w:rPr>
            </m:ctrlPr>
          </m:sSubPr>
          <m:e>
            <m:r>
              <m:rPr>
                <m:sty m:val="bi"/>
              </m:rPr>
              <w:rPr>
                <w:rFonts w:ascii="Cambria Math" w:hAnsi="Cambria Math" w:cs="Arial"/>
                <w:color w:val="000000" w:themeColor="text1"/>
                <w:sz w:val="24"/>
                <w:szCs w:val="24"/>
              </w:rPr>
              <m:t>T</m:t>
            </m:r>
          </m:e>
          <m:sub>
            <m:r>
              <m:rPr>
                <m:sty m:val="bi"/>
              </m:rPr>
              <w:rPr>
                <w:rFonts w:ascii="Cambria Math" w:hAnsi="Cambria Math" w:cs="Arial"/>
                <w:color w:val="000000" w:themeColor="text1"/>
                <w:sz w:val="24"/>
                <w:szCs w:val="24"/>
              </w:rPr>
              <m:t>f,d</m:t>
            </m:r>
          </m:sub>
        </m:sSub>
      </m:oMath>
      <w:bookmarkEnd w:id="198"/>
      <w:r w:rsidRPr="00483BFD">
        <w:rPr>
          <w:rFonts w:ascii="Bookman Old Style" w:hAnsi="Bookman Old Style"/>
          <w:b/>
          <w:color w:val="000000" w:themeColor="text1"/>
          <w:sz w:val="24"/>
          <w:szCs w:val="24"/>
          <w:lang w:val="es-CO"/>
        </w:rPr>
        <w:t xml:space="preserve"> </w:t>
      </w:r>
    </w:p>
    <w:p w14:paraId="1A5676A7" w14:textId="77777777" w:rsidR="005C0F94" w:rsidRPr="00483BFD" w:rsidRDefault="005C0F94" w:rsidP="005C0F94">
      <w:pPr>
        <w:pStyle w:val="Textoindependiente"/>
        <w:ind w:left="1701"/>
        <w:jc w:val="both"/>
        <w:rPr>
          <w:rFonts w:ascii="Bookman Old Style" w:hAnsi="Bookman Old Style" w:cs="Arial"/>
          <w:b w:val="0"/>
          <w:color w:val="000000" w:themeColor="text1"/>
          <w:lang w:val="es-CO"/>
        </w:rPr>
      </w:pPr>
    </w:p>
    <w:tbl>
      <w:tblPr>
        <w:tblStyle w:val="Tablaconcuadrcula"/>
        <w:tblW w:w="0" w:type="auto"/>
        <w:tblInd w:w="1809" w:type="dxa"/>
        <w:tblLayout w:type="fixed"/>
        <w:tblLook w:val="04A0" w:firstRow="1" w:lastRow="0" w:firstColumn="1" w:lastColumn="0" w:noHBand="0" w:noVBand="1"/>
      </w:tblPr>
      <w:tblGrid>
        <w:gridCol w:w="567"/>
        <w:gridCol w:w="7088"/>
      </w:tblGrid>
      <w:tr w:rsidR="005C0F94" w:rsidRPr="00483BFD" w14:paraId="0AFBB5DA" w14:textId="77777777">
        <w:tc>
          <w:tcPr>
            <w:tcW w:w="567" w:type="dxa"/>
            <w:vAlign w:val="center"/>
          </w:tcPr>
          <w:p w14:paraId="021294C7" w14:textId="77777777" w:rsidR="005C0F94" w:rsidRPr="00483BFD" w:rsidRDefault="005C0F94">
            <w:pPr>
              <w:pStyle w:val="Textoindependiente"/>
              <w:ind w:left="0"/>
              <w:rPr>
                <w:rFonts w:ascii="Bookman Old Style" w:hAnsi="Bookman Old Style" w:cs="Arial"/>
                <w:color w:val="000000" w:themeColor="text1"/>
                <w:lang w:val="es-CO"/>
              </w:rPr>
            </w:pPr>
            <m:oMathPara>
              <m:oMath>
                <m:r>
                  <m:rPr>
                    <m:sty m:val="bi"/>
                  </m:rPr>
                  <w:rPr>
                    <w:rFonts w:ascii="Cambria Math" w:hAnsi="Cambria Math" w:cs="Arial"/>
                    <w:color w:val="000000" w:themeColor="text1"/>
                    <w:lang w:val="es-CO"/>
                  </w:rPr>
                  <m:t>b'</m:t>
                </m:r>
              </m:oMath>
            </m:oMathPara>
          </w:p>
        </w:tc>
        <w:tc>
          <w:tcPr>
            <w:tcW w:w="7088" w:type="dxa"/>
            <w:vAlign w:val="center"/>
          </w:tcPr>
          <w:p w14:paraId="1DE23AEF" w14:textId="77777777" w:rsidR="005C0F94" w:rsidRPr="00483BFD" w:rsidRDefault="005C0F94">
            <w:pPr>
              <w:pStyle w:val="Textoindependiente"/>
              <w:ind w:left="0"/>
              <w:rPr>
                <w:rFonts w:ascii="Bookman Old Style" w:hAnsi="Bookman Old Style" w:cs="Arial"/>
                <w:color w:val="000000" w:themeColor="text1"/>
                <w:lang w:val="es-CO"/>
              </w:rPr>
            </w:pPr>
            <w:r w:rsidRPr="00483BFD">
              <w:rPr>
                <w:rFonts w:ascii="Bookman Old Style" w:hAnsi="Bookman Old Style" w:cs="Arial"/>
                <w:color w:val="000000" w:themeColor="text1"/>
                <w:lang w:val="es-CO"/>
              </w:rPr>
              <w:t xml:space="preserve">Cantidad de gas, </w:t>
            </w:r>
            <m:oMath>
              <m:sSubSup>
                <m:sSubSupPr>
                  <m:ctrlPr>
                    <w:rPr>
                      <w:rFonts w:ascii="Cambria Math" w:hAnsi="Cambria Math" w:cs="Arial"/>
                      <w:bCs w:val="0"/>
                      <w:i/>
                      <w:color w:val="000000" w:themeColor="text1"/>
                    </w:rPr>
                  </m:ctrlPr>
                </m:sSubSupPr>
                <m:e>
                  <m:acc>
                    <m:accPr>
                      <m:ctrlPr>
                        <w:rPr>
                          <w:rFonts w:ascii="Cambria Math" w:hAnsi="Cambria Math" w:cs="Arial"/>
                          <w:i/>
                          <w:color w:val="000000" w:themeColor="text1"/>
                        </w:rPr>
                      </m:ctrlPr>
                    </m:accPr>
                    <m:e>
                      <m:r>
                        <m:rPr>
                          <m:sty m:val="bi"/>
                        </m:rPr>
                        <w:rPr>
                          <w:rFonts w:ascii="Cambria Math" w:hAnsi="Cambria Math" w:cs="Arial"/>
                          <w:color w:val="000000" w:themeColor="text1"/>
                        </w:rPr>
                        <m:t>D</m:t>
                      </m:r>
                    </m:e>
                  </m:acc>
                </m:e>
                <m:sub>
                  <m:sSub>
                    <m:sSubPr>
                      <m:ctrlPr>
                        <w:rPr>
                          <w:rFonts w:ascii="Cambria Math" w:hAnsi="Cambria Math" w:cs="Arial"/>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oMath>
          </w:p>
        </w:tc>
      </w:tr>
      <w:tr w:rsidR="005C0F94" w:rsidRPr="00483BFD" w14:paraId="70BFEC49" w14:textId="77777777">
        <w:tc>
          <w:tcPr>
            <w:tcW w:w="567" w:type="dxa"/>
            <w:vAlign w:val="center"/>
          </w:tcPr>
          <w:p w14:paraId="757C1A33" w14:textId="77777777" w:rsidR="005C0F94" w:rsidRPr="00851155" w:rsidRDefault="00FB7B28">
            <w:pPr>
              <w:pStyle w:val="Textoindependiente"/>
              <w:ind w:left="0"/>
              <w:rPr>
                <w:rFonts w:ascii="Bookman Old Style" w:hAnsi="Bookman Old Style" w:cs="Arial"/>
                <w:b w:val="0"/>
                <w:i/>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1</m:t>
                    </m:r>
                  </m:sub>
                </m:sSub>
                <m:r>
                  <m:rPr>
                    <m:sty m:val="bi"/>
                  </m:rPr>
                  <w:rPr>
                    <w:rFonts w:ascii="Cambria Math" w:hAnsi="Cambria Math"/>
                    <w:color w:val="000000" w:themeColor="text1"/>
                  </w:rPr>
                  <m:t>'</m:t>
                </m:r>
              </m:oMath>
            </m:oMathPara>
          </w:p>
        </w:tc>
        <w:tc>
          <w:tcPr>
            <w:tcW w:w="7088" w:type="dxa"/>
            <w:vAlign w:val="center"/>
          </w:tcPr>
          <w:p w14:paraId="35060499" w14:textId="77777777" w:rsidR="005C0F94" w:rsidRPr="00851155" w:rsidRDefault="005C0F94">
            <w:pPr>
              <w:pStyle w:val="Textoindependiente"/>
              <w:autoSpaceDE w:val="0"/>
              <w:autoSpaceDN w:val="0"/>
              <w:adjustRightInd w:val="0"/>
              <w:ind w:left="0"/>
              <w:rPr>
                <w:rFonts w:ascii="Bookman Old Style" w:hAnsi="Bookman Old Style" w:cs="Arial"/>
                <w:b w:val="0"/>
                <w:color w:val="000000" w:themeColor="text1"/>
                <w:lang w:val="es-CO"/>
              </w:rPr>
            </w:pPr>
            <w:r w:rsidRPr="00851155">
              <w:rPr>
                <w:rFonts w:ascii="Bookman Old Style" w:hAnsi="Bookman Old Style" w:cs="Arial"/>
                <w:b w:val="0"/>
                <w:color w:val="000000" w:themeColor="text1"/>
                <w:lang w:val="es-CO"/>
              </w:rPr>
              <w:t>Si</w:t>
            </w:r>
            <w:r w:rsidRPr="00851155">
              <w:rPr>
                <w:rFonts w:ascii="Bookman Old Style" w:hAnsi="Bookman Old Style" w:cs="Arial"/>
                <w:b w:val="0"/>
                <w:i/>
                <w:color w:val="000000" w:themeColor="text1"/>
                <w:lang w:val="es-CO"/>
              </w:rPr>
              <w:t xml:space="preserve"> </w:t>
            </w:r>
            <m:oMath>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d>
              <m:r>
                <m:rPr>
                  <m:sty m:val="bi"/>
                </m:rPr>
                <w:rPr>
                  <w:rFonts w:ascii="Cambria Math" w:hAnsi="Cambria Math"/>
                  <w:color w:val="000000" w:themeColor="text1"/>
                </w:rPr>
                <m:t>&gt;0</m:t>
              </m:r>
            </m:oMath>
            <w:r w:rsidRPr="00851155">
              <w:rPr>
                <w:rFonts w:ascii="Bookman Old Style" w:hAnsi="Bookman Old Style" w:cs="Arial"/>
                <w:b w:val="0"/>
                <w:color w:val="000000" w:themeColor="text1"/>
                <w:lang w:val="es-CO"/>
              </w:rPr>
              <w:t>,</w:t>
            </w:r>
          </w:p>
          <w:p w14:paraId="42EB34FA" w14:textId="77777777" w:rsidR="005C0F94" w:rsidRPr="00851155" w:rsidRDefault="005C0F94">
            <w:pPr>
              <w:pStyle w:val="Textoindependiente"/>
              <w:ind w:left="0"/>
              <w:rPr>
                <w:rFonts w:ascii="Bookman Old Style" w:hAnsi="Bookman Old Style" w:cs="Arial"/>
                <w:b w:val="0"/>
                <w:color w:val="000000" w:themeColor="text1"/>
                <w:lang w:val="es-CO"/>
              </w:rPr>
            </w:pPr>
            <w:r w:rsidRPr="00851155">
              <w:rPr>
                <w:rFonts w:ascii="Bookman Old Style" w:hAnsi="Bookman Old Style" w:cs="Arial"/>
                <w:b w:val="0"/>
                <w:color w:val="000000" w:themeColor="text1"/>
                <w:lang w:val="es-CO"/>
              </w:rPr>
              <w:t xml:space="preserve"> </w:t>
            </w:r>
          </w:p>
          <w:p w14:paraId="545C3B07" w14:textId="77777777" w:rsidR="005C0F94" w:rsidRPr="00851155" w:rsidRDefault="005C0F94">
            <w:pPr>
              <w:pStyle w:val="Textoindependiente"/>
              <w:ind w:left="0"/>
              <w:rPr>
                <w:rFonts w:ascii="Bookman Old Style" w:hAnsi="Bookman Old Style" w:cs="Arial"/>
                <w:b w:val="0"/>
                <w:color w:val="000000" w:themeColor="text1"/>
                <w:lang w:val="es-CO"/>
              </w:rPr>
            </w:pPr>
            <w:r w:rsidRPr="00851155">
              <w:rPr>
                <w:rFonts w:ascii="Bookman Old Style" w:hAnsi="Bookman Old Style" w:cs="Arial"/>
                <w:b w:val="0"/>
                <w:color w:val="000000" w:themeColor="text1"/>
                <w:lang w:val="es-CO"/>
              </w:rPr>
              <w:t xml:space="preserve">a </w:t>
            </w:r>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1</m:t>
                  </m:r>
                </m:sub>
              </m:sSub>
              <m:r>
                <m:rPr>
                  <m:sty m:val="bi"/>
                </m:rPr>
                <w:rPr>
                  <w:rFonts w:ascii="Cambria Math" w:hAnsi="Cambria Math"/>
                  <w:color w:val="000000" w:themeColor="text1"/>
                </w:rPr>
                <m:t>'</m:t>
              </m:r>
            </m:oMath>
            <w:r w:rsidRPr="00851155">
              <w:rPr>
                <w:rFonts w:ascii="Bookman Old Style" w:hAnsi="Bookman Old Style" w:cs="Arial"/>
                <w:b w:val="0"/>
                <w:color w:val="000000" w:themeColor="text1"/>
                <w:lang w:val="es-CO"/>
              </w:rPr>
              <w:t xml:space="preserve"> se le asigna </w:t>
            </w:r>
            <m:oMath>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oMath>
          </w:p>
          <w:p w14:paraId="71515E12" w14:textId="77777777" w:rsidR="005C0F94" w:rsidRPr="00851155" w:rsidRDefault="005C0F94">
            <w:pPr>
              <w:pStyle w:val="Textoindependiente"/>
              <w:ind w:left="0"/>
              <w:rPr>
                <w:rFonts w:ascii="Bookman Old Style" w:hAnsi="Bookman Old Style" w:cs="Arial"/>
                <w:b w:val="0"/>
                <w:i/>
                <w:color w:val="000000" w:themeColor="text1"/>
                <w:lang w:val="es-CO"/>
              </w:rPr>
            </w:pPr>
          </w:p>
          <w:p w14:paraId="5992D345" w14:textId="77777777" w:rsidR="005C0F94" w:rsidRPr="00851155" w:rsidRDefault="005C0F94">
            <w:pPr>
              <w:pStyle w:val="Textoindependiente"/>
              <w:ind w:left="0"/>
              <w:rPr>
                <w:rFonts w:ascii="Bookman Old Style" w:hAnsi="Bookman Old Style" w:cs="Arial"/>
                <w:b w:val="0"/>
                <w:i/>
                <w:color w:val="000000" w:themeColor="text1"/>
                <w:lang w:val="es-CO"/>
              </w:rPr>
            </w:pPr>
            <w:r w:rsidRPr="00851155">
              <w:rPr>
                <w:rFonts w:ascii="Bookman Old Style" w:hAnsi="Bookman Old Style" w:cs="Arial"/>
                <w:b w:val="0"/>
                <w:color w:val="000000" w:themeColor="text1"/>
                <w:lang w:val="es-CO"/>
              </w:rPr>
              <w:t>Si no, se le asigna</w:t>
            </w:r>
            <w:r w:rsidRPr="00851155">
              <w:rPr>
                <w:rFonts w:ascii="Bookman Old Style" w:hAnsi="Bookman Old Style" w:cs="Arial"/>
                <w:b w:val="0"/>
                <w:i/>
                <w:color w:val="000000" w:themeColor="text1"/>
                <w:lang w:val="es-CO"/>
              </w:rPr>
              <w:t xml:space="preserve"> </w:t>
            </w:r>
            <m:oMath>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lang w:val="es-CO"/>
                </w:rPr>
                <m:t xml:space="preserve"> </m:t>
              </m:r>
            </m:oMath>
          </w:p>
        </w:tc>
      </w:tr>
      <w:tr w:rsidR="005C0F94" w:rsidRPr="00483BFD" w14:paraId="3AC1BC56" w14:textId="77777777">
        <w:tc>
          <w:tcPr>
            <w:tcW w:w="567" w:type="dxa"/>
            <w:vAlign w:val="center"/>
          </w:tcPr>
          <w:p w14:paraId="0DD88DC8" w14:textId="77777777" w:rsidR="005C0F94" w:rsidRPr="00851155" w:rsidRDefault="00FB7B28">
            <w:pPr>
              <w:pStyle w:val="Textoindependiente"/>
              <w:ind w:left="0"/>
              <w:rPr>
                <w:rFonts w:ascii="Bookman Old Style" w:hAnsi="Bookman Old Style"/>
                <w:b w:val="0"/>
                <w:color w:val="000000" w:themeColor="text1"/>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2</m:t>
                    </m:r>
                  </m:sub>
                </m:sSub>
                <m:r>
                  <m:rPr>
                    <m:sty m:val="bi"/>
                  </m:rPr>
                  <w:rPr>
                    <w:rFonts w:ascii="Cambria Math" w:hAnsi="Cambria Math"/>
                    <w:color w:val="000000" w:themeColor="text1"/>
                  </w:rPr>
                  <m:t>'</m:t>
                </m:r>
              </m:oMath>
            </m:oMathPara>
          </w:p>
        </w:tc>
        <w:tc>
          <w:tcPr>
            <w:tcW w:w="7088" w:type="dxa"/>
            <w:vAlign w:val="center"/>
          </w:tcPr>
          <w:p w14:paraId="47C3DC71" w14:textId="77777777" w:rsidR="005C0F94" w:rsidRPr="00851155" w:rsidRDefault="005C0F94">
            <w:pPr>
              <w:pStyle w:val="Textoindependiente"/>
              <w:autoSpaceDE w:val="0"/>
              <w:autoSpaceDN w:val="0"/>
              <w:adjustRightInd w:val="0"/>
              <w:ind w:left="0"/>
              <w:rPr>
                <w:rFonts w:ascii="Bookman Old Style" w:hAnsi="Bookman Old Style"/>
                <w:b w:val="0"/>
                <w:color w:val="000000" w:themeColor="text1"/>
                <w:lang w:val="es-CO"/>
              </w:rPr>
            </w:pPr>
            <w:r w:rsidRPr="00851155">
              <w:rPr>
                <w:rFonts w:ascii="Bookman Old Style" w:hAnsi="Bookman Old Style"/>
                <w:b w:val="0"/>
                <w:color w:val="000000" w:themeColor="text1"/>
                <w:lang w:val="es-CO"/>
              </w:rPr>
              <w:t xml:space="preserve">Si </w:t>
            </w:r>
            <m:oMath>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nary>
                    <m:naryPr>
                      <m:chr m:val="∑"/>
                      <m:limLoc m:val="undOvr"/>
                      <m:ctrlPr>
                        <w:rPr>
                          <w:rFonts w:ascii="Cambria Math" w:hAnsi="Cambria Math" w:cs="Arial"/>
                          <w:b w:val="0"/>
                          <w:bCs w:val="0"/>
                          <w:i/>
                          <w:color w:val="000000" w:themeColor="text1"/>
                        </w:rPr>
                      </m:ctrlPr>
                    </m:naryPr>
                    <m:sub>
                      <m:r>
                        <m:rPr>
                          <m:sty m:val="bi"/>
                        </m:rPr>
                        <w:rPr>
                          <w:rFonts w:ascii="Cambria Math" w:hAnsi="Cambria Math" w:cs="Arial"/>
                          <w:color w:val="000000" w:themeColor="text1"/>
                        </w:rPr>
                        <m:t>i=1</m:t>
                      </m:r>
                    </m:sub>
                    <m:sup>
                      <m:r>
                        <m:rPr>
                          <m:sty m:val="bi"/>
                        </m:rPr>
                        <w:rPr>
                          <w:rFonts w:ascii="Cambria Math" w:hAnsi="Cambria Math" w:cs="Arial"/>
                          <w:color w:val="000000" w:themeColor="text1"/>
                        </w:rPr>
                        <m:t>2</m:t>
                      </m:r>
                    </m:sup>
                    <m:e>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nary>
                </m:e>
              </m:d>
              <m:r>
                <m:rPr>
                  <m:sty m:val="bi"/>
                </m:rPr>
                <w:rPr>
                  <w:rFonts w:ascii="Cambria Math" w:hAnsi="Cambria Math"/>
                  <w:color w:val="000000" w:themeColor="text1"/>
                </w:rPr>
                <m:t>&gt;0</m:t>
              </m:r>
            </m:oMath>
            <w:r w:rsidRPr="00851155">
              <w:rPr>
                <w:rFonts w:ascii="Bookman Old Style" w:hAnsi="Bookman Old Style"/>
                <w:b w:val="0"/>
                <w:color w:val="000000" w:themeColor="text1"/>
                <w:lang w:val="es-CO"/>
              </w:rPr>
              <w:t xml:space="preserve">, </w:t>
            </w:r>
          </w:p>
          <w:p w14:paraId="3FECAA07" w14:textId="77777777" w:rsidR="005C0F94" w:rsidRPr="00851155" w:rsidRDefault="005C0F94">
            <w:pPr>
              <w:pStyle w:val="Textoindependiente"/>
              <w:ind w:left="0"/>
              <w:rPr>
                <w:rFonts w:ascii="Bookman Old Style" w:hAnsi="Bookman Old Style"/>
                <w:b w:val="0"/>
                <w:color w:val="000000" w:themeColor="text1"/>
                <w:lang w:val="es-CO"/>
              </w:rPr>
            </w:pPr>
          </w:p>
          <w:p w14:paraId="75439340" w14:textId="77777777" w:rsidR="005C0F94" w:rsidRPr="00851155" w:rsidRDefault="005C0F94">
            <w:pPr>
              <w:pStyle w:val="Textoindependiente"/>
              <w:ind w:left="0"/>
              <w:rPr>
                <w:rFonts w:ascii="Bookman Old Style" w:hAnsi="Bookman Old Style" w:cs="Arial"/>
                <w:b w:val="0"/>
                <w:i/>
                <w:color w:val="000000" w:themeColor="text1"/>
                <w:lang w:val="es-CO"/>
              </w:rPr>
            </w:pPr>
            <w:r w:rsidRPr="00851155">
              <w:rPr>
                <w:rFonts w:ascii="Bookman Old Style" w:hAnsi="Bookman Old Style" w:cs="Arial"/>
                <w:b w:val="0"/>
                <w:color w:val="000000" w:themeColor="text1"/>
                <w:lang w:val="es-CO"/>
              </w:rPr>
              <w:t xml:space="preserve">a </w:t>
            </w:r>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2</m:t>
                  </m:r>
                </m:sub>
              </m:sSub>
              <m:r>
                <m:rPr>
                  <m:sty m:val="bi"/>
                </m:rPr>
                <w:rPr>
                  <w:rFonts w:ascii="Cambria Math" w:hAnsi="Cambria Math"/>
                  <w:color w:val="000000" w:themeColor="text1"/>
                </w:rPr>
                <m:t>'</m:t>
              </m:r>
            </m:oMath>
            <w:r w:rsidRPr="00851155">
              <w:rPr>
                <w:rFonts w:ascii="Bookman Old Style" w:hAnsi="Bookman Old Style" w:cs="Arial"/>
                <w:b w:val="0"/>
                <w:color w:val="000000" w:themeColor="text1"/>
                <w:lang w:val="es-CO"/>
              </w:rPr>
              <w:t xml:space="preserve"> se le asigna </w:t>
            </w:r>
            <m:oMath>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2</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2</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oMath>
          </w:p>
          <w:p w14:paraId="3C74EDBE" w14:textId="77777777" w:rsidR="005C0F94" w:rsidRPr="00851155" w:rsidRDefault="005C0F94">
            <w:pPr>
              <w:pStyle w:val="Textoindependiente"/>
              <w:ind w:left="0"/>
              <w:rPr>
                <w:rFonts w:ascii="Bookman Old Style" w:hAnsi="Bookman Old Style" w:cs="Arial"/>
                <w:b w:val="0"/>
                <w:i/>
                <w:color w:val="000000" w:themeColor="text1"/>
                <w:lang w:val="es-CO"/>
              </w:rPr>
            </w:pPr>
          </w:p>
          <w:p w14:paraId="6CD176A6" w14:textId="77777777" w:rsidR="005C0F94" w:rsidRPr="00851155" w:rsidRDefault="005C0F94">
            <w:pPr>
              <w:pStyle w:val="Textoindependiente"/>
              <w:ind w:left="0"/>
              <w:rPr>
                <w:rFonts w:ascii="Bookman Old Style" w:hAnsi="Bookman Old Style" w:cs="Arial"/>
                <w:b w:val="0"/>
                <w:color w:val="000000" w:themeColor="text1"/>
              </w:rPr>
            </w:pPr>
            <w:r w:rsidRPr="00851155">
              <w:rPr>
                <w:rFonts w:ascii="Bookman Old Style" w:hAnsi="Bookman Old Style" w:cs="Arial"/>
                <w:b w:val="0"/>
                <w:color w:val="000000" w:themeColor="text1"/>
                <w:lang w:val="es-CO"/>
              </w:rPr>
              <w:t>Si no, se le asigna</w:t>
            </w:r>
            <w:r w:rsidRPr="00851155">
              <w:rPr>
                <w:rFonts w:ascii="Bookman Old Style" w:hAnsi="Bookman Old Style" w:cs="Arial"/>
                <w:b w:val="0"/>
                <w:i/>
                <w:color w:val="000000" w:themeColor="text1"/>
                <w:lang w:val="es-CO"/>
              </w:rPr>
              <w:t xml:space="preserve"> </w:t>
            </w:r>
            <m:oMath>
              <m:r>
                <m:rPr>
                  <m:sty m:val="bi"/>
                </m:rPr>
                <w:rPr>
                  <w:rFonts w:ascii="Cambria Math" w:hAnsi="Cambria Math" w:cs="Arial"/>
                  <w:color w:val="000000" w:themeColor="text1"/>
                </w:rPr>
                <m:t>Máx</m:t>
              </m:r>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1</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r>
                    <m:rPr>
                      <m:sty m:val="bi"/>
                    </m:rPr>
                    <w:rPr>
                      <w:rFonts w:ascii="Cambria Math" w:hAnsi="Cambria Math" w:cs="Arial"/>
                      <w:color w:val="000000" w:themeColor="text1"/>
                    </w:rPr>
                    <m:t>,0</m:t>
                  </m:r>
                </m:e>
              </m:d>
              <m:r>
                <m:rPr>
                  <m:sty m:val="bi"/>
                </m:rPr>
                <w:rPr>
                  <w:rFonts w:ascii="Cambria Math" w:hAnsi="Cambria Math" w:cs="Arial"/>
                  <w:color w:val="000000" w:themeColor="text1"/>
                </w:rPr>
                <m:t xml:space="preserve"> </m:t>
              </m:r>
            </m:oMath>
          </w:p>
        </w:tc>
      </w:tr>
      <w:tr w:rsidR="005C0F94" w:rsidRPr="00483BFD" w14:paraId="7E01D59B" w14:textId="77777777">
        <w:tc>
          <w:tcPr>
            <w:tcW w:w="567" w:type="dxa"/>
            <w:vAlign w:val="center"/>
          </w:tcPr>
          <w:p w14:paraId="3562F6CD" w14:textId="77777777" w:rsidR="005C0F94" w:rsidRPr="00851155" w:rsidDel="0009338B" w:rsidRDefault="00FB7B28">
            <w:pPr>
              <w:pStyle w:val="Textoindependiente"/>
              <w:ind w:left="0"/>
              <w:rPr>
                <w:rFonts w:ascii="Bookman Old Style" w:hAnsi="Bookman Old Style"/>
                <w:b w:val="0"/>
                <w:i/>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3</m:t>
                    </m:r>
                  </m:sub>
                </m:sSub>
                <m:r>
                  <m:rPr>
                    <m:sty m:val="bi"/>
                  </m:rPr>
                  <w:rPr>
                    <w:rFonts w:ascii="Cambria Math" w:hAnsi="Cambria Math"/>
                    <w:color w:val="000000" w:themeColor="text1"/>
                  </w:rPr>
                  <m:t>'</m:t>
                </m:r>
              </m:oMath>
            </m:oMathPara>
          </w:p>
        </w:tc>
        <w:tc>
          <w:tcPr>
            <w:tcW w:w="7088" w:type="dxa"/>
            <w:vAlign w:val="center"/>
          </w:tcPr>
          <w:p w14:paraId="30A2DBDC" w14:textId="77777777" w:rsidR="005C0F94" w:rsidRPr="00851155" w:rsidRDefault="005C0F94">
            <w:pPr>
              <w:pStyle w:val="Textoindependiente"/>
              <w:autoSpaceDE w:val="0"/>
              <w:autoSpaceDN w:val="0"/>
              <w:adjustRightInd w:val="0"/>
              <w:ind w:left="0"/>
              <w:rPr>
                <w:rFonts w:ascii="Bookman Old Style" w:hAnsi="Bookman Old Style" w:cs="Arial"/>
                <w:b w:val="0"/>
                <w:color w:val="000000" w:themeColor="text1"/>
                <w:lang w:val="es-CO"/>
              </w:rPr>
            </w:pPr>
            <w:r w:rsidRPr="00851155">
              <w:rPr>
                <w:rFonts w:ascii="Bookman Old Style" w:hAnsi="Bookman Old Style"/>
                <w:b w:val="0"/>
                <w:color w:val="000000" w:themeColor="text1"/>
                <w:lang w:val="es-CO"/>
              </w:rPr>
              <w:t>Si</w:t>
            </w:r>
            <w:r w:rsidRPr="00851155">
              <w:rPr>
                <w:rFonts w:ascii="Bookman Old Style" w:hAnsi="Bookman Old Style"/>
                <w:b w:val="0"/>
                <w:i/>
                <w:color w:val="000000" w:themeColor="text1"/>
                <w:lang w:val="es-CO"/>
              </w:rPr>
              <w:t xml:space="preserve"> </w:t>
            </w:r>
            <m:oMath>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nary>
                    <m:naryPr>
                      <m:chr m:val="∑"/>
                      <m:limLoc m:val="undOvr"/>
                      <m:ctrlPr>
                        <w:rPr>
                          <w:rFonts w:ascii="Cambria Math" w:hAnsi="Cambria Math" w:cs="Arial"/>
                          <w:b w:val="0"/>
                          <w:bCs w:val="0"/>
                          <w:i/>
                          <w:color w:val="000000" w:themeColor="text1"/>
                        </w:rPr>
                      </m:ctrlPr>
                    </m:naryPr>
                    <m:sub>
                      <m:r>
                        <m:rPr>
                          <m:sty m:val="bi"/>
                        </m:rPr>
                        <w:rPr>
                          <w:rFonts w:ascii="Cambria Math" w:hAnsi="Cambria Math" w:cs="Arial"/>
                          <w:color w:val="000000" w:themeColor="text1"/>
                        </w:rPr>
                        <m:t>i=1</m:t>
                      </m:r>
                    </m:sub>
                    <m:sup>
                      <m:r>
                        <m:rPr>
                          <m:sty m:val="bi"/>
                        </m:rPr>
                        <w:rPr>
                          <w:rFonts w:ascii="Cambria Math" w:hAnsi="Cambria Math" w:cs="Arial"/>
                          <w:color w:val="000000" w:themeColor="text1"/>
                        </w:rPr>
                        <m:t>3</m:t>
                      </m:r>
                    </m:sup>
                    <m:e>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nary>
                </m:e>
              </m:d>
              <m:r>
                <m:rPr>
                  <m:sty m:val="bi"/>
                </m:rPr>
                <w:rPr>
                  <w:rFonts w:ascii="Cambria Math" w:hAnsi="Cambria Math"/>
                  <w:color w:val="000000" w:themeColor="text1"/>
                </w:rPr>
                <m:t>&gt;0</m:t>
              </m:r>
            </m:oMath>
            <w:r w:rsidRPr="00851155">
              <w:rPr>
                <w:rFonts w:ascii="Bookman Old Style" w:hAnsi="Bookman Old Style"/>
                <w:b w:val="0"/>
                <w:i/>
                <w:color w:val="000000" w:themeColor="text1"/>
                <w:lang w:val="es-CO"/>
              </w:rPr>
              <w:t>,</w:t>
            </w:r>
            <w:r w:rsidRPr="00851155">
              <w:rPr>
                <w:rFonts w:ascii="Bookman Old Style" w:hAnsi="Bookman Old Style" w:cs="Arial"/>
                <w:b w:val="0"/>
                <w:color w:val="000000" w:themeColor="text1"/>
                <w:lang w:val="es-CO"/>
              </w:rPr>
              <w:t xml:space="preserve"> </w:t>
            </w:r>
          </w:p>
          <w:p w14:paraId="72D9420A" w14:textId="77777777" w:rsidR="005C0F94" w:rsidRPr="00851155" w:rsidRDefault="005C0F94">
            <w:pPr>
              <w:pStyle w:val="Textoindependiente"/>
              <w:ind w:left="0"/>
              <w:rPr>
                <w:rFonts w:ascii="Bookman Old Style" w:hAnsi="Bookman Old Style" w:cs="Arial"/>
                <w:b w:val="0"/>
                <w:color w:val="000000" w:themeColor="text1"/>
                <w:lang w:val="es-CO"/>
              </w:rPr>
            </w:pPr>
          </w:p>
          <w:p w14:paraId="13C75F8A" w14:textId="77777777" w:rsidR="005C0F94" w:rsidRPr="00851155" w:rsidRDefault="005C0F94">
            <w:pPr>
              <w:pStyle w:val="Textoindependiente"/>
              <w:ind w:left="0"/>
              <w:rPr>
                <w:rFonts w:ascii="Bookman Old Style" w:hAnsi="Bookman Old Style" w:cs="Arial"/>
                <w:b w:val="0"/>
                <w:i/>
                <w:color w:val="000000" w:themeColor="text1"/>
                <w:lang w:val="es-CO"/>
              </w:rPr>
            </w:pPr>
            <w:r w:rsidRPr="00851155">
              <w:rPr>
                <w:rFonts w:ascii="Bookman Old Style" w:hAnsi="Bookman Old Style" w:cs="Arial"/>
                <w:b w:val="0"/>
                <w:color w:val="000000" w:themeColor="text1"/>
                <w:lang w:val="es-CO"/>
              </w:rPr>
              <w:t xml:space="preserve">a </w:t>
            </w:r>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3</m:t>
                  </m:r>
                </m:sub>
              </m:sSub>
              <m:r>
                <m:rPr>
                  <m:sty m:val="bi"/>
                </m:rPr>
                <w:rPr>
                  <w:rFonts w:ascii="Cambria Math" w:hAnsi="Cambria Math"/>
                  <w:color w:val="000000" w:themeColor="text1"/>
                </w:rPr>
                <m:t>'</m:t>
              </m:r>
            </m:oMath>
            <w:r w:rsidRPr="00851155">
              <w:rPr>
                <w:rFonts w:ascii="Bookman Old Style" w:hAnsi="Bookman Old Style" w:cs="Arial"/>
                <w:b w:val="0"/>
                <w:color w:val="000000" w:themeColor="text1"/>
                <w:lang w:val="es-CO"/>
              </w:rPr>
              <w:t xml:space="preserve"> se le asigna</w:t>
            </w:r>
            <w:r w:rsidRPr="00851155">
              <w:rPr>
                <w:rFonts w:ascii="Bookman Old Style" w:hAnsi="Bookman Old Style"/>
                <w:b w:val="0"/>
                <w:i/>
                <w:color w:val="000000" w:themeColor="text1"/>
                <w:lang w:val="es-CO"/>
              </w:rPr>
              <w:t xml:space="preserve"> </w:t>
            </w:r>
            <m:oMath>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3</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t>
                          </m:r>
                          <m:r>
                            <m:rPr>
                              <m:sty m:val="bi"/>
                            </m:rPr>
                            <w:rPr>
                              <w:rFonts w:ascii="Cambria Math" w:hAnsi="Cambria Math" w:cs="Arial"/>
                              <w:color w:val="000000" w:themeColor="text1"/>
                            </w:rPr>
                            <m:t>3</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oMath>
          </w:p>
          <w:p w14:paraId="62A8E5CE" w14:textId="77777777" w:rsidR="005C0F94" w:rsidRPr="00851155" w:rsidRDefault="005C0F94">
            <w:pPr>
              <w:pStyle w:val="Textoindependiente"/>
              <w:ind w:left="0"/>
              <w:rPr>
                <w:rFonts w:ascii="Bookman Old Style" w:hAnsi="Bookman Old Style" w:cs="Arial"/>
                <w:b w:val="0"/>
                <w:i/>
                <w:color w:val="000000" w:themeColor="text1"/>
                <w:lang w:val="es-CO"/>
              </w:rPr>
            </w:pPr>
          </w:p>
          <w:p w14:paraId="04850447" w14:textId="77777777" w:rsidR="005C0F94" w:rsidRPr="00851155" w:rsidRDefault="005C0F94">
            <w:pPr>
              <w:pStyle w:val="Textoindependiente"/>
              <w:ind w:left="0"/>
              <w:rPr>
                <w:rFonts w:ascii="Bookman Old Style" w:hAnsi="Bookman Old Style"/>
                <w:b w:val="0"/>
                <w:bCs w:val="0"/>
                <w:i/>
                <w:color w:val="000000" w:themeColor="text1"/>
                <w:lang w:val="es-CO"/>
              </w:rPr>
            </w:pPr>
            <w:r w:rsidRPr="00851155">
              <w:rPr>
                <w:rFonts w:ascii="Bookman Old Style" w:hAnsi="Bookman Old Style" w:cs="Arial"/>
                <w:b w:val="0"/>
                <w:color w:val="000000" w:themeColor="text1"/>
                <w:lang w:val="es-CO"/>
              </w:rPr>
              <w:t>Si no, se le asigna</w:t>
            </w:r>
            <w:r w:rsidRPr="00851155">
              <w:rPr>
                <w:rFonts w:ascii="Bookman Old Style" w:hAnsi="Bookman Old Style" w:cs="Arial"/>
                <w:b w:val="0"/>
                <w:i/>
                <w:color w:val="000000" w:themeColor="text1"/>
                <w:lang w:val="es-CO"/>
              </w:rPr>
              <w:t xml:space="preserve"> </w:t>
            </w:r>
            <m:oMath>
              <m:r>
                <m:rPr>
                  <m:sty m:val="bi"/>
                </m:rPr>
                <w:rPr>
                  <w:rFonts w:ascii="Cambria Math" w:hAnsi="Cambria Math" w:cs="Arial"/>
                  <w:color w:val="000000" w:themeColor="text1"/>
                </w:rPr>
                <m:t>Máx</m:t>
              </m:r>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nary>
                    <m:naryPr>
                      <m:chr m:val="∑"/>
                      <m:limLoc m:val="undOvr"/>
                      <m:ctrlPr>
                        <w:rPr>
                          <w:rFonts w:ascii="Cambria Math" w:hAnsi="Cambria Math" w:cs="Arial"/>
                          <w:b w:val="0"/>
                          <w:bCs w:val="0"/>
                          <w:i/>
                          <w:color w:val="000000" w:themeColor="text1"/>
                        </w:rPr>
                      </m:ctrlPr>
                    </m:naryPr>
                    <m:sub>
                      <m:r>
                        <m:rPr>
                          <m:sty m:val="bi"/>
                        </m:rPr>
                        <w:rPr>
                          <w:rFonts w:ascii="Cambria Math" w:hAnsi="Cambria Math" w:cs="Arial"/>
                          <w:color w:val="000000" w:themeColor="text1"/>
                        </w:rPr>
                        <m:t>i=1</m:t>
                      </m:r>
                    </m:sub>
                    <m:sup>
                      <m:r>
                        <m:rPr>
                          <m:sty m:val="bi"/>
                        </m:rPr>
                        <w:rPr>
                          <w:rFonts w:ascii="Cambria Math" w:hAnsi="Cambria Math" w:cs="Arial"/>
                          <w:color w:val="000000" w:themeColor="text1"/>
                        </w:rPr>
                        <m:t>2</m:t>
                      </m:r>
                    </m:sup>
                    <m:e>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nary>
                  <m:r>
                    <m:rPr>
                      <m:sty m:val="bi"/>
                    </m:rPr>
                    <w:rPr>
                      <w:rFonts w:ascii="Cambria Math" w:hAnsi="Cambria Math" w:cs="Arial"/>
                      <w:color w:val="000000" w:themeColor="text1"/>
                    </w:rPr>
                    <m:t>,0</m:t>
                  </m:r>
                </m:e>
              </m:d>
              <m:r>
                <m:rPr>
                  <m:sty m:val="bi"/>
                </m:rPr>
                <w:rPr>
                  <w:rFonts w:ascii="Cambria Math" w:hAnsi="Cambria Math" w:cs="Arial"/>
                  <w:color w:val="000000" w:themeColor="text1"/>
                </w:rPr>
                <m:t xml:space="preserve"> </m:t>
              </m:r>
            </m:oMath>
          </w:p>
        </w:tc>
      </w:tr>
      <w:tr w:rsidR="005C0F94" w:rsidRPr="00483BFD" w14:paraId="400657EE" w14:textId="77777777">
        <w:tc>
          <w:tcPr>
            <w:tcW w:w="567" w:type="dxa"/>
            <w:vAlign w:val="center"/>
          </w:tcPr>
          <w:p w14:paraId="276C95E5" w14:textId="77777777" w:rsidR="005C0F94" w:rsidRPr="00851155" w:rsidRDefault="005C0F94">
            <w:pPr>
              <w:pStyle w:val="Textoindependiente"/>
              <w:ind w:left="0"/>
              <w:rPr>
                <w:rFonts w:ascii="Bookman Old Style" w:hAnsi="Bookman Old Style"/>
                <w:b w:val="0"/>
                <w:color w:val="000000" w:themeColor="text1"/>
                <w:lang w:val="es-CO"/>
              </w:rPr>
            </w:pPr>
            <w:r w:rsidRPr="00851155">
              <w:rPr>
                <w:rFonts w:ascii="Bookman Old Style" w:hAnsi="Bookman Old Style"/>
                <w:b w:val="0"/>
                <w:color w:val="000000" w:themeColor="text1"/>
                <w:lang w:val="es-CO"/>
              </w:rPr>
              <w:t>…</w:t>
            </w:r>
          </w:p>
        </w:tc>
        <w:tc>
          <w:tcPr>
            <w:tcW w:w="7088" w:type="dxa"/>
            <w:vAlign w:val="center"/>
          </w:tcPr>
          <w:p w14:paraId="0BBF2BF7" w14:textId="77777777" w:rsidR="005C0F94" w:rsidRPr="00851155" w:rsidRDefault="005C0F94">
            <w:pPr>
              <w:pStyle w:val="Textoindependiente"/>
              <w:autoSpaceDE w:val="0"/>
              <w:autoSpaceDN w:val="0"/>
              <w:adjustRightInd w:val="0"/>
              <w:ind w:left="0"/>
              <w:rPr>
                <w:rFonts w:ascii="Bookman Old Style" w:hAnsi="Bookman Old Style"/>
                <w:b w:val="0"/>
                <w:bCs w:val="0"/>
                <w:i/>
                <w:color w:val="000000" w:themeColor="text1"/>
                <w:lang w:val="es-CO"/>
              </w:rPr>
            </w:pPr>
            <w:r w:rsidRPr="00851155">
              <w:rPr>
                <w:rFonts w:ascii="Bookman Old Style" w:hAnsi="Bookman Old Style"/>
                <w:b w:val="0"/>
                <w:bCs w:val="0"/>
                <w:i/>
                <w:color w:val="000000" w:themeColor="text1"/>
                <w:lang w:val="es-CO"/>
              </w:rPr>
              <w:t>…</w:t>
            </w:r>
          </w:p>
        </w:tc>
      </w:tr>
      <w:tr w:rsidR="005C0F94" w:rsidRPr="00483BFD" w14:paraId="64F823FC" w14:textId="77777777">
        <w:tc>
          <w:tcPr>
            <w:tcW w:w="567" w:type="dxa"/>
            <w:vAlign w:val="center"/>
          </w:tcPr>
          <w:p w14:paraId="4E681DF3" w14:textId="77777777" w:rsidR="005C0F94" w:rsidRPr="00851155" w:rsidRDefault="00FB7B28">
            <w:pPr>
              <w:pStyle w:val="Textoindependiente"/>
              <w:ind w:left="0"/>
              <w:rPr>
                <w:rFonts w:ascii="Bookman Old Style" w:hAnsi="Bookman Old Style"/>
                <w:b w:val="0"/>
                <w:color w:val="000000" w:themeColor="text1"/>
                <w:lang w:val="es-CO"/>
              </w:rPr>
            </w:pPr>
            <m:oMathPara>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m</m:t>
                    </m:r>
                  </m:sub>
                </m:sSub>
                <m:r>
                  <m:rPr>
                    <m:sty m:val="bi"/>
                  </m:rPr>
                  <w:rPr>
                    <w:rFonts w:ascii="Cambria Math" w:hAnsi="Cambria Math"/>
                    <w:color w:val="000000" w:themeColor="text1"/>
                  </w:rPr>
                  <m:t>'</m:t>
                </m:r>
              </m:oMath>
            </m:oMathPara>
          </w:p>
        </w:tc>
        <w:tc>
          <w:tcPr>
            <w:tcW w:w="7088" w:type="dxa"/>
            <w:vAlign w:val="center"/>
          </w:tcPr>
          <w:p w14:paraId="0B51E0FA" w14:textId="77777777" w:rsidR="005C0F94" w:rsidRPr="00851155" w:rsidRDefault="005C0F94">
            <w:pPr>
              <w:pStyle w:val="Textoindependiente"/>
              <w:autoSpaceDE w:val="0"/>
              <w:autoSpaceDN w:val="0"/>
              <w:adjustRightInd w:val="0"/>
              <w:ind w:left="0"/>
              <w:rPr>
                <w:rFonts w:ascii="Bookman Old Style" w:hAnsi="Bookman Old Style"/>
                <w:b w:val="0"/>
                <w:color w:val="000000" w:themeColor="text1"/>
                <w:lang w:val="es-CO"/>
              </w:rPr>
            </w:pPr>
            <w:r w:rsidRPr="00851155">
              <w:rPr>
                <w:rFonts w:ascii="Bookman Old Style" w:hAnsi="Bookman Old Style"/>
                <w:b w:val="0"/>
                <w:color w:val="000000" w:themeColor="text1"/>
                <w:lang w:val="es-CO"/>
              </w:rPr>
              <w:t xml:space="preserve">Si </w:t>
            </w:r>
            <m:oMath>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nary>
                    <m:naryPr>
                      <m:chr m:val="∑"/>
                      <m:limLoc m:val="undOvr"/>
                      <m:ctrlPr>
                        <w:rPr>
                          <w:rFonts w:ascii="Cambria Math" w:hAnsi="Cambria Math" w:cs="Arial"/>
                          <w:b w:val="0"/>
                          <w:bCs w:val="0"/>
                          <w:i/>
                          <w:color w:val="000000" w:themeColor="text1"/>
                        </w:rPr>
                      </m:ctrlPr>
                    </m:naryPr>
                    <m:sub>
                      <m:r>
                        <m:rPr>
                          <m:sty m:val="bi"/>
                        </m:rPr>
                        <w:rPr>
                          <w:rFonts w:ascii="Cambria Math" w:hAnsi="Cambria Math" w:cs="Arial"/>
                          <w:color w:val="000000" w:themeColor="text1"/>
                        </w:rPr>
                        <m:t>i=1</m:t>
                      </m:r>
                    </m:sub>
                    <m:sup>
                      <m:r>
                        <m:rPr>
                          <m:sty m:val="bi"/>
                        </m:rPr>
                        <w:rPr>
                          <w:rFonts w:ascii="Cambria Math" w:hAnsi="Cambria Math" w:cs="Arial"/>
                          <w:color w:val="000000" w:themeColor="text1"/>
                        </w:rPr>
                        <m:t>m</m:t>
                      </m:r>
                    </m:sup>
                    <m:e>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nary>
                </m:e>
              </m:d>
              <m:r>
                <m:rPr>
                  <m:sty m:val="bi"/>
                </m:rPr>
                <w:rPr>
                  <w:rFonts w:ascii="Cambria Math" w:hAnsi="Cambria Math"/>
                  <w:color w:val="000000" w:themeColor="text1"/>
                </w:rPr>
                <m:t>&gt;0</m:t>
              </m:r>
            </m:oMath>
            <w:r w:rsidRPr="00851155">
              <w:rPr>
                <w:rFonts w:ascii="Bookman Old Style" w:hAnsi="Bookman Old Style"/>
                <w:b w:val="0"/>
                <w:color w:val="000000" w:themeColor="text1"/>
                <w:lang w:val="es-CO"/>
              </w:rPr>
              <w:t xml:space="preserve">, </w:t>
            </w:r>
          </w:p>
          <w:p w14:paraId="5F30874C" w14:textId="77777777" w:rsidR="005C0F94" w:rsidRPr="00851155" w:rsidRDefault="005C0F94">
            <w:pPr>
              <w:pStyle w:val="Textoindependiente"/>
              <w:ind w:left="0"/>
              <w:rPr>
                <w:rFonts w:ascii="Bookman Old Style" w:hAnsi="Bookman Old Style"/>
                <w:b w:val="0"/>
                <w:color w:val="000000" w:themeColor="text1"/>
                <w:lang w:val="es-CO"/>
              </w:rPr>
            </w:pPr>
          </w:p>
          <w:p w14:paraId="63C35C74" w14:textId="77777777" w:rsidR="005C0F94" w:rsidRPr="00851155" w:rsidRDefault="005C0F94">
            <w:pPr>
              <w:pStyle w:val="Textoindependiente"/>
              <w:ind w:left="0"/>
              <w:rPr>
                <w:rFonts w:ascii="Bookman Old Style" w:hAnsi="Bookman Old Style"/>
                <w:b w:val="0"/>
                <w:bCs w:val="0"/>
                <w:i/>
                <w:color w:val="000000" w:themeColor="text1"/>
                <w:lang w:val="es-CO"/>
              </w:rPr>
            </w:pPr>
            <w:r w:rsidRPr="00851155">
              <w:rPr>
                <w:rFonts w:ascii="Bookman Old Style" w:hAnsi="Bookman Old Style" w:cs="Arial"/>
                <w:b w:val="0"/>
                <w:color w:val="000000" w:themeColor="text1"/>
                <w:lang w:val="es-CO"/>
              </w:rPr>
              <w:lastRenderedPageBreak/>
              <w:t xml:space="preserve">a </w:t>
            </w:r>
            <m:oMath>
              <m:sSub>
                <m:sSubPr>
                  <m:ctrlPr>
                    <w:rPr>
                      <w:rFonts w:ascii="Cambria Math" w:hAnsi="Cambria Math"/>
                      <w:b w:val="0"/>
                      <w:i/>
                      <w:color w:val="000000" w:themeColor="text1"/>
                    </w:rPr>
                  </m:ctrlPr>
                </m:sSubPr>
                <m:e>
                  <m:r>
                    <m:rPr>
                      <m:sty m:val="bi"/>
                    </m:rPr>
                    <w:rPr>
                      <w:rFonts w:ascii="Cambria Math" w:hAnsi="Cambria Math"/>
                      <w:color w:val="000000" w:themeColor="text1"/>
                    </w:rPr>
                    <m:t>b</m:t>
                  </m:r>
                </m:e>
                <m:sub>
                  <m:r>
                    <m:rPr>
                      <m:sty m:val="bi"/>
                    </m:rPr>
                    <w:rPr>
                      <w:rFonts w:ascii="Cambria Math" w:hAnsi="Cambria Math"/>
                      <w:color w:val="000000" w:themeColor="text1"/>
                    </w:rPr>
                    <m:t>m</m:t>
                  </m:r>
                </m:sub>
              </m:sSub>
              <m:r>
                <m:rPr>
                  <m:sty m:val="bi"/>
                </m:rPr>
                <w:rPr>
                  <w:rFonts w:ascii="Cambria Math" w:hAnsi="Cambria Math"/>
                  <w:color w:val="000000" w:themeColor="text1"/>
                </w:rPr>
                <m:t>'</m:t>
              </m:r>
            </m:oMath>
            <w:r w:rsidRPr="00851155">
              <w:rPr>
                <w:rFonts w:ascii="Bookman Old Style" w:hAnsi="Bookman Old Style" w:cs="Arial"/>
                <w:b w:val="0"/>
                <w:color w:val="000000" w:themeColor="text1"/>
                <w:lang w:val="es-CO"/>
              </w:rPr>
              <w:t xml:space="preserve"> se le asigna</w:t>
            </w:r>
            <w:r w:rsidRPr="00851155">
              <w:rPr>
                <w:rFonts w:ascii="Bookman Old Style" w:hAnsi="Bookman Old Style"/>
                <w:b w:val="0"/>
                <w:i/>
                <w:color w:val="000000" w:themeColor="text1"/>
                <w:lang w:val="es-CO"/>
              </w:rPr>
              <w:t xml:space="preserve"> </w:t>
            </w:r>
            <m:oMath>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f,d,bm</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oMath>
          </w:p>
          <w:p w14:paraId="58BEB2EB" w14:textId="77777777" w:rsidR="005C0F94" w:rsidRPr="00851155" w:rsidRDefault="005C0F94">
            <w:pPr>
              <w:pStyle w:val="Textoindependiente"/>
              <w:ind w:left="0"/>
              <w:rPr>
                <w:rFonts w:ascii="Bookman Old Style" w:hAnsi="Bookman Old Style" w:cs="Arial"/>
                <w:b w:val="0"/>
                <w:i/>
                <w:color w:val="000000" w:themeColor="text1"/>
                <w:lang w:val="es-CO"/>
              </w:rPr>
            </w:pPr>
          </w:p>
          <w:p w14:paraId="26E2C6FA" w14:textId="77777777" w:rsidR="005C0F94" w:rsidRPr="00851155" w:rsidRDefault="005C0F94">
            <w:pPr>
              <w:pStyle w:val="Textoindependiente"/>
              <w:ind w:left="0"/>
              <w:rPr>
                <w:rFonts w:ascii="Bookman Old Style" w:hAnsi="Bookman Old Style"/>
                <w:b w:val="0"/>
                <w:bCs w:val="0"/>
                <w:i/>
                <w:color w:val="000000" w:themeColor="text1"/>
                <w:lang w:val="es-CO"/>
              </w:rPr>
            </w:pPr>
            <w:r w:rsidRPr="00851155">
              <w:rPr>
                <w:rFonts w:ascii="Bookman Old Style" w:hAnsi="Bookman Old Style" w:cs="Arial"/>
                <w:b w:val="0"/>
                <w:color w:val="000000" w:themeColor="text1"/>
                <w:lang w:val="es-CO"/>
              </w:rPr>
              <w:t>Si no, se le asigna</w:t>
            </w:r>
            <w:r w:rsidRPr="00851155">
              <w:rPr>
                <w:rFonts w:ascii="Bookman Old Style" w:hAnsi="Bookman Old Style"/>
                <w:b w:val="0"/>
                <w:i/>
                <w:color w:val="000000" w:themeColor="text1"/>
                <w:lang w:val="es-CO"/>
              </w:rPr>
              <w:t xml:space="preserve"> </w:t>
            </w:r>
            <m:oMath>
              <m:r>
                <m:rPr>
                  <m:sty m:val="bi"/>
                </m:rPr>
                <w:rPr>
                  <w:rFonts w:ascii="Cambria Math" w:hAnsi="Cambria Math" w:cs="Arial"/>
                  <w:color w:val="000000" w:themeColor="text1"/>
                </w:rPr>
                <m:t>Máx</m:t>
              </m:r>
              <m:d>
                <m:dPr>
                  <m:begChr m:val="["/>
                  <m:endChr m:val="]"/>
                  <m:ctrlPr>
                    <w:rPr>
                      <w:rFonts w:ascii="Cambria Math" w:hAnsi="Cambria Math" w:cs="Arial"/>
                      <w:b w:val="0"/>
                      <w:i/>
                      <w:color w:val="000000" w:themeColor="text1"/>
                    </w:rPr>
                  </m:ctrlPr>
                </m:dPr>
                <m:e>
                  <m:sSubSup>
                    <m:sSubSupPr>
                      <m:ctrlPr>
                        <w:rPr>
                          <w:rFonts w:ascii="Cambria Math" w:hAnsi="Cambria Math" w:cs="Arial"/>
                          <w:b w:val="0"/>
                          <w:i/>
                          <w:color w:val="000000" w:themeColor="text1"/>
                        </w:rPr>
                      </m:ctrlPr>
                    </m:sSubSupPr>
                    <m:e>
                      <m:r>
                        <m:rPr>
                          <m:sty m:val="bi"/>
                        </m:rPr>
                        <w:rPr>
                          <w:rFonts w:ascii="Cambria Math" w:hAnsi="Cambria Math" w:cs="Arial"/>
                          <w:color w:val="000000" w:themeColor="text1"/>
                        </w:rPr>
                        <m:t>EO</m:t>
                      </m:r>
                    </m:e>
                    <m:sub>
                      <m:sSub>
                        <m:sSubPr>
                          <m:ctrlPr>
                            <w:rPr>
                              <w:rFonts w:ascii="Cambria Math" w:hAnsi="Cambria Math" w:cs="Arial"/>
                              <w:b w:val="0"/>
                              <w:i/>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m:t>
                          </m:r>
                        </m:sub>
                      </m:sSub>
                    </m:sub>
                    <m:sup>
                      <m:r>
                        <m:rPr>
                          <m:sty m:val="bi"/>
                        </m:rPr>
                        <w:rPr>
                          <w:rFonts w:ascii="Cambria Math" w:hAnsi="Cambria Math" w:cs="Arial"/>
                          <w:color w:val="000000" w:themeColor="text1"/>
                        </w:rPr>
                        <m:t>r+1</m:t>
                      </m:r>
                    </m:sup>
                  </m:sSubSup>
                  <m:r>
                    <m:rPr>
                      <m:sty m:val="bi"/>
                    </m:rPr>
                    <w:rPr>
                      <w:rFonts w:ascii="Cambria Math" w:hAnsi="Cambria Math" w:cs="Arial"/>
                      <w:color w:val="000000" w:themeColor="text1"/>
                    </w:rPr>
                    <m:t>-</m:t>
                  </m:r>
                  <m:nary>
                    <m:naryPr>
                      <m:chr m:val="∑"/>
                      <m:limLoc m:val="undOvr"/>
                      <m:ctrlPr>
                        <w:rPr>
                          <w:rFonts w:ascii="Cambria Math" w:hAnsi="Cambria Math" w:cs="Arial"/>
                          <w:b w:val="0"/>
                          <w:bCs w:val="0"/>
                          <w:i/>
                          <w:color w:val="000000" w:themeColor="text1"/>
                        </w:rPr>
                      </m:ctrlPr>
                    </m:naryPr>
                    <m:sub>
                      <m:r>
                        <m:rPr>
                          <m:sty m:val="bi"/>
                        </m:rPr>
                        <w:rPr>
                          <w:rFonts w:ascii="Cambria Math" w:hAnsi="Cambria Math" w:cs="Arial"/>
                          <w:color w:val="000000" w:themeColor="text1"/>
                        </w:rPr>
                        <m:t>i=1</m:t>
                      </m:r>
                    </m:sub>
                    <m:sup>
                      <m:r>
                        <m:rPr>
                          <m:sty m:val="bi"/>
                        </m:rPr>
                        <w:rPr>
                          <w:rFonts w:ascii="Cambria Math" w:hAnsi="Cambria Math" w:cs="Arial"/>
                          <w:color w:val="000000" w:themeColor="text1"/>
                        </w:rPr>
                        <m:t>m-1</m:t>
                      </m:r>
                    </m:sup>
                    <m:e>
                      <m:d>
                        <m:dPr>
                          <m:ctrlPr>
                            <w:rPr>
                              <w:rFonts w:ascii="Cambria Math" w:hAnsi="Cambria Math" w:cs="Arial"/>
                              <w:b w:val="0"/>
                              <w:bCs w:val="0"/>
                              <w:i/>
                              <w:color w:val="000000" w:themeColor="text1"/>
                            </w:rPr>
                          </m:ctrlPr>
                        </m:dPr>
                        <m:e>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m:t>
                              </m:r>
                            </m:sup>
                          </m:sSubSup>
                          <m:r>
                            <m:rPr>
                              <m:sty m:val="bi"/>
                            </m:rPr>
                            <w:rPr>
                              <w:rFonts w:ascii="Cambria Math" w:hAnsi="Cambria Math" w:cs="Arial"/>
                              <w:color w:val="000000" w:themeColor="text1"/>
                            </w:rPr>
                            <m:t>-</m:t>
                          </m:r>
                          <m:sSubSup>
                            <m:sSubSupPr>
                              <m:ctrlPr>
                                <w:rPr>
                                  <w:rFonts w:ascii="Cambria Math" w:hAnsi="Cambria Math" w:cs="Arial"/>
                                  <w:b w:val="0"/>
                                  <w:bCs w:val="0"/>
                                  <w:i/>
                                  <w:color w:val="000000" w:themeColor="text1"/>
                                </w:rPr>
                              </m:ctrlPr>
                            </m:sSubSupPr>
                            <m:e>
                              <m:r>
                                <m:rPr>
                                  <m:sty m:val="bi"/>
                                </m:rPr>
                                <w:rPr>
                                  <w:rFonts w:ascii="Cambria Math" w:hAnsi="Cambria Math" w:cs="Arial"/>
                                  <w:color w:val="000000" w:themeColor="text1"/>
                                </w:rPr>
                                <m:t>D</m:t>
                              </m:r>
                            </m:e>
                            <m:sub>
                              <m:sSub>
                                <m:sSubPr>
                                  <m:ctrlPr>
                                    <w:rPr>
                                      <w:rFonts w:ascii="Cambria Math" w:hAnsi="Cambria Math" w:cs="Arial"/>
                                      <w:b w:val="0"/>
                                      <w:bCs w:val="0"/>
                                      <w:i/>
                                      <w:color w:val="000000" w:themeColor="text1"/>
                                      <w:lang w:val="es-ES" w:eastAsia="es-ES"/>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f,d,bi</m:t>
                                  </m:r>
                                </m:sub>
                              </m:sSub>
                              <m:r>
                                <m:rPr>
                                  <m:sty m:val="bi"/>
                                </m:rPr>
                                <w:rPr>
                                  <w:rFonts w:ascii="Cambria Math" w:hAnsi="Cambria Math" w:cs="Arial"/>
                                  <w:color w:val="000000" w:themeColor="text1"/>
                                </w:rPr>
                                <m:t>'</m:t>
                              </m:r>
                            </m:sub>
                            <m:sup>
                              <m:r>
                                <m:rPr>
                                  <m:sty m:val="bi"/>
                                </m:rPr>
                                <w:rPr>
                                  <w:rFonts w:ascii="Cambria Math" w:hAnsi="Cambria Math" w:cs="Arial"/>
                                  <w:color w:val="000000" w:themeColor="text1"/>
                                </w:rPr>
                                <m:t>r+1</m:t>
                              </m:r>
                            </m:sup>
                          </m:sSubSup>
                        </m:e>
                      </m:d>
                    </m:e>
                  </m:nary>
                  <m:r>
                    <m:rPr>
                      <m:sty m:val="bi"/>
                    </m:rPr>
                    <w:rPr>
                      <w:rFonts w:ascii="Cambria Math" w:hAnsi="Cambria Math" w:cs="Arial"/>
                      <w:color w:val="000000" w:themeColor="text1"/>
                    </w:rPr>
                    <m:t>,0</m:t>
                  </m:r>
                </m:e>
              </m:d>
            </m:oMath>
          </w:p>
        </w:tc>
      </w:tr>
    </w:tbl>
    <w:p w14:paraId="1E89591C" w14:textId="77777777" w:rsidR="005C0F94" w:rsidRPr="00483BFD" w:rsidRDefault="005C0F94" w:rsidP="005C0F94">
      <w:pPr>
        <w:pStyle w:val="Textoindependiente"/>
        <w:ind w:left="1701"/>
        <w:jc w:val="both"/>
        <w:rPr>
          <w:rFonts w:ascii="Bookman Old Style" w:hAnsi="Bookman Old Style" w:cs="Arial"/>
          <w:b w:val="0"/>
          <w:color w:val="000000" w:themeColor="text1"/>
          <w:lang w:val="es-CO"/>
        </w:rPr>
      </w:pPr>
    </w:p>
    <w:p w14:paraId="162C437E"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r w:rsidRPr="00483BFD">
        <w:rPr>
          <w:rFonts w:ascii="Bookman Old Style" w:hAnsi="Bookman Old Style" w:cs="Arial"/>
          <w:color w:val="000000" w:themeColor="text1"/>
        </w:rPr>
        <w:t>Donde:</w:t>
      </w:r>
    </w:p>
    <w:p w14:paraId="3B25F4B7"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3A29F64F"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Sup>
          <m:sSubSupPr>
            <m:ctrlPr>
              <w:rPr>
                <w:rFonts w:ascii="Cambria Math" w:hAnsi="Cambria Math" w:cs="Arial"/>
                <w:bCs/>
                <w:i/>
                <w:color w:val="000000" w:themeColor="text1"/>
              </w:rPr>
            </m:ctrlPr>
          </m:sSubSupPr>
          <m:e>
            <m:acc>
              <m:accPr>
                <m:ctrlPr>
                  <w:rPr>
                    <w:rFonts w:ascii="Cambria Math" w:hAnsi="Cambria Math" w:cs="Arial"/>
                    <w:i/>
                    <w:color w:val="000000" w:themeColor="text1"/>
                  </w:rPr>
                </m:ctrlPr>
              </m:accPr>
              <m:e>
                <m:r>
                  <w:rPr>
                    <w:rFonts w:ascii="Cambria Math" w:hAnsi="Cambria Math" w:cs="Arial"/>
                    <w:color w:val="000000" w:themeColor="text1"/>
                  </w:rPr>
                  <m:t>D</m:t>
                </m:r>
              </m:e>
            </m:acc>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adicional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asignada al comprador </w:t>
      </w:r>
      <m:oMath>
        <m:r>
          <w:rPr>
            <w:rFonts w:ascii="Cambria Math" w:hAnsi="Cambria Math" w:cs="Arial"/>
            <w:color w:val="000000" w:themeColor="text1"/>
          </w:rPr>
          <m:t>b'</m:t>
        </m:r>
      </m:oMath>
      <w:r w:rsidR="005C0F94" w:rsidRPr="00483BFD">
        <w:rPr>
          <w:rFonts w:ascii="Bookman Old Style" w:hAnsi="Bookman Old Style" w:cs="Arial"/>
          <w:color w:val="000000" w:themeColor="text1"/>
        </w:rPr>
        <w:t xml:space="preserve"> en la ronda </w:t>
      </w:r>
      <m:oMath>
        <m:r>
          <w:rPr>
            <w:rFonts w:ascii="Cambria Math" w:hAnsi="Cambria Math" w:cs="Arial"/>
            <w:color w:val="000000" w:themeColor="text1"/>
          </w:rPr>
          <m:t>r+1</m:t>
        </m:r>
      </m:oMath>
      <w:r w:rsidR="005C0F94" w:rsidRPr="00483BFD">
        <w:rPr>
          <w:rFonts w:ascii="Bookman Old Style" w:hAnsi="Bookman Old Style" w:cs="Arial"/>
          <w:color w:val="000000" w:themeColor="text1"/>
        </w:rPr>
        <w:t xml:space="preserve">, al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76DB08C4"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4BEC3FC3"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Comprador habilitado con el mayor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f,d,b1</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i/>
          <w:color w:val="000000" w:themeColor="text1"/>
        </w:rPr>
        <w:t>.</w:t>
      </w:r>
    </w:p>
    <w:p w14:paraId="4156FFB8" w14:textId="77777777" w:rsidR="005C0F94" w:rsidRPr="00483BFD" w:rsidRDefault="005C0F94" w:rsidP="005C0F94">
      <w:pPr>
        <w:autoSpaceDE w:val="0"/>
        <w:autoSpaceDN w:val="0"/>
        <w:adjustRightInd w:val="0"/>
        <w:ind w:left="1701"/>
        <w:jc w:val="both"/>
        <w:rPr>
          <w:rFonts w:ascii="Bookman Old Style" w:hAnsi="Bookman Old Style" w:cs="Arial"/>
          <w:color w:val="000000" w:themeColor="text1"/>
        </w:rPr>
      </w:pPr>
    </w:p>
    <w:p w14:paraId="419D148E" w14:textId="77777777" w:rsidR="005C0F94" w:rsidRPr="00483BFD" w:rsidRDefault="00FB7B28" w:rsidP="005C0F94">
      <w:pPr>
        <w:ind w:left="3119" w:hanging="1418"/>
        <w:jc w:val="both"/>
        <w:outlineLvl w:val="0"/>
        <w:rPr>
          <w:rFonts w:ascii="Bookman Old Style" w:hAnsi="Bookman Old Style" w:cs="Arial"/>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m</m:t>
            </m:r>
          </m:sub>
        </m:sSub>
        <m:r>
          <w:rPr>
            <w:rFonts w:ascii="Cambria Math" w:hAnsi="Cambria Math"/>
            <w:color w:val="000000" w:themeColor="text1"/>
          </w:rPr>
          <m:t>'</m:t>
        </m:r>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Comprador habilitado con el menor 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i/>
          <w:color w:val="000000" w:themeColor="text1"/>
        </w:rPr>
        <w:t>.</w:t>
      </w:r>
    </w:p>
    <w:p w14:paraId="422A55D7" w14:textId="77777777" w:rsidR="005C0F94" w:rsidRPr="00483BFD" w:rsidRDefault="005C0F94" w:rsidP="005C0F94">
      <w:pPr>
        <w:ind w:left="1701"/>
        <w:jc w:val="both"/>
        <w:outlineLvl w:val="0"/>
        <w:rPr>
          <w:rFonts w:ascii="Bookman Old Style" w:hAnsi="Bookman Old Style" w:cs="Arial"/>
          <w:color w:val="000000" w:themeColor="text1"/>
        </w:rPr>
      </w:pPr>
    </w:p>
    <w:p w14:paraId="6D2BF32B" w14:textId="77777777" w:rsidR="005C0F94" w:rsidRPr="00483BFD" w:rsidRDefault="00FB7B28" w:rsidP="005C0F94">
      <w:pPr>
        <w:autoSpaceDE w:val="0"/>
        <w:autoSpaceDN w:val="0"/>
        <w:adjustRightInd w:val="0"/>
        <w:ind w:left="3119" w:hanging="1418"/>
        <w:jc w:val="both"/>
        <w:rPr>
          <w:rFonts w:ascii="Bookman Old Style" w:hAnsi="Bookman Old Style" w:cs="Arial"/>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r>
          <w:rPr>
            <w:rFonts w:ascii="Cambria Math" w:hAnsi="Cambria Math"/>
            <w:color w:val="000000" w:themeColor="text1"/>
          </w:rPr>
          <m:t>'</m:t>
        </m:r>
      </m:oMath>
      <w:r w:rsidR="005C0F94" w:rsidRPr="00483BFD">
        <w:rPr>
          <w:rFonts w:ascii="Bookman Old Style" w:hAnsi="Bookman Old Style" w:cs="Arial"/>
          <w:color w:val="000000" w:themeColor="text1"/>
        </w:rPr>
        <w:t xml:space="preserve"> a </w:t>
      </w: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m-1</m:t>
            </m:r>
          </m:sub>
        </m:sSub>
        <m:r>
          <w:rPr>
            <w:rFonts w:ascii="Cambria Math" w:hAnsi="Cambria Math"/>
            <w:color w:val="000000" w:themeColor="text1"/>
          </w:rPr>
          <m:t>'</m:t>
        </m:r>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Compradores habilitados con precios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color w:val="000000" w:themeColor="text1"/>
        </w:rPr>
        <w:t xml:space="preserve"> menores a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f,d,b1</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color w:val="000000" w:themeColor="text1"/>
        </w:rPr>
        <w:t xml:space="preserve"> y menores a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m:t>
                </m:r>
              </m:sub>
            </m:sSub>
            <m:r>
              <w:rPr>
                <w:rFonts w:ascii="Cambria Math" w:hAnsi="Cambria Math" w:cs="Arial"/>
                <w:color w:val="000000" w:themeColor="text1"/>
              </w:rPr>
              <m:t>'</m:t>
            </m:r>
          </m:sub>
          <m:sup>
            <m:r>
              <w:rPr>
                <w:rFonts w:ascii="Cambria Math" w:hAnsi="Cambria Math" w:cs="Arial"/>
                <w:color w:val="000000" w:themeColor="text1"/>
              </w:rPr>
              <m:t>r+1</m:t>
            </m:r>
          </m:sup>
        </m:sSubSup>
      </m:oMath>
      <w:r w:rsidR="005C0F94" w:rsidRPr="00483BFD">
        <w:rPr>
          <w:rFonts w:ascii="Bookman Old Style" w:hAnsi="Bookman Old Style" w:cs="Arial"/>
          <w:color w:val="000000" w:themeColor="text1"/>
        </w:rPr>
        <w:t>, organizados de manera descendente de acuerdo con los precios declarados</w:t>
      </w:r>
      <w:r w:rsidR="005C0F94" w:rsidRPr="00483BFD">
        <w:rPr>
          <w:rFonts w:ascii="Bookman Old Style" w:hAnsi="Bookman Old Style" w:cs="Arial"/>
          <w:i/>
          <w:color w:val="000000" w:themeColor="text1"/>
        </w:rPr>
        <w:t>.</w:t>
      </w:r>
    </w:p>
    <w:p w14:paraId="4A1C9F33" w14:textId="77777777" w:rsidR="005C0F94" w:rsidRPr="00483BFD" w:rsidRDefault="005C0F94" w:rsidP="005C0F94">
      <w:pPr>
        <w:ind w:left="1701"/>
        <w:jc w:val="both"/>
        <w:outlineLvl w:val="0"/>
        <w:rPr>
          <w:rFonts w:ascii="Bookman Old Style" w:hAnsi="Bookman Old Style" w:cs="Arial"/>
          <w:color w:val="000000" w:themeColor="text1"/>
        </w:rPr>
      </w:pPr>
    </w:p>
    <w:p w14:paraId="471434A1" w14:textId="77777777" w:rsidR="005C0F94" w:rsidRPr="00483BFD" w:rsidRDefault="005C0F94" w:rsidP="005C0F94">
      <w:pPr>
        <w:numPr>
          <w:ilvl w:val="0"/>
          <w:numId w:val="144"/>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Regla de convergencia: En caso de que el exceso de demanda de energía de un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sea inferior a 100 MBTUD se considerará, para efectos del cierre de la subasta, que para este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no hay exceso de demanda. En este caso al finalizar la subasta las cantidades demandadas que exceden la </w:t>
      </w: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r</m:t>
            </m:r>
          </m:sup>
        </m:sSubSup>
        <m:r>
          <w:rPr>
            <w:rFonts w:ascii="Cambria Math" w:hAnsi="Cambria Math" w:cs="Arial"/>
            <w:color w:val="000000" w:themeColor="text1"/>
          </w:rPr>
          <m:t>)</m:t>
        </m:r>
      </m:oMath>
      <w:r w:rsidRPr="00483BFD">
        <w:rPr>
          <w:rFonts w:ascii="Bookman Old Style" w:hAnsi="Bookman Old Style" w:cs="Arial"/>
          <w:color w:val="000000" w:themeColor="text1"/>
        </w:rPr>
        <w:t xml:space="preserve"> se asignarán, o se racionarán, de acuerdo con las siguientes reglas:</w:t>
      </w:r>
    </w:p>
    <w:p w14:paraId="6D33DACE"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795DF443" w14:textId="77777777" w:rsidR="005C0F94" w:rsidRPr="00483BFD" w:rsidRDefault="005C0F94" w:rsidP="005C0F94">
      <w:pPr>
        <w:pStyle w:val="Prrafodelista"/>
        <w:numPr>
          <w:ilvl w:val="0"/>
          <w:numId w:val="207"/>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A los vendedores habilitados, comenzando con el que declaró el menor precio de reserva, </w:t>
      </w:r>
      <m:oMath>
        <m:sSub>
          <m:sSubPr>
            <m:ctrlPr>
              <w:rPr>
                <w:rFonts w:ascii="Cambria Math" w:hAnsi="Cambria Math" w:cs="Arial"/>
                <w:i/>
                <w:color w:val="000000" w:themeColor="text1"/>
                <w:sz w:val="24"/>
                <w:szCs w:val="24"/>
                <w:lang w:val="es-ES" w:eastAsia="es-ES"/>
              </w:rPr>
            </m:ctrlPr>
          </m:sSubPr>
          <m:e>
            <m:r>
              <w:rPr>
                <w:rFonts w:ascii="Cambria Math" w:hAnsi="Cambria Math" w:cs="Arial"/>
                <w:color w:val="000000" w:themeColor="text1"/>
                <w:sz w:val="24"/>
                <w:szCs w:val="24"/>
                <w:lang w:val="es-ES" w:eastAsia="es-ES"/>
              </w:rPr>
              <m:t>PR</m:t>
            </m:r>
          </m:e>
          <m:sub>
            <m:sSub>
              <m:sSubPr>
                <m:ctrlPr>
                  <w:rPr>
                    <w:rFonts w:ascii="Cambria Math" w:hAnsi="Cambria Math" w:cs="Arial"/>
                    <w:i/>
                    <w:color w:val="000000" w:themeColor="text1"/>
                    <w:sz w:val="24"/>
                    <w:szCs w:val="24"/>
                    <w:lang w:val="es-ES" w:eastAsia="es-ES"/>
                  </w:rPr>
                </m:ctrlPr>
              </m:sSubPr>
              <m:e>
                <m:r>
                  <w:rPr>
                    <w:rFonts w:ascii="Cambria Math" w:hAnsi="Cambria Math" w:cs="Arial"/>
                    <w:color w:val="000000" w:themeColor="text1"/>
                    <w:sz w:val="24"/>
                    <w:szCs w:val="24"/>
                    <w:lang w:val="es-ES" w:eastAsia="es-ES"/>
                  </w:rPr>
                  <m:t>T</m:t>
                </m:r>
              </m:e>
              <m:sub>
                <m:r>
                  <w:rPr>
                    <w:rFonts w:ascii="Cambria Math" w:hAnsi="Cambria Math" w:cs="Arial"/>
                    <w:color w:val="000000" w:themeColor="text1"/>
                    <w:sz w:val="24"/>
                    <w:szCs w:val="24"/>
                    <w:lang w:val="es-ES" w:eastAsia="es-ES"/>
                  </w:rPr>
                  <m:t>f,d,s1</m:t>
                </m:r>
              </m:sub>
            </m:sSub>
          </m:sub>
        </m:sSub>
      </m:oMath>
      <w:r w:rsidRPr="00483BFD">
        <w:rPr>
          <w:rFonts w:ascii="Bookman Old Style" w:hAnsi="Bookman Old Style" w:cs="Arial"/>
          <w:color w:val="000000" w:themeColor="text1"/>
          <w:sz w:val="24"/>
          <w:szCs w:val="24"/>
          <w:lang w:val="es-ES" w:eastAsia="es-ES"/>
        </w:rPr>
        <w:t xml:space="preserve">, y finalizando con el que declaró el mayor precio de reserva, </w:t>
      </w:r>
      <m:oMath>
        <m:sSub>
          <m:sSubPr>
            <m:ctrlPr>
              <w:rPr>
                <w:rFonts w:ascii="Cambria Math" w:hAnsi="Cambria Math" w:cs="Arial"/>
                <w:i/>
                <w:color w:val="000000" w:themeColor="text1"/>
                <w:sz w:val="24"/>
                <w:szCs w:val="24"/>
                <w:lang w:val="es-ES" w:eastAsia="es-ES"/>
              </w:rPr>
            </m:ctrlPr>
          </m:sSubPr>
          <m:e>
            <m:r>
              <w:rPr>
                <w:rFonts w:ascii="Cambria Math" w:hAnsi="Cambria Math" w:cs="Arial"/>
                <w:color w:val="000000" w:themeColor="text1"/>
                <w:sz w:val="24"/>
                <w:szCs w:val="24"/>
                <w:lang w:val="es-ES" w:eastAsia="es-ES"/>
              </w:rPr>
              <m:t>PR</m:t>
            </m:r>
          </m:e>
          <m:sub>
            <m:sSub>
              <m:sSubPr>
                <m:ctrlPr>
                  <w:rPr>
                    <w:rFonts w:ascii="Cambria Math" w:hAnsi="Cambria Math" w:cs="Arial"/>
                    <w:i/>
                    <w:color w:val="000000" w:themeColor="text1"/>
                    <w:sz w:val="24"/>
                    <w:szCs w:val="24"/>
                    <w:lang w:val="es-ES" w:eastAsia="es-ES"/>
                  </w:rPr>
                </m:ctrlPr>
              </m:sSubPr>
              <m:e>
                <m:r>
                  <w:rPr>
                    <w:rFonts w:ascii="Cambria Math" w:hAnsi="Cambria Math" w:cs="Arial"/>
                    <w:color w:val="000000" w:themeColor="text1"/>
                    <w:sz w:val="24"/>
                    <w:szCs w:val="24"/>
                    <w:lang w:val="es-ES" w:eastAsia="es-ES"/>
                  </w:rPr>
                  <m:t>T</m:t>
                </m:r>
              </m:e>
              <m:sub>
                <m:r>
                  <w:rPr>
                    <w:rFonts w:ascii="Cambria Math" w:hAnsi="Cambria Math" w:cs="Arial"/>
                    <w:color w:val="000000" w:themeColor="text1"/>
                    <w:sz w:val="24"/>
                    <w:szCs w:val="24"/>
                    <w:lang w:val="es-ES" w:eastAsia="es-ES"/>
                  </w:rPr>
                  <m:t>f,d,sq</m:t>
                </m:r>
              </m:sub>
            </m:sSub>
          </m:sub>
        </m:sSub>
      </m:oMath>
      <w:r w:rsidRPr="00483BFD">
        <w:rPr>
          <w:rFonts w:ascii="Bookman Old Style" w:hAnsi="Bookman Old Style" w:cs="Arial"/>
          <w:color w:val="000000" w:themeColor="text1"/>
          <w:sz w:val="24"/>
          <w:szCs w:val="24"/>
          <w:lang w:val="es-ES" w:eastAsia="es-ES"/>
        </w:rPr>
        <w:t>, se les dará la opción de ofrecer una cantidad tal que se elimine el exceso de demanda al precio de cierre de la subasta para el producto</w:t>
      </w:r>
      <w:r w:rsidRPr="00483BFD">
        <w:rPr>
          <w:rFonts w:ascii="Bookman Old Style" w:hAnsi="Bookman Old Style" w:cs="Arial"/>
          <w:color w:val="000000" w:themeColor="text1"/>
          <w:sz w:val="24"/>
          <w:szCs w:val="24"/>
        </w:rPr>
        <w:t xml:space="preserve"> </w:t>
      </w:r>
      <m:oMath>
        <m:sSub>
          <m:sSubPr>
            <m:ctrlPr>
              <w:rPr>
                <w:rFonts w:ascii="Cambria Math" w:hAnsi="Cambria Math" w:cs="Arial"/>
                <w:b/>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oMath>
      <w:r w:rsidRPr="00483BFD">
        <w:rPr>
          <w:rFonts w:ascii="Bookman Old Style" w:hAnsi="Bookman Old Style" w:cs="Arial"/>
          <w:color w:val="000000" w:themeColor="text1"/>
          <w:sz w:val="24"/>
          <w:szCs w:val="24"/>
          <w:lang w:val="es-ES" w:eastAsia="es-ES"/>
        </w:rPr>
        <w:t xml:space="preserve">. </w:t>
      </w:r>
      <w:r w:rsidRPr="00483BFD">
        <w:rPr>
          <w:rFonts w:ascii="Bookman Old Style" w:hAnsi="Bookman Old Style" w:cs="Arial"/>
          <w:color w:val="000000" w:themeColor="text1"/>
          <w:sz w:val="24"/>
          <w:szCs w:val="24"/>
        </w:rPr>
        <w:t xml:space="preserve">Siendo </w:t>
      </w:r>
      <m:oMath>
        <m:r>
          <w:rPr>
            <w:rFonts w:ascii="Cambria Math" w:hAnsi="Cambria Math" w:cs="Arial"/>
            <w:color w:val="000000" w:themeColor="text1"/>
            <w:sz w:val="24"/>
            <w:szCs w:val="24"/>
          </w:rPr>
          <m:t>sq</m:t>
        </m:r>
      </m:oMath>
      <w:r w:rsidRPr="00483BFD">
        <w:rPr>
          <w:rFonts w:ascii="Bookman Old Style" w:hAnsi="Bookman Old Style" w:cs="Arial"/>
          <w:color w:val="000000" w:themeColor="text1"/>
          <w:sz w:val="24"/>
          <w:szCs w:val="24"/>
        </w:rPr>
        <w:t xml:space="preserve"> los vendedores habilitados que hayan declarado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PR</m:t>
            </m:r>
          </m:e>
          <m:sub>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f,d,sq</m:t>
                </m:r>
              </m:sub>
            </m:sSub>
          </m:sub>
        </m:sSub>
      </m:oMath>
      <w:r w:rsidRPr="00483BFD">
        <w:rPr>
          <w:rFonts w:ascii="Bookman Old Style" w:hAnsi="Bookman Old Style" w:cs="Arial"/>
          <w:color w:val="000000" w:themeColor="text1"/>
          <w:sz w:val="24"/>
          <w:szCs w:val="24"/>
        </w:rPr>
        <w:t xml:space="preserve"> como precio de reserva del producto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oMath>
    </w:p>
    <w:p w14:paraId="2470B00B" w14:textId="77777777" w:rsidR="005C0F94" w:rsidRPr="00483BFD" w:rsidRDefault="005C0F94" w:rsidP="005C0F94">
      <w:pPr>
        <w:pStyle w:val="Prrafodelista"/>
        <w:ind w:left="1701"/>
        <w:contextualSpacing/>
        <w:jc w:val="both"/>
        <w:rPr>
          <w:rFonts w:ascii="Bookman Old Style" w:hAnsi="Bookman Old Style" w:cs="Arial"/>
          <w:color w:val="000000" w:themeColor="text1"/>
          <w:sz w:val="24"/>
          <w:szCs w:val="24"/>
          <w:lang w:val="es-ES" w:eastAsia="es-ES"/>
        </w:rPr>
      </w:pPr>
    </w:p>
    <w:p w14:paraId="121E59A9" w14:textId="77777777" w:rsidR="005C0F94" w:rsidRPr="00483BFD" w:rsidRDefault="005C0F94" w:rsidP="005C0F94">
      <w:pPr>
        <w:pStyle w:val="Prrafodelista"/>
        <w:numPr>
          <w:ilvl w:val="0"/>
          <w:numId w:val="207"/>
        </w:numPr>
        <w:ind w:left="1701" w:hanging="567"/>
        <w:contextualSpacing/>
        <w:jc w:val="both"/>
        <w:rPr>
          <w:rFonts w:ascii="Bookman Old Style" w:hAnsi="Bookman Old Style" w:cs="Arial"/>
          <w:color w:val="000000" w:themeColor="text1"/>
          <w:sz w:val="24"/>
          <w:szCs w:val="24"/>
          <w:lang w:val="es-ES" w:eastAsia="es-ES"/>
        </w:rPr>
      </w:pPr>
      <w:r w:rsidRPr="00483BFD">
        <w:rPr>
          <w:rFonts w:ascii="Bookman Old Style" w:hAnsi="Bookman Old Style" w:cs="Arial"/>
          <w:color w:val="000000" w:themeColor="text1"/>
          <w:sz w:val="24"/>
          <w:szCs w:val="24"/>
          <w:lang w:val="es-ES" w:eastAsia="es-ES"/>
        </w:rPr>
        <w:t xml:space="preserve">En caso de que ningún vendedor habilitado ofrezca la cantidad de energía que elimine el exceso de demanda, este exceso se eliminará racionando a los compradores habilitados a prorrata de las asignaciones del producto </w:t>
      </w:r>
      <m:oMath>
        <m:sSub>
          <m:sSubPr>
            <m:ctrlPr>
              <w:rPr>
                <w:rFonts w:ascii="Cambria Math" w:hAnsi="Cambria Math" w:cs="Arial"/>
                <w:b/>
                <w:i/>
                <w:color w:val="000000" w:themeColor="text1"/>
                <w:sz w:val="24"/>
                <w:szCs w:val="24"/>
              </w:rPr>
            </m:ctrlPr>
          </m:sSubPr>
          <m:e>
            <m:r>
              <w:rPr>
                <w:rFonts w:ascii="Cambria Math" w:hAnsi="Cambria Math" w:cs="Arial"/>
                <w:color w:val="000000" w:themeColor="text1"/>
                <w:sz w:val="24"/>
                <w:szCs w:val="24"/>
              </w:rPr>
              <m:t>T</m:t>
            </m:r>
          </m:e>
          <m:sub>
            <m:r>
              <w:rPr>
                <w:rFonts w:ascii="Cambria Math" w:hAnsi="Cambria Math" w:cs="Arial"/>
                <w:color w:val="000000" w:themeColor="text1"/>
                <w:sz w:val="24"/>
                <w:szCs w:val="24"/>
              </w:rPr>
              <m:t>f,d</m:t>
            </m:r>
          </m:sub>
        </m:sSub>
      </m:oMath>
      <w:r w:rsidRPr="00483BFD">
        <w:rPr>
          <w:rFonts w:ascii="Bookman Old Style" w:hAnsi="Bookman Old Style" w:cs="Arial"/>
          <w:color w:val="000000" w:themeColor="text1"/>
          <w:sz w:val="24"/>
          <w:szCs w:val="24"/>
          <w:lang w:val="es-ES" w:eastAsia="es-ES"/>
        </w:rPr>
        <w:t>.</w:t>
      </w:r>
    </w:p>
    <w:p w14:paraId="31625CB2" w14:textId="77777777" w:rsidR="005C0F94" w:rsidRPr="00483BFD" w:rsidRDefault="005C0F94" w:rsidP="005C0F94">
      <w:pPr>
        <w:ind w:left="0"/>
        <w:jc w:val="both"/>
        <w:rPr>
          <w:rFonts w:ascii="Bookman Old Style" w:hAnsi="Bookman Old Style"/>
          <w:color w:val="000000" w:themeColor="text1"/>
        </w:rPr>
      </w:pPr>
    </w:p>
    <w:p w14:paraId="258AEA43"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199" w:name="_Ref336434649"/>
      <w:r w:rsidRPr="00483BFD">
        <w:rPr>
          <w:rFonts w:ascii="Bookman Old Style" w:hAnsi="Bookman Old Style"/>
          <w:color w:val="000000" w:themeColor="text1"/>
          <w:sz w:val="24"/>
          <w:szCs w:val="24"/>
        </w:rPr>
        <w:t>Regla de terminación de la subasta</w:t>
      </w:r>
      <w:bookmarkEnd w:id="199"/>
    </w:p>
    <w:p w14:paraId="5D49DEC2" w14:textId="77777777" w:rsidR="005C0F94" w:rsidRPr="00483BFD" w:rsidRDefault="005C0F94" w:rsidP="005C0F94">
      <w:pPr>
        <w:ind w:left="0"/>
        <w:rPr>
          <w:rFonts w:ascii="Bookman Old Style" w:hAnsi="Bookman Old Style"/>
          <w:color w:val="000000" w:themeColor="text1"/>
          <w:lang w:val="es-CO"/>
        </w:rPr>
      </w:pPr>
    </w:p>
    <w:p w14:paraId="75F3B12F"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La subasta se terminará en la ronda </w:t>
      </w:r>
      <m:oMath>
        <m:r>
          <w:rPr>
            <w:rFonts w:ascii="Cambria Math" w:hAnsi="Cambria Math" w:cs="Arial"/>
            <w:color w:val="000000" w:themeColor="text1"/>
          </w:rPr>
          <m:t>n</m:t>
        </m:r>
      </m:oMath>
      <w:r w:rsidRPr="00483BFD">
        <w:rPr>
          <w:rFonts w:ascii="Bookman Old Style" w:hAnsi="Bookman Old Style"/>
          <w:color w:val="000000" w:themeColor="text1"/>
        </w:rPr>
        <w:t xml:space="preserve"> cuando para ninguno de los productos se presente exceso de demanda. A cada comprador habilitado se le adjudicará una </w:t>
      </w:r>
      <w:r w:rsidRPr="00483BFD">
        <w:rPr>
          <w:rFonts w:ascii="Bookman Old Style" w:hAnsi="Bookman Old Style" w:cs="Arial"/>
          <w:color w:val="000000" w:themeColor="text1"/>
        </w:rPr>
        <w:t xml:space="preserve">cantidad igual a la suma de </w:t>
      </w:r>
      <m:oMath>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n</m:t>
            </m:r>
          </m:sup>
        </m:sSubSup>
      </m:oMath>
      <w:r w:rsidRPr="00483BFD">
        <w:rPr>
          <w:rFonts w:ascii="Bookman Old Style" w:hAnsi="Bookman Old Style" w:cs="Arial"/>
          <w:color w:val="000000" w:themeColor="text1"/>
        </w:rPr>
        <w:t xml:space="preserve"> y </w:t>
      </w:r>
      <m:oMath>
        <m:sSubSup>
          <m:sSubSupPr>
            <m:ctrlPr>
              <w:rPr>
                <w:rFonts w:ascii="Cambria Math" w:hAnsi="Cambria Math" w:cs="Arial"/>
                <w:bCs/>
                <w:i/>
                <w:color w:val="000000" w:themeColor="text1"/>
              </w:rPr>
            </m:ctrlPr>
          </m:sSubSupPr>
          <m:e>
            <m:acc>
              <m:accPr>
                <m:ctrlPr>
                  <w:rPr>
                    <w:rFonts w:ascii="Cambria Math" w:hAnsi="Cambria Math" w:cs="Arial"/>
                    <w:i/>
                    <w:color w:val="000000" w:themeColor="text1"/>
                  </w:rPr>
                </m:ctrlPr>
              </m:accPr>
              <m:e>
                <m:r>
                  <w:rPr>
                    <w:rFonts w:ascii="Cambria Math" w:hAnsi="Cambria Math" w:cs="Arial"/>
                    <w:color w:val="000000" w:themeColor="text1"/>
                  </w:rPr>
                  <m:t>D</m:t>
                </m:r>
              </m:e>
            </m:acc>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n</m:t>
            </m:r>
          </m:sup>
        </m:sSubSup>
      </m:oMath>
      <w:r w:rsidRPr="00483BFD">
        <w:rPr>
          <w:rFonts w:ascii="Bookman Old Style" w:hAnsi="Bookman Old Style" w:cs="Arial"/>
          <w:bCs/>
          <w:color w:val="000000" w:themeColor="text1"/>
        </w:rPr>
        <w:t xml:space="preserve">. </w:t>
      </w:r>
      <w:r w:rsidRPr="00483BFD">
        <w:rPr>
          <w:rFonts w:ascii="Bookman Old Style" w:hAnsi="Bookman Old Style"/>
          <w:color w:val="000000" w:themeColor="text1"/>
        </w:rPr>
        <w:t xml:space="preserve">La </w:t>
      </w:r>
      <w:r w:rsidRPr="00483BFD">
        <w:rPr>
          <w:rFonts w:ascii="Bookman Old Style" w:hAnsi="Bookman Old Style" w:cs="Arial"/>
          <w:color w:val="000000" w:themeColor="text1"/>
        </w:rPr>
        <w:t xml:space="preserve">cantidad </w:t>
      </w:r>
      <m:oMath>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n</m:t>
            </m:r>
          </m:sup>
        </m:sSubSup>
      </m:oMath>
      <w:r w:rsidRPr="00483BFD">
        <w:rPr>
          <w:rFonts w:ascii="Bookman Old Style" w:hAnsi="Bookman Old Style" w:cs="Arial"/>
          <w:bCs/>
          <w:color w:val="000000" w:themeColor="text1"/>
        </w:rPr>
        <w:t xml:space="preserve"> se le asignará </w:t>
      </w:r>
      <w:r w:rsidRPr="00483BFD">
        <w:rPr>
          <w:rFonts w:ascii="Bookman Old Style" w:hAnsi="Bookman Old Style"/>
          <w:color w:val="000000" w:themeColor="text1"/>
        </w:rPr>
        <w:t xml:space="preserve">al precio de cierre de la ronda </w:t>
      </w:r>
      <m:oMath>
        <m:r>
          <w:rPr>
            <w:rFonts w:ascii="Cambria Math" w:hAnsi="Cambria Math" w:cs="Arial"/>
            <w:color w:val="000000" w:themeColor="text1"/>
          </w:rPr>
          <m:t>n</m:t>
        </m:r>
      </m:oMath>
      <w:r w:rsidRPr="00483BFD">
        <w:rPr>
          <w:rFonts w:ascii="Bookman Old Style" w:hAnsi="Bookman Old Style"/>
          <w:color w:val="000000" w:themeColor="text1"/>
        </w:rPr>
        <w:t xml:space="preserve">, </w:t>
      </w:r>
      <m:oMath>
        <m:sSubSup>
          <m:sSubSupPr>
            <m:ctrlPr>
              <w:rPr>
                <w:rFonts w:ascii="Cambria Math" w:hAnsi="Cambria Math" w:cs="Arial"/>
                <w:bCs/>
                <w:i/>
                <w:color w:val="000000" w:themeColor="text1"/>
              </w:rPr>
            </m:ctrlPr>
          </m:sSubSupPr>
          <m:e>
            <m:r>
              <w:rPr>
                <w:rFonts w:ascii="Cambria Math" w:hAnsi="Cambria Math" w:cs="Arial"/>
                <w:color w:val="000000" w:themeColor="text1"/>
              </w:rPr>
              <m:t>p</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oMath>
      <w:r w:rsidRPr="00483BFD">
        <w:rPr>
          <w:rFonts w:ascii="Bookman Old Style" w:hAnsi="Bookman Old Style"/>
          <w:bCs/>
          <w:color w:val="000000" w:themeColor="text1"/>
        </w:rPr>
        <w:t xml:space="preserve">, y la </w:t>
      </w:r>
      <w:r w:rsidRPr="00483BFD">
        <w:rPr>
          <w:rFonts w:ascii="Bookman Old Style" w:hAnsi="Bookman Old Style" w:cs="Arial"/>
          <w:color w:val="000000" w:themeColor="text1"/>
        </w:rPr>
        <w:t xml:space="preserve">cantidad </w:t>
      </w:r>
      <m:oMath>
        <m:sSubSup>
          <m:sSubSupPr>
            <m:ctrlPr>
              <w:rPr>
                <w:rFonts w:ascii="Cambria Math" w:hAnsi="Cambria Math" w:cs="Arial"/>
                <w:bCs/>
                <w:i/>
                <w:color w:val="000000" w:themeColor="text1"/>
              </w:rPr>
            </m:ctrlPr>
          </m:sSubSupPr>
          <m:e>
            <m:acc>
              <m:accPr>
                <m:ctrlPr>
                  <w:rPr>
                    <w:rFonts w:ascii="Cambria Math" w:hAnsi="Cambria Math" w:cs="Arial"/>
                    <w:i/>
                    <w:color w:val="000000" w:themeColor="text1"/>
                  </w:rPr>
                </m:ctrlPr>
              </m:accPr>
              <m:e>
                <m:r>
                  <w:rPr>
                    <w:rFonts w:ascii="Cambria Math" w:hAnsi="Cambria Math" w:cs="Arial"/>
                    <w:color w:val="000000" w:themeColor="text1"/>
                  </w:rPr>
                  <m:t>D</m:t>
                </m:r>
              </m:e>
            </m:acc>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n</m:t>
            </m:r>
          </m:sup>
        </m:sSubSup>
      </m:oMath>
      <w:r w:rsidRPr="00483BFD">
        <w:rPr>
          <w:rFonts w:ascii="Bookman Old Style" w:hAnsi="Bookman Old Style" w:cs="Arial"/>
          <w:bCs/>
          <w:color w:val="000000" w:themeColor="text1"/>
        </w:rPr>
        <w:t xml:space="preserve"> se le asignará al </w:t>
      </w:r>
      <w:r w:rsidRPr="00483BFD">
        <w:rPr>
          <w:rFonts w:ascii="Bookman Old Style" w:hAnsi="Bookman Old Style" w:cs="Arial"/>
          <w:color w:val="000000" w:themeColor="text1"/>
        </w:rPr>
        <w:t xml:space="preserve">precio </w:t>
      </w:r>
      <m:oMath>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r>
              <w:rPr>
                <w:rFonts w:ascii="Cambria Math" w:hAnsi="Cambria Math" w:cs="Arial"/>
                <w:color w:val="000000" w:themeColor="text1"/>
              </w:rPr>
              <m:t>'</m:t>
            </m:r>
          </m:sub>
          <m:sup>
            <m:r>
              <w:rPr>
                <w:rFonts w:ascii="Cambria Math" w:hAnsi="Cambria Math" w:cs="Arial"/>
                <w:color w:val="000000" w:themeColor="text1"/>
              </w:rPr>
              <m:t>n</m:t>
            </m:r>
          </m:sup>
        </m:sSubSup>
      </m:oMath>
      <w:r w:rsidRPr="00483BFD">
        <w:rPr>
          <w:rFonts w:ascii="Bookman Old Style" w:hAnsi="Bookman Old Style"/>
          <w:color w:val="000000" w:themeColor="text1"/>
        </w:rPr>
        <w:t>.</w:t>
      </w:r>
    </w:p>
    <w:p w14:paraId="20E149D1" w14:textId="77777777" w:rsidR="005C0F94" w:rsidRPr="00483BFD" w:rsidRDefault="005C0F94" w:rsidP="005C0F94">
      <w:pPr>
        <w:ind w:left="0"/>
        <w:jc w:val="both"/>
        <w:rPr>
          <w:rFonts w:ascii="Bookman Old Style" w:hAnsi="Bookman Old Style"/>
          <w:color w:val="000000" w:themeColor="text1"/>
        </w:rPr>
      </w:pPr>
    </w:p>
    <w:p w14:paraId="7DD9A692"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200" w:name="_Ref336367102"/>
      <w:r w:rsidRPr="00483BFD">
        <w:rPr>
          <w:rFonts w:ascii="Bookman Old Style" w:hAnsi="Bookman Old Style"/>
          <w:color w:val="000000" w:themeColor="text1"/>
          <w:sz w:val="24"/>
          <w:szCs w:val="24"/>
        </w:rPr>
        <w:lastRenderedPageBreak/>
        <w:t>Reglas de racionamiento</w:t>
      </w:r>
      <w:bookmarkEnd w:id="200"/>
    </w:p>
    <w:p w14:paraId="21D83277" w14:textId="77777777" w:rsidR="005C0F94" w:rsidRPr="00483BFD" w:rsidRDefault="005C0F94" w:rsidP="005C0F94">
      <w:pPr>
        <w:ind w:left="0"/>
        <w:jc w:val="both"/>
        <w:rPr>
          <w:rFonts w:ascii="Bookman Old Style" w:hAnsi="Bookman Old Style"/>
          <w:color w:val="000000" w:themeColor="text1"/>
        </w:rPr>
      </w:pPr>
    </w:p>
    <w:p w14:paraId="7E14C9C8" w14:textId="77777777" w:rsidR="005C0F94" w:rsidRPr="00483BFD" w:rsidRDefault="005C0F94" w:rsidP="005C0F94">
      <w:pPr>
        <w:numPr>
          <w:ilvl w:val="0"/>
          <w:numId w:val="209"/>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Regla de asignación para los vendedores habilitados que presenten el precio de reserva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Pr="00483BFD">
        <w:rPr>
          <w:rFonts w:ascii="Bookman Old Style" w:hAnsi="Bookman Old Style" w:cs="Arial"/>
          <w:color w:val="000000" w:themeColor="text1"/>
        </w:rPr>
        <w:t xml:space="preserve">: Si para 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se presenta exceso de oferta desde la ronda cero (0) hasta la ronda </w:t>
      </w:r>
      <m:oMath>
        <m:r>
          <w:rPr>
            <w:rFonts w:ascii="Cambria Math" w:hAnsi="Cambria Math" w:cs="Arial"/>
            <w:color w:val="000000" w:themeColor="text1"/>
          </w:rPr>
          <m:t>n</m:t>
        </m:r>
      </m:oMath>
      <w:r w:rsidRPr="00483BFD">
        <w:rPr>
          <w:rFonts w:ascii="Bookman Old Style" w:hAnsi="Bookman Old Style" w:cs="Arial"/>
          <w:color w:val="000000" w:themeColor="text1"/>
        </w:rPr>
        <w:t xml:space="preserve">, a cada vendedor habilitado con precio de reserva </w:t>
      </w:r>
      <m:oMath>
        <m:sSub>
          <m:sSubPr>
            <m:ctrlPr>
              <w:rPr>
                <w:rFonts w:ascii="Cambria Math" w:hAnsi="Cambria Math" w:cs="Arial"/>
                <w:i/>
                <w:color w:val="000000" w:themeColor="text1"/>
              </w:rPr>
            </m:ctrlPr>
          </m:sSubPr>
          <m:e>
            <m:r>
              <w:rPr>
                <w:rFonts w:ascii="Cambria Math" w:hAnsi="Cambria Math" w:cs="Arial"/>
                <w:color w:val="000000" w:themeColor="text1"/>
              </w:rPr>
              <m:t>PR</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f,d,s1</m:t>
                </m:r>
              </m:sub>
            </m:sSub>
          </m:sub>
        </m:sSub>
      </m:oMath>
      <w:r w:rsidRPr="00483BFD">
        <w:rPr>
          <w:rFonts w:ascii="Bookman Old Style" w:hAnsi="Bookman Old Style" w:cs="Arial"/>
          <w:color w:val="000000" w:themeColor="text1"/>
        </w:rPr>
        <w:t xml:space="preserve"> que ofrezca dicho producto se le racionará una cantidad tal que se elimine el exceso de oferta, así:</w:t>
      </w:r>
    </w:p>
    <w:p w14:paraId="7E8DF397" w14:textId="77777777" w:rsidR="005C0F94" w:rsidRPr="00483BFD" w:rsidRDefault="005C0F94" w:rsidP="005C0F94">
      <w:pPr>
        <w:ind w:left="1134"/>
        <w:jc w:val="both"/>
        <w:rPr>
          <w:rFonts w:ascii="Bookman Old Style" w:hAnsi="Bookman Old Style"/>
          <w:color w:val="000000" w:themeColor="text1"/>
        </w:rPr>
      </w:pPr>
    </w:p>
    <w:p w14:paraId="26C6E477" w14:textId="77777777" w:rsidR="005C0F94" w:rsidRPr="00483BFD" w:rsidRDefault="00FB7B28" w:rsidP="005C0F94">
      <w:pPr>
        <w:ind w:left="1134"/>
        <w:jc w:val="both"/>
        <w:rPr>
          <w:rFonts w:ascii="Bookman Old Style" w:hAnsi="Bookman Old Style"/>
          <w:color w:val="000000" w:themeColor="text1"/>
        </w:rPr>
      </w:pPr>
      <m:oMathPara>
        <m:oMath>
          <m:sSub>
            <m:sSubPr>
              <m:ctrlPr>
                <w:rPr>
                  <w:rFonts w:ascii="Cambria Math" w:hAnsi="Cambria Math" w:cs="Arial"/>
                  <w:i/>
                  <w:color w:val="000000" w:themeColor="text1"/>
                </w:rPr>
              </m:ctrlPr>
            </m:sSubPr>
            <m:e>
              <m:acc>
                <m:accPr>
                  <m:chr m:val="̅"/>
                  <m:ctrlPr>
                    <w:rPr>
                      <w:rFonts w:ascii="Cambria Math" w:hAnsi="Cambria Math" w:cs="Arial"/>
                      <w:i/>
                      <w:color w:val="000000" w:themeColor="text1"/>
                    </w:rPr>
                  </m:ctrlPr>
                </m:accPr>
                <m:e>
                  <m:r>
                    <w:rPr>
                      <w:rFonts w:ascii="Cambria Math" w:hAnsi="Cambria Math" w:cs="Arial"/>
                      <w:color w:val="000000" w:themeColor="text1"/>
                    </w:rPr>
                    <m:t>O</m:t>
                  </m:r>
                </m:e>
              </m:acc>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m:t>
                  </m:r>
                </m:sub>
              </m:sSub>
            </m:sub>
          </m:sSub>
          <m:r>
            <w:rPr>
              <w:rFonts w:ascii="Cambria Math" w:hAnsi="Cambria Math"/>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m:t>
                  </m:r>
                </m:sub>
              </m:sSub>
            </m:sub>
          </m:sSub>
          <m:r>
            <w:rPr>
              <w:rFonts w:ascii="Cambria Math" w:hAnsi="Cambria Math" w:cs="Arial"/>
              <w:color w:val="000000" w:themeColor="text1"/>
            </w:rPr>
            <m:t>×</m:t>
          </m:r>
          <m:f>
            <m:fPr>
              <m:ctrlPr>
                <w:rPr>
                  <w:rFonts w:ascii="Cambria Math" w:hAnsi="Cambria Math" w:cs="Arial"/>
                  <w:i/>
                  <w:color w:val="000000" w:themeColor="text1"/>
                </w:rPr>
              </m:ctrlPr>
            </m:fPr>
            <m:num>
              <m:nary>
                <m:naryPr>
                  <m:chr m:val="∑"/>
                  <m:limLoc m:val="undOvr"/>
                  <m:supHide m:val="1"/>
                  <m:ctrlPr>
                    <w:rPr>
                      <w:rFonts w:ascii="Cambria Math" w:hAnsi="Cambria Math" w:cs="Arial"/>
                      <w:i/>
                      <w:color w:val="000000" w:themeColor="text1"/>
                    </w:rPr>
                  </m:ctrlPr>
                </m:naryPr>
                <m:sub>
                  <m:r>
                    <w:rPr>
                      <w:rFonts w:ascii="Cambria Math" w:hAnsi="Cambria Math" w:cs="Arial"/>
                      <w:color w:val="000000" w:themeColor="text1"/>
                    </w:rPr>
                    <m:t>b</m:t>
                  </m:r>
                </m:sub>
                <m:sup/>
                <m:e>
                  <m:sSubSup>
                    <m:sSubSupPr>
                      <m:ctrlPr>
                        <w:rPr>
                          <w:rFonts w:ascii="Cambria Math" w:hAnsi="Cambria Math" w:cs="Arial"/>
                          <w:bCs/>
                          <w:i/>
                          <w:color w:val="000000" w:themeColor="text1"/>
                        </w:rPr>
                      </m:ctrlPr>
                    </m:sSubSupPr>
                    <m:e>
                      <m:r>
                        <w:rPr>
                          <w:rFonts w:ascii="Cambria Math" w:hAnsi="Cambria Math" w:cs="Arial"/>
                          <w:color w:val="000000" w:themeColor="text1"/>
                        </w:rPr>
                        <m:t>D</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f,d,b</m:t>
                          </m:r>
                        </m:sub>
                      </m:sSub>
                    </m:sub>
                    <m:sup>
                      <m:r>
                        <w:rPr>
                          <w:rFonts w:ascii="Cambria Math" w:hAnsi="Cambria Math" w:cs="Arial"/>
                          <w:color w:val="000000" w:themeColor="text1"/>
                        </w:rPr>
                        <m:t>n</m:t>
                      </m:r>
                    </m:sup>
                  </m:sSubSup>
                </m:e>
              </m:nary>
            </m:num>
            <m:den>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r>
                <w:rPr>
                  <w:rFonts w:ascii="Cambria Math" w:hAnsi="Cambria Math" w:cs="Arial"/>
                  <w:color w:val="000000" w:themeColor="text1"/>
                </w:rPr>
                <m:t>)</m:t>
              </m:r>
            </m:den>
          </m:f>
        </m:oMath>
      </m:oMathPara>
    </w:p>
    <w:p w14:paraId="37375F68" w14:textId="77777777" w:rsidR="005C0F94" w:rsidRPr="00483BFD" w:rsidRDefault="005C0F94" w:rsidP="005C0F94">
      <w:pPr>
        <w:ind w:left="1134"/>
        <w:jc w:val="both"/>
        <w:rPr>
          <w:rFonts w:ascii="Bookman Old Style" w:hAnsi="Bookman Old Style"/>
          <w:color w:val="000000" w:themeColor="text1"/>
        </w:rPr>
      </w:pPr>
    </w:p>
    <w:p w14:paraId="6253D8C5" w14:textId="77777777" w:rsidR="005C0F94" w:rsidRPr="00483BFD" w:rsidRDefault="005C0F94" w:rsidP="005C0F94">
      <w:pPr>
        <w:ind w:left="1134"/>
        <w:jc w:val="both"/>
        <w:rPr>
          <w:rFonts w:ascii="Bookman Old Style" w:hAnsi="Bookman Old Style"/>
          <w:color w:val="000000" w:themeColor="text1"/>
        </w:rPr>
      </w:pPr>
      <w:r w:rsidRPr="00483BFD">
        <w:rPr>
          <w:rFonts w:ascii="Bookman Old Style" w:hAnsi="Bookman Old Style"/>
          <w:color w:val="000000" w:themeColor="text1"/>
        </w:rPr>
        <w:t>Donde:</w:t>
      </w:r>
    </w:p>
    <w:p w14:paraId="45AFDC0D" w14:textId="77777777" w:rsidR="005C0F94" w:rsidRPr="00483BFD" w:rsidRDefault="005C0F94" w:rsidP="005C0F94">
      <w:pPr>
        <w:ind w:left="1077"/>
        <w:jc w:val="both"/>
        <w:rPr>
          <w:rFonts w:ascii="Bookman Old Style" w:hAnsi="Bookman Old Style"/>
          <w:color w:val="000000" w:themeColor="text1"/>
        </w:rPr>
      </w:pPr>
    </w:p>
    <w:p w14:paraId="0699BA70" w14:textId="77777777" w:rsidR="005C0F94" w:rsidRPr="00483BFD" w:rsidRDefault="00FB7B28" w:rsidP="005C0F94">
      <w:pPr>
        <w:ind w:left="2552" w:hanging="1418"/>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acc>
              <m:accPr>
                <m:chr m:val="̅"/>
                <m:ctrlPr>
                  <w:rPr>
                    <w:rFonts w:ascii="Cambria Math" w:hAnsi="Cambria Math" w:cs="Arial"/>
                    <w:i/>
                    <w:color w:val="000000" w:themeColor="text1"/>
                  </w:rPr>
                </m:ctrlPr>
              </m:accPr>
              <m:e>
                <m:r>
                  <w:rPr>
                    <w:rFonts w:ascii="Cambria Math" w:hAnsi="Cambria Math" w:cs="Arial"/>
                    <w:color w:val="000000" w:themeColor="text1"/>
                  </w:rPr>
                  <m:t>O</m:t>
                </m:r>
              </m:e>
            </m:acc>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m:t>
                </m:r>
              </m:sub>
            </m:sSub>
          </m:sub>
        </m:sSub>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b/>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asignada para la venta al vendedor habilitado </w:t>
      </w:r>
      <m:oMath>
        <m:r>
          <w:rPr>
            <w:rFonts w:ascii="Cambria Math" w:hAnsi="Cambria Math" w:cs="Arial"/>
            <w:color w:val="000000" w:themeColor="text1"/>
          </w:rPr>
          <m:t>s</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52921AC0" w14:textId="77777777" w:rsidR="005C0F94" w:rsidRPr="00483BFD" w:rsidRDefault="005C0F94" w:rsidP="005C0F94">
      <w:pPr>
        <w:ind w:left="2552" w:hanging="1418"/>
        <w:jc w:val="both"/>
        <w:rPr>
          <w:rFonts w:ascii="Bookman Old Style" w:hAnsi="Bookman Old Style"/>
          <w:color w:val="000000" w:themeColor="text1"/>
        </w:rPr>
      </w:pPr>
    </w:p>
    <w:p w14:paraId="4A191D34" w14:textId="77777777" w:rsidR="005C0F94" w:rsidRPr="00483BFD" w:rsidRDefault="00FB7B28" w:rsidP="005C0F94">
      <w:pPr>
        <w:ind w:left="2552" w:hanging="1418"/>
        <w:jc w:val="both"/>
        <w:outlineLvl w:val="0"/>
        <w:rPr>
          <w:rFonts w:ascii="Bookman Old Style" w:hAnsi="Bookman Old Style"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f,d,s</m:t>
                </m:r>
              </m:sub>
            </m:sSub>
          </m:sub>
        </m:sSub>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ofrecida en la subasta por parte del vendedor </w:t>
      </w:r>
      <m:oMath>
        <m:r>
          <w:rPr>
            <w:rFonts w:ascii="Cambria Math" w:hAnsi="Cambria Math" w:cs="Arial"/>
            <w:color w:val="000000" w:themeColor="text1"/>
          </w:rPr>
          <m:t>s</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40822B7B" w14:textId="77777777" w:rsidR="005C0F94" w:rsidRPr="00483BFD" w:rsidRDefault="005C0F94" w:rsidP="005C0F94">
      <w:pPr>
        <w:ind w:left="2552" w:hanging="1418"/>
        <w:jc w:val="both"/>
        <w:outlineLvl w:val="0"/>
        <w:rPr>
          <w:rFonts w:ascii="Bookman Old Style" w:hAnsi="Bookman Old Style" w:cs="Arial"/>
          <w:color w:val="000000" w:themeColor="text1"/>
        </w:rPr>
      </w:pPr>
    </w:p>
    <w:p w14:paraId="5CCAF47C" w14:textId="77777777" w:rsidR="005C0F94" w:rsidRPr="00483BFD" w:rsidRDefault="00FB7B28" w:rsidP="005C0F94">
      <w:pPr>
        <w:ind w:left="2552" w:hanging="1418"/>
        <w:jc w:val="both"/>
        <w:outlineLvl w:val="0"/>
        <w:rPr>
          <w:rFonts w:ascii="Bookman Old Style" w:hAnsi="Bookman Old Style" w:cs="Arial"/>
          <w:color w:val="000000" w:themeColor="text1"/>
        </w:rPr>
      </w:pPr>
      <m:oMath>
        <m:sSubSup>
          <m:sSubSupPr>
            <m:ctrlPr>
              <w:rPr>
                <w:rFonts w:ascii="Cambria Math" w:hAnsi="Cambria Math" w:cs="Arial"/>
                <w:bCs/>
                <w:i/>
                <w:color w:val="000000" w:themeColor="text1"/>
                <w:lang w:val="es-CO" w:eastAsia="x-none"/>
              </w:rPr>
            </m:ctrlPr>
          </m:sSubSupPr>
          <m:e>
            <m:r>
              <w:rPr>
                <w:rFonts w:ascii="Cambria Math" w:hAnsi="Cambria Math" w:cs="Arial"/>
                <w:color w:val="000000" w:themeColor="text1"/>
                <w:lang w:val="es-CO"/>
              </w:rPr>
              <m:t>D</m:t>
            </m:r>
          </m:e>
          <m:sub>
            <m:sSub>
              <m:sSubPr>
                <m:ctrlPr>
                  <w:rPr>
                    <w:rFonts w:ascii="Cambria Math" w:hAnsi="Cambria Math" w:cs="Arial"/>
                    <w:bCs/>
                    <w:i/>
                    <w:color w:val="000000" w:themeColor="text1"/>
                    <w:lang w:val="es-CO" w:eastAsia="x-none"/>
                  </w:rPr>
                </m:ctrlPr>
              </m:sSubPr>
              <m:e>
                <m:r>
                  <w:rPr>
                    <w:rFonts w:ascii="Cambria Math" w:hAnsi="Cambria Math" w:cs="Arial"/>
                    <w:color w:val="000000" w:themeColor="text1"/>
                    <w:lang w:val="es-CO"/>
                  </w:rPr>
                  <m:t>T</m:t>
                </m:r>
              </m:e>
              <m:sub>
                <m:r>
                  <w:rPr>
                    <w:rFonts w:ascii="Cambria Math" w:hAnsi="Cambria Math" w:cs="Arial"/>
                    <w:color w:val="000000" w:themeColor="text1"/>
                    <w:lang w:val="es-CO"/>
                  </w:rPr>
                  <m:t>f,d,b</m:t>
                </m:r>
              </m:sub>
            </m:sSub>
          </m:sub>
          <m:sup>
            <m:r>
              <w:rPr>
                <w:rFonts w:ascii="Cambria Math" w:hAnsi="Cambria Math" w:cs="Arial"/>
                <w:color w:val="000000" w:themeColor="text1"/>
                <w:lang w:val="es-CO"/>
              </w:rPr>
              <m:t>n</m:t>
            </m:r>
          </m:sup>
        </m:sSubSup>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solicitada en la ronda </w:t>
      </w:r>
      <m:oMath>
        <m:r>
          <w:rPr>
            <w:rFonts w:ascii="Cambria Math" w:hAnsi="Cambria Math" w:cs="Arial"/>
            <w:color w:val="000000" w:themeColor="text1"/>
          </w:rPr>
          <m:t>n</m:t>
        </m:r>
      </m:oMath>
      <w:r w:rsidR="005C0F94" w:rsidRPr="00483BFD">
        <w:rPr>
          <w:rFonts w:ascii="Bookman Old Style" w:hAnsi="Bookman Old Style" w:cs="Arial"/>
          <w:color w:val="000000" w:themeColor="text1"/>
        </w:rPr>
        <w:t xml:space="preserve"> por parte del comprador habilitado </w:t>
      </w:r>
      <m:oMath>
        <m:r>
          <w:rPr>
            <w:rFonts w:ascii="Cambria Math" w:hAnsi="Cambria Math" w:cs="Arial"/>
            <w:color w:val="000000" w:themeColor="text1"/>
          </w:rPr>
          <m:t>b</m:t>
        </m:r>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71121AFA" w14:textId="77777777" w:rsidR="005C0F94" w:rsidRPr="00483BFD" w:rsidRDefault="005C0F94" w:rsidP="005C0F94">
      <w:pPr>
        <w:ind w:left="2552" w:hanging="1418"/>
        <w:jc w:val="both"/>
        <w:outlineLvl w:val="0"/>
        <w:rPr>
          <w:rFonts w:ascii="Bookman Old Style" w:hAnsi="Bookman Old Style" w:cs="Arial"/>
          <w:i/>
          <w:color w:val="000000" w:themeColor="text1"/>
        </w:rPr>
      </w:pPr>
    </w:p>
    <w:p w14:paraId="5EA1D22B" w14:textId="77777777" w:rsidR="005C0F94" w:rsidRPr="00483BFD" w:rsidRDefault="00FB7B28" w:rsidP="005C0F94">
      <w:pPr>
        <w:ind w:left="2552" w:hanging="1418"/>
        <w:jc w:val="both"/>
        <w:outlineLvl w:val="0"/>
        <w:rPr>
          <w:rFonts w:ascii="Bookman Old Style" w:hAnsi="Bookman Old Style" w:cs="Arial"/>
          <w: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O</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Sub>
        <m:r>
          <w:rPr>
            <w:rFonts w:ascii="Cambria Math" w:hAnsi="Cambria Math" w:cs="Arial"/>
            <w:color w:val="000000" w:themeColor="text1"/>
          </w:rPr>
          <m:t>(</m:t>
        </m:r>
        <m:sSubSup>
          <m:sSubSupPr>
            <m:ctrlPr>
              <w:rPr>
                <w:rFonts w:ascii="Cambria Math" w:hAnsi="Cambria Math" w:cs="Arial"/>
                <w:i/>
                <w:color w:val="000000" w:themeColor="text1"/>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r>
          <w:rPr>
            <w:rFonts w:ascii="Cambria Math" w:hAnsi="Cambria Math" w:cs="Arial"/>
            <w:color w:val="000000" w:themeColor="text1"/>
          </w:rPr>
          <m:t>)</m:t>
        </m:r>
      </m:oMath>
      <w:r w:rsidR="005C0F94" w:rsidRPr="00483BFD">
        <w:rPr>
          <w:rFonts w:ascii="Bookman Old Style" w:hAnsi="Bookman Old Style" w:cs="Arial"/>
          <w:color w:val="000000" w:themeColor="text1"/>
        </w:rPr>
        <w:t>:</w:t>
      </w:r>
      <w:r w:rsidR="005C0F94" w:rsidRPr="00483BFD">
        <w:rPr>
          <w:rFonts w:ascii="Bookman Old Style" w:hAnsi="Bookman Old Style" w:cs="Arial"/>
          <w:color w:val="000000" w:themeColor="text1"/>
        </w:rPr>
        <w:tab/>
        <w:t xml:space="preserve">Cantidad de energía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005C0F94" w:rsidRPr="00483BFD">
        <w:rPr>
          <w:rFonts w:ascii="Bookman Old Style" w:hAnsi="Bookman Old Style" w:cs="Arial"/>
          <w:color w:val="000000" w:themeColor="text1"/>
        </w:rPr>
        <w:t xml:space="preserve"> ofrecida en la subasta por parte de todos los vendedores habilitados al precio </w:t>
      </w:r>
      <m:oMath>
        <m:sSubSup>
          <m:sSubSupPr>
            <m:ctrlPr>
              <w:rPr>
                <w:rFonts w:ascii="Cambria Math" w:hAnsi="Cambria Math" w:cs="Arial"/>
                <w:bCs/>
                <w:i/>
                <w:color w:val="000000" w:themeColor="text1"/>
                <w:lang w:val="x-none" w:eastAsia="x-none"/>
              </w:rPr>
            </m:ctrlPr>
          </m:sSubSupPr>
          <m:e>
            <m:r>
              <w:rPr>
                <w:rFonts w:ascii="Cambria Math" w:hAnsi="Cambria Math" w:cs="Arial"/>
                <w:color w:val="000000" w:themeColor="text1"/>
              </w:rPr>
              <m:t>p</m:t>
            </m:r>
          </m:e>
          <m:sub>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oMath>
      <w:r w:rsidR="005C0F94" w:rsidRPr="00483BFD">
        <w:rPr>
          <w:rFonts w:ascii="Bookman Old Style" w:hAnsi="Bookman Old Style" w:cs="Arial"/>
          <w:i/>
          <w:color w:val="000000" w:themeColor="text1"/>
        </w:rPr>
        <w:t>.</w:t>
      </w:r>
      <w:r w:rsidR="005C0F94" w:rsidRPr="00483BFD">
        <w:rPr>
          <w:rFonts w:ascii="Bookman Old Style" w:hAnsi="Bookman Old Style" w:cs="Arial"/>
          <w:color w:val="000000" w:themeColor="text1"/>
        </w:rPr>
        <w:t xml:space="preserve"> Este valor se expresará en MBTUD.</w:t>
      </w:r>
    </w:p>
    <w:p w14:paraId="0108A473" w14:textId="77777777" w:rsidR="005C0F94" w:rsidRPr="00483BFD" w:rsidRDefault="005C0F94" w:rsidP="005C0F94">
      <w:pPr>
        <w:ind w:left="0"/>
        <w:jc w:val="both"/>
        <w:rPr>
          <w:rFonts w:ascii="Bookman Old Style" w:hAnsi="Bookman Old Style"/>
          <w:color w:val="000000" w:themeColor="text1"/>
        </w:rPr>
      </w:pPr>
    </w:p>
    <w:p w14:paraId="439987AD" w14:textId="77777777" w:rsidR="005C0F94" w:rsidRPr="00483BFD" w:rsidRDefault="005C0F94" w:rsidP="005C0F94">
      <w:pPr>
        <w:numPr>
          <w:ilvl w:val="0"/>
          <w:numId w:val="209"/>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Regla de asignación para los vendedores habilitados con precio de reserva igual a </w:t>
      </w:r>
      <m:oMath>
        <m:sSubSup>
          <m:sSubSupPr>
            <m:ctrlPr>
              <w:rPr>
                <w:rFonts w:ascii="Cambria Math" w:hAnsi="Cambria Math" w:cs="Arial"/>
                <w:bCs/>
                <w:i/>
                <w:color w:val="000000" w:themeColor="text1"/>
              </w:rPr>
            </m:ctrlPr>
          </m:sSubSupPr>
          <m:e>
            <m:r>
              <w:rPr>
                <w:rFonts w:ascii="Cambria Math" w:hAnsi="Cambria Math" w:cs="Arial"/>
                <w:color w:val="000000" w:themeColor="text1"/>
              </w:rPr>
              <m:t>p</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oMath>
      <w:r w:rsidRPr="00483BFD">
        <w:rPr>
          <w:rFonts w:ascii="Bookman Old Style" w:hAnsi="Bookman Old Style" w:cs="Arial"/>
          <w:color w:val="000000" w:themeColor="text1"/>
        </w:rPr>
        <w:t xml:space="preserve">: si el precio de cierre de la ronda </w:t>
      </w:r>
      <m:oMath>
        <m:r>
          <w:rPr>
            <w:rFonts w:ascii="Cambria Math" w:hAnsi="Cambria Math" w:cs="Arial"/>
            <w:color w:val="000000" w:themeColor="text1"/>
          </w:rPr>
          <m:t>n</m:t>
        </m:r>
      </m:oMath>
      <w:r w:rsidRPr="00483BFD">
        <w:rPr>
          <w:rFonts w:ascii="Bookman Old Style" w:hAnsi="Bookman Old Style" w:cs="Arial"/>
          <w:color w:val="000000" w:themeColor="text1"/>
        </w:rPr>
        <w:t xml:space="preserve">, </w:t>
      </w:r>
      <m:oMath>
        <m:sSubSup>
          <m:sSubSupPr>
            <m:ctrlPr>
              <w:rPr>
                <w:rFonts w:ascii="Cambria Math" w:hAnsi="Cambria Math" w:cs="Arial"/>
                <w:bCs/>
                <w:i/>
                <w:color w:val="000000" w:themeColor="text1"/>
              </w:rPr>
            </m:ctrlPr>
          </m:sSubSupPr>
          <m:e>
            <m:r>
              <w:rPr>
                <w:rFonts w:ascii="Cambria Math" w:hAnsi="Cambria Math" w:cs="Arial"/>
                <w:color w:val="000000" w:themeColor="text1"/>
              </w:rPr>
              <m:t>p</m:t>
            </m:r>
          </m:e>
          <m:sub>
            <m:sSub>
              <m:sSubPr>
                <m:ctrlPr>
                  <w:rPr>
                    <w:rFonts w:ascii="Cambria Math" w:hAnsi="Cambria Math" w:cs="Arial"/>
                    <w:bCs/>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sub>
          <m:sup>
            <m:r>
              <w:rPr>
                <w:rFonts w:ascii="Cambria Math" w:hAnsi="Cambria Math" w:cs="Arial"/>
                <w:color w:val="000000" w:themeColor="text1"/>
              </w:rPr>
              <m:t>n</m:t>
            </m:r>
          </m:sup>
        </m:sSubSup>
      </m:oMath>
      <w:r w:rsidRPr="00483BFD">
        <w:rPr>
          <w:rFonts w:ascii="Bookman Old Style" w:hAnsi="Bookman Old Style"/>
          <w:bCs/>
          <w:color w:val="000000" w:themeColor="text1"/>
        </w:rPr>
        <w:t xml:space="preserve">, es igual al precio de reserva de un </w:t>
      </w:r>
      <w:r w:rsidRPr="00483BFD">
        <w:rPr>
          <w:rFonts w:ascii="Bookman Old Style" w:hAnsi="Bookman Old Style" w:cs="Arial"/>
          <w:color w:val="000000" w:themeColor="text1"/>
        </w:rPr>
        <w:t>vendedor habilitado y si como consecuencia de esto se genera un exceso de oferta en dicha ronda, al vendedor habilitado con el mencionado precio de reserva se le racionará una cantidad tal que se elimine el exceso de oferta. En caso de que dicho precio de reserva corresponda a más de un vendedor habilitado, la cantidad racionada a cada uno para eliminar el exceso de oferta se estimará a prorrata de la cantidad de energía ofrecida por cada uno de estos vendedores.</w:t>
      </w:r>
    </w:p>
    <w:p w14:paraId="73F6BEA7" w14:textId="77777777" w:rsidR="005C0F94" w:rsidRPr="00483BFD" w:rsidRDefault="005C0F94" w:rsidP="005C0F94">
      <w:pPr>
        <w:ind w:left="0"/>
        <w:jc w:val="both"/>
        <w:rPr>
          <w:rFonts w:ascii="Bookman Old Style" w:hAnsi="Bookman Old Style"/>
          <w:color w:val="000000" w:themeColor="text1"/>
        </w:rPr>
      </w:pPr>
    </w:p>
    <w:p w14:paraId="5BFD0AEC" w14:textId="77777777" w:rsidR="005C0F94" w:rsidRPr="00483BF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201" w:name="_Ref336367104"/>
      <w:r w:rsidRPr="00483BFD">
        <w:rPr>
          <w:rFonts w:ascii="Bookman Old Style" w:hAnsi="Bookman Old Style"/>
          <w:color w:val="000000" w:themeColor="text1"/>
          <w:sz w:val="24"/>
          <w:szCs w:val="24"/>
        </w:rPr>
        <w:t>Regla de minimización de contratos</w:t>
      </w:r>
      <w:bookmarkEnd w:id="201"/>
    </w:p>
    <w:p w14:paraId="1598DC20" w14:textId="77777777" w:rsidR="005C0F94" w:rsidRPr="00483BFD" w:rsidRDefault="005C0F94" w:rsidP="005C0F94">
      <w:pPr>
        <w:ind w:left="0"/>
        <w:rPr>
          <w:rFonts w:ascii="Bookman Old Style" w:hAnsi="Bookman Old Style"/>
          <w:color w:val="000000" w:themeColor="text1"/>
        </w:rPr>
      </w:pPr>
    </w:p>
    <w:p w14:paraId="244169AE"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Tras la terminación de la subasta, el administrador de la subasta definirá las partes de los contratos buscando minimizar el número de </w:t>
      </w:r>
      <w:proofErr w:type="gramStart"/>
      <w:r w:rsidRPr="00483BFD">
        <w:rPr>
          <w:rFonts w:ascii="Bookman Old Style" w:hAnsi="Bookman Old Style"/>
          <w:color w:val="000000" w:themeColor="text1"/>
        </w:rPr>
        <w:t>los mismos</w:t>
      </w:r>
      <w:proofErr w:type="gramEnd"/>
      <w:r w:rsidRPr="00483BFD">
        <w:rPr>
          <w:rFonts w:ascii="Bookman Old Style" w:hAnsi="Bookman Old Style"/>
          <w:color w:val="000000" w:themeColor="text1"/>
        </w:rPr>
        <w:t>. Para estos efectos el administrador de la subasta:</w:t>
      </w:r>
    </w:p>
    <w:p w14:paraId="7C7FF892" w14:textId="77777777" w:rsidR="005C0F94" w:rsidRPr="00483BFD" w:rsidRDefault="005C0F94" w:rsidP="005C0F94">
      <w:pPr>
        <w:ind w:left="0"/>
        <w:jc w:val="both"/>
        <w:rPr>
          <w:rFonts w:ascii="Bookman Old Style" w:hAnsi="Bookman Old Style"/>
          <w:color w:val="000000" w:themeColor="text1"/>
        </w:rPr>
      </w:pPr>
    </w:p>
    <w:p w14:paraId="546FFA5D" w14:textId="77777777" w:rsidR="005C0F94" w:rsidRPr="00483BFD" w:rsidRDefault="005C0F94" w:rsidP="005C0F94">
      <w:pPr>
        <w:numPr>
          <w:ilvl w:val="0"/>
          <w:numId w:val="145"/>
        </w:numPr>
        <w:autoSpaceDE w:val="0"/>
        <w:autoSpaceDN w:val="0"/>
        <w:adjustRightInd w:val="0"/>
        <w:ind w:left="1134" w:hanging="567"/>
        <w:jc w:val="both"/>
        <w:rPr>
          <w:rFonts w:ascii="Bookman Old Style" w:hAnsi="Bookman Old Style" w:cs="Arial"/>
          <w:color w:val="000000" w:themeColor="text1"/>
        </w:rPr>
      </w:pPr>
      <w:bookmarkStart w:id="202" w:name="_Ref361414901"/>
      <w:r w:rsidRPr="00483BFD">
        <w:rPr>
          <w:rFonts w:ascii="Bookman Old Style" w:hAnsi="Bookman Old Style" w:cs="Arial"/>
          <w:color w:val="000000" w:themeColor="text1"/>
        </w:rPr>
        <w:t xml:space="preserve">Hará una lista de los vendedores habilitados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dejando en el primer lugar a aquel con la mayor cantidad asignada para la venta </w:t>
      </w:r>
      <w:r w:rsidRPr="00483BFD">
        <w:rPr>
          <w:rFonts w:ascii="Bookman Old Style" w:hAnsi="Bookman Old Style" w:cs="Arial"/>
          <w:color w:val="000000" w:themeColor="text1"/>
        </w:rPr>
        <w:lastRenderedPageBreak/>
        <w:t>y en el último lugar a aquel con la menor cantidad asignada para la venta.</w:t>
      </w:r>
      <w:bookmarkEnd w:id="202"/>
      <w:r w:rsidRPr="00483BFD">
        <w:rPr>
          <w:rFonts w:ascii="Bookman Old Style" w:hAnsi="Bookman Old Style" w:cs="Arial"/>
          <w:color w:val="000000" w:themeColor="text1"/>
        </w:rPr>
        <w:t xml:space="preserve"> </w:t>
      </w:r>
    </w:p>
    <w:p w14:paraId="66E4AF67"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6E29F8A7" w14:textId="77777777" w:rsidR="005C0F94" w:rsidRPr="00483BFD" w:rsidRDefault="005C0F94" w:rsidP="005C0F94">
      <w:pPr>
        <w:numPr>
          <w:ilvl w:val="0"/>
          <w:numId w:val="145"/>
        </w:numPr>
        <w:autoSpaceDE w:val="0"/>
        <w:autoSpaceDN w:val="0"/>
        <w:adjustRightInd w:val="0"/>
        <w:ind w:left="1134" w:hanging="567"/>
        <w:jc w:val="both"/>
        <w:rPr>
          <w:rFonts w:ascii="Bookman Old Style" w:hAnsi="Bookman Old Style" w:cs="Arial"/>
          <w:color w:val="000000" w:themeColor="text1"/>
        </w:rPr>
      </w:pPr>
      <w:bookmarkStart w:id="203" w:name="_Ref361414904"/>
      <w:r w:rsidRPr="00483BFD">
        <w:rPr>
          <w:rFonts w:ascii="Bookman Old Style" w:hAnsi="Bookman Old Style" w:cs="Arial"/>
          <w:color w:val="000000" w:themeColor="text1"/>
        </w:rPr>
        <w:t xml:space="preserve">Hará una lista de los compradores habilitados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dejando en el primer lugar a aquel con la mayor cantidad asignada para la compra y en el último lugar a aquel con la menor cantidad asignada para la compra.</w:t>
      </w:r>
      <w:bookmarkEnd w:id="203"/>
      <w:r w:rsidRPr="00483BFD">
        <w:rPr>
          <w:rFonts w:ascii="Bookman Old Style" w:hAnsi="Bookman Old Style" w:cs="Arial"/>
          <w:color w:val="000000" w:themeColor="text1"/>
        </w:rPr>
        <w:t xml:space="preserve"> </w:t>
      </w:r>
    </w:p>
    <w:p w14:paraId="5B3510A2" w14:textId="77777777" w:rsidR="005C0F94" w:rsidRPr="00483BFD" w:rsidRDefault="005C0F94" w:rsidP="005C0F94">
      <w:pPr>
        <w:pStyle w:val="Prrafodelista"/>
        <w:rPr>
          <w:rFonts w:ascii="Bookman Old Style" w:hAnsi="Bookman Old Style" w:cs="Arial"/>
          <w:color w:val="000000" w:themeColor="text1"/>
          <w:sz w:val="24"/>
          <w:szCs w:val="24"/>
        </w:rPr>
      </w:pPr>
    </w:p>
    <w:p w14:paraId="1DCBFB55" w14:textId="16693E6A" w:rsidR="005C0F94" w:rsidRPr="00483BFD" w:rsidRDefault="005C0F94" w:rsidP="005C0F94">
      <w:pPr>
        <w:numPr>
          <w:ilvl w:val="0"/>
          <w:numId w:val="145"/>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Con base en estas listas determinará las partes de los contratos. El primer comprador habilitado de la lista suscribirá un contrato con el primer vendedor habilitado de la lista. Los siguientes compradores habilitados en la lista suscribirán contratos con los vendedores habilitados con las mayores cantidades residuales del producto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f,d</m:t>
            </m:r>
          </m:sub>
        </m:sSub>
      </m:oMath>
      <w:r w:rsidRPr="00483BFD">
        <w:rPr>
          <w:rFonts w:ascii="Bookman Old Style" w:hAnsi="Bookman Old Style" w:cs="Arial"/>
          <w:color w:val="000000" w:themeColor="text1"/>
        </w:rPr>
        <w:t xml:space="preserve">. Si a un comprador habilitado se le asignó una cantidad mayor a la asignada al respectivo vendedor habilitado, el </w:t>
      </w:r>
      <w:r w:rsidRPr="00483BFD">
        <w:rPr>
          <w:rFonts w:ascii="Bookman Old Style" w:hAnsi="Bookman Old Style"/>
          <w:color w:val="000000" w:themeColor="text1"/>
        </w:rPr>
        <w:t>administrador de la subasta</w:t>
      </w:r>
      <w:r w:rsidRPr="00483BFD">
        <w:rPr>
          <w:rFonts w:ascii="Bookman Old Style" w:hAnsi="Bookman Old Style" w:cs="Arial"/>
          <w:color w:val="000000" w:themeColor="text1"/>
        </w:rPr>
        <w:t xml:space="preserve"> determinará sus contrapartes buscando minimizar el número de contratos mediante los pasos de los literales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_Ref361414901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a)</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y </w:t>
      </w:r>
      <w:r w:rsidRPr="00483BFD">
        <w:rPr>
          <w:rFonts w:ascii="Bookman Old Style" w:hAnsi="Bookman Old Style" w:cs="Arial"/>
          <w:color w:val="000000" w:themeColor="text1"/>
        </w:rPr>
        <w:fldChar w:fldCharType="begin"/>
      </w:r>
      <w:r w:rsidRPr="00483BFD">
        <w:rPr>
          <w:rFonts w:ascii="Bookman Old Style" w:hAnsi="Bookman Old Style" w:cs="Arial"/>
          <w:color w:val="000000" w:themeColor="text1"/>
        </w:rPr>
        <w:instrText xml:space="preserve"> REF _Ref361414904 \r \h  \* MERGEFORMAT </w:instrText>
      </w:r>
      <w:r w:rsidRPr="00483BFD">
        <w:rPr>
          <w:rFonts w:ascii="Bookman Old Style" w:hAnsi="Bookman Old Style" w:cs="Arial"/>
          <w:color w:val="000000" w:themeColor="text1"/>
        </w:rPr>
      </w:r>
      <w:r w:rsidRPr="00483BFD">
        <w:rPr>
          <w:rFonts w:ascii="Bookman Old Style" w:hAnsi="Bookman Old Style" w:cs="Arial"/>
          <w:color w:val="000000" w:themeColor="text1"/>
        </w:rPr>
        <w:fldChar w:fldCharType="separate"/>
      </w:r>
      <w:r w:rsidR="00636B6A">
        <w:rPr>
          <w:rFonts w:ascii="Bookman Old Style" w:hAnsi="Bookman Old Style" w:cs="Arial"/>
          <w:color w:val="000000" w:themeColor="text1"/>
        </w:rPr>
        <w:t>b)</w:t>
      </w:r>
      <w:r w:rsidRPr="00483BFD">
        <w:rPr>
          <w:rFonts w:ascii="Bookman Old Style" w:hAnsi="Bookman Old Style" w:cs="Arial"/>
          <w:color w:val="000000" w:themeColor="text1"/>
        </w:rPr>
        <w:fldChar w:fldCharType="end"/>
      </w:r>
      <w:r w:rsidRPr="00483BFD">
        <w:rPr>
          <w:rFonts w:ascii="Bookman Old Style" w:hAnsi="Bookman Old Style" w:cs="Arial"/>
          <w:color w:val="000000" w:themeColor="text1"/>
        </w:rPr>
        <w:t xml:space="preserve"> anteriores.</w:t>
      </w:r>
    </w:p>
    <w:p w14:paraId="3575B59C" w14:textId="77777777" w:rsidR="005C0F94" w:rsidRPr="00483BFD" w:rsidRDefault="005C0F94" w:rsidP="005C0F94">
      <w:pPr>
        <w:ind w:left="0"/>
        <w:rPr>
          <w:rFonts w:ascii="Bookman Old Style" w:hAnsi="Bookman Old Style"/>
          <w:color w:val="000000" w:themeColor="text1"/>
        </w:rPr>
      </w:pPr>
    </w:p>
    <w:p w14:paraId="7FC4F151" w14:textId="77777777" w:rsidR="005C0F94" w:rsidRPr="00F503E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Una </w:t>
      </w:r>
      <w:r w:rsidRPr="00F503ED">
        <w:rPr>
          <w:rFonts w:ascii="Bookman Old Style" w:hAnsi="Bookman Old Style"/>
          <w:color w:val="000000" w:themeColor="text1"/>
        </w:rPr>
        <w:t>vez surtido este proceso, el administrador de la subasta expedirá los correspondientes certificados de asignación de cada uno de los productos.</w:t>
      </w:r>
    </w:p>
    <w:p w14:paraId="416AB3DA" w14:textId="77777777" w:rsidR="005C0F94" w:rsidRPr="00F503ED" w:rsidRDefault="005C0F94" w:rsidP="005C0F94">
      <w:pPr>
        <w:ind w:left="0"/>
        <w:rPr>
          <w:rFonts w:ascii="Bookman Old Style" w:hAnsi="Bookman Old Style"/>
          <w:color w:val="000000" w:themeColor="text1"/>
        </w:rPr>
      </w:pPr>
    </w:p>
    <w:p w14:paraId="35827CC0" w14:textId="4DA17739" w:rsidR="005C0F94" w:rsidRPr="00F503E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204" w:name="_Ref357784022"/>
      <w:r w:rsidRPr="00F503ED">
        <w:rPr>
          <w:rFonts w:ascii="Bookman Old Style" w:hAnsi="Bookman Old Style"/>
          <w:color w:val="000000" w:themeColor="text1"/>
          <w:sz w:val="24"/>
          <w:szCs w:val="24"/>
        </w:rPr>
        <w:t xml:space="preserve">Regla de </w:t>
      </w:r>
      <w:r w:rsidR="00B64E7D" w:rsidRPr="00F503ED">
        <w:rPr>
          <w:rFonts w:ascii="Bookman Old Style" w:hAnsi="Bookman Old Style"/>
          <w:b/>
          <w:bCs/>
          <w:color w:val="000000" w:themeColor="text1"/>
          <w:sz w:val="24"/>
          <w:szCs w:val="24"/>
        </w:rPr>
        <w:t>registro</w:t>
      </w:r>
      <w:r w:rsidR="00B64E7D" w:rsidRPr="00F503ED">
        <w:rPr>
          <w:rFonts w:ascii="Bookman Old Style" w:hAnsi="Bookman Old Style"/>
          <w:color w:val="000000" w:themeColor="text1"/>
          <w:sz w:val="24"/>
          <w:szCs w:val="24"/>
        </w:rPr>
        <w:t xml:space="preserve"> </w:t>
      </w:r>
      <w:r w:rsidRPr="00F503ED">
        <w:rPr>
          <w:rFonts w:ascii="Bookman Old Style" w:hAnsi="Bookman Old Style"/>
          <w:color w:val="000000" w:themeColor="text1"/>
          <w:sz w:val="24"/>
          <w:szCs w:val="24"/>
        </w:rPr>
        <w:t>de los contratos</w:t>
      </w:r>
      <w:bookmarkEnd w:id="204"/>
    </w:p>
    <w:p w14:paraId="69F8A152" w14:textId="77777777" w:rsidR="005C0F94" w:rsidRPr="00F503ED" w:rsidRDefault="005C0F94" w:rsidP="005C0F94">
      <w:pPr>
        <w:ind w:left="0"/>
        <w:rPr>
          <w:rFonts w:ascii="Bookman Old Style" w:hAnsi="Bookman Old Style"/>
          <w:color w:val="000000" w:themeColor="text1"/>
          <w:lang w:val="es-CO"/>
        </w:rPr>
      </w:pPr>
    </w:p>
    <w:p w14:paraId="0251C340" w14:textId="40BB5CFA" w:rsidR="005C0F94" w:rsidRPr="00F503ED" w:rsidRDefault="005C0F94" w:rsidP="005C0F94">
      <w:pPr>
        <w:ind w:left="0"/>
        <w:jc w:val="both"/>
        <w:rPr>
          <w:rFonts w:ascii="Bookman Old Style" w:hAnsi="Bookman Old Style"/>
          <w:color w:val="000000" w:themeColor="text1"/>
        </w:rPr>
      </w:pPr>
      <w:r w:rsidRPr="00F503ED">
        <w:rPr>
          <w:rFonts w:ascii="Bookman Old Style" w:hAnsi="Bookman Old Style"/>
          <w:color w:val="000000" w:themeColor="text1"/>
        </w:rPr>
        <w:t xml:space="preserve">Una vez la Dirección Ejecutiva </w:t>
      </w:r>
      <w:r w:rsidR="0006123B" w:rsidRPr="00F503ED">
        <w:rPr>
          <w:rFonts w:ascii="Bookman Old Style" w:hAnsi="Bookman Old Style"/>
          <w:b/>
          <w:bCs/>
          <w:color w:val="000000" w:themeColor="text1"/>
        </w:rPr>
        <w:t>de la CREG</w:t>
      </w:r>
      <w:r w:rsidR="0006123B" w:rsidRPr="00F503ED">
        <w:rPr>
          <w:rFonts w:ascii="Bookman Old Style" w:hAnsi="Bookman Old Style"/>
          <w:color w:val="000000" w:themeColor="text1"/>
        </w:rPr>
        <w:t xml:space="preserve"> </w:t>
      </w:r>
      <w:r w:rsidRPr="00F503ED">
        <w:rPr>
          <w:rFonts w:ascii="Bookman Old Style" w:hAnsi="Bookman Old Style"/>
          <w:color w:val="000000" w:themeColor="text1"/>
        </w:rPr>
        <w:t xml:space="preserve">publique </w:t>
      </w:r>
      <w:r w:rsidR="0006123B" w:rsidRPr="00F503ED">
        <w:rPr>
          <w:rFonts w:ascii="Bookman Old Style" w:hAnsi="Bookman Old Style"/>
          <w:b/>
          <w:bCs/>
          <w:color w:val="000000" w:themeColor="text1"/>
        </w:rPr>
        <w:t>la circular mediante la cual</w:t>
      </w:r>
      <w:r w:rsidR="0006123B" w:rsidRPr="00F503ED">
        <w:rPr>
          <w:rFonts w:ascii="Bookman Old Style" w:hAnsi="Bookman Old Style"/>
          <w:color w:val="000000" w:themeColor="text1"/>
        </w:rPr>
        <w:t xml:space="preserve"> informa a los agentes si </w:t>
      </w:r>
      <w:r w:rsidRPr="00F503ED">
        <w:rPr>
          <w:rFonts w:ascii="Bookman Old Style" w:hAnsi="Bookman Old Style"/>
          <w:color w:val="000000" w:themeColor="text1"/>
        </w:rPr>
        <w:t>el auditor de la subasta establec</w:t>
      </w:r>
      <w:r w:rsidR="0006123B" w:rsidRPr="00F503ED">
        <w:rPr>
          <w:rFonts w:ascii="Bookman Old Style" w:hAnsi="Bookman Old Style"/>
          <w:color w:val="000000" w:themeColor="text1"/>
        </w:rPr>
        <w:t xml:space="preserve">ió </w:t>
      </w:r>
      <w:r w:rsidRPr="00F503ED">
        <w:rPr>
          <w:rFonts w:ascii="Bookman Old Style" w:hAnsi="Bookman Old Style" w:cs="Arial"/>
          <w:color w:val="000000" w:themeColor="text1"/>
        </w:rPr>
        <w:t>que se dio cumplimiento a la regulación vigente aplicable a la subasta</w:t>
      </w:r>
      <w:r w:rsidRPr="00F503ED">
        <w:rPr>
          <w:rFonts w:ascii="Bookman Old Style" w:hAnsi="Bookman Old Style"/>
          <w:color w:val="000000" w:themeColor="text1"/>
        </w:rPr>
        <w:t>,</w:t>
      </w:r>
      <w:r w:rsidR="0006123B" w:rsidRPr="00F503ED">
        <w:rPr>
          <w:rFonts w:ascii="Bookman Old Style" w:hAnsi="Bookman Old Style"/>
          <w:b/>
          <w:bCs/>
          <w:color w:val="000000" w:themeColor="text1"/>
        </w:rPr>
        <w:t xml:space="preserve"> </w:t>
      </w:r>
      <w:r w:rsidRPr="00F503ED">
        <w:rPr>
          <w:rFonts w:ascii="Bookman Old Style" w:hAnsi="Bookman Old Style"/>
          <w:color w:val="000000" w:themeColor="text1"/>
        </w:rPr>
        <w:t xml:space="preserve">los compradores y vendedores contarán con </w:t>
      </w:r>
      <w:r w:rsidR="0006123B" w:rsidRPr="00F503ED">
        <w:rPr>
          <w:rFonts w:ascii="Bookman Old Style" w:hAnsi="Bookman Old Style"/>
          <w:b/>
          <w:bCs/>
          <w:color w:val="000000" w:themeColor="text1"/>
        </w:rPr>
        <w:t>tres</w:t>
      </w:r>
      <w:r w:rsidRPr="00F503ED">
        <w:rPr>
          <w:rFonts w:ascii="Bookman Old Style" w:hAnsi="Bookman Old Style"/>
          <w:b/>
          <w:bCs/>
          <w:color w:val="000000" w:themeColor="text1"/>
        </w:rPr>
        <w:t xml:space="preserve"> (</w:t>
      </w:r>
      <w:r w:rsidR="0006123B" w:rsidRPr="00F503ED">
        <w:rPr>
          <w:rFonts w:ascii="Bookman Old Style" w:hAnsi="Bookman Old Style"/>
          <w:b/>
          <w:bCs/>
          <w:color w:val="000000" w:themeColor="text1"/>
        </w:rPr>
        <w:t>3</w:t>
      </w:r>
      <w:r w:rsidRPr="00F503ED">
        <w:rPr>
          <w:rFonts w:ascii="Bookman Old Style" w:hAnsi="Bookman Old Style"/>
          <w:b/>
          <w:bCs/>
          <w:color w:val="000000" w:themeColor="text1"/>
        </w:rPr>
        <w:t>)</w:t>
      </w:r>
      <w:r w:rsidRPr="00F503ED">
        <w:rPr>
          <w:rFonts w:ascii="Bookman Old Style" w:hAnsi="Bookman Old Style"/>
          <w:color w:val="000000" w:themeColor="text1"/>
        </w:rPr>
        <w:t xml:space="preserve"> días hábiles para </w:t>
      </w:r>
      <w:r w:rsidR="00B64E7D" w:rsidRPr="00F503ED">
        <w:rPr>
          <w:rFonts w:ascii="Bookman Old Style" w:hAnsi="Bookman Old Style"/>
          <w:color w:val="000000" w:themeColor="text1"/>
        </w:rPr>
        <w:t xml:space="preserve">el </w:t>
      </w:r>
      <w:r w:rsidR="00B64E7D" w:rsidRPr="00F503ED">
        <w:rPr>
          <w:rFonts w:ascii="Bookman Old Style" w:hAnsi="Bookman Old Style"/>
          <w:b/>
          <w:bCs/>
          <w:color w:val="000000" w:themeColor="text1"/>
        </w:rPr>
        <w:t>registro ante el Gestor del Mercado</w:t>
      </w:r>
      <w:r w:rsidRPr="00F503ED">
        <w:rPr>
          <w:rFonts w:ascii="Bookman Old Style" w:hAnsi="Bookman Old Style"/>
          <w:b/>
          <w:bCs/>
          <w:color w:val="000000" w:themeColor="text1"/>
        </w:rPr>
        <w:t xml:space="preserve"> </w:t>
      </w:r>
      <w:r w:rsidRPr="00F503ED">
        <w:rPr>
          <w:rFonts w:ascii="Bookman Old Style" w:hAnsi="Bookman Old Style"/>
          <w:color w:val="000000" w:themeColor="text1"/>
        </w:rPr>
        <w:t>de los contratos</w:t>
      </w:r>
      <w:r w:rsidR="007078BE" w:rsidRPr="00F503ED">
        <w:rPr>
          <w:rFonts w:ascii="Bookman Old Style" w:hAnsi="Bookman Old Style"/>
          <w:color w:val="000000" w:themeColor="text1"/>
        </w:rPr>
        <w:t xml:space="preserve">. </w:t>
      </w:r>
      <w:r w:rsidR="007078BE" w:rsidRPr="00F503ED">
        <w:rPr>
          <w:rFonts w:ascii="Bookman Old Style" w:hAnsi="Bookman Old Style"/>
          <w:b/>
          <w:bCs/>
          <w:color w:val="000000" w:themeColor="text1"/>
        </w:rPr>
        <w:t xml:space="preserve">Para estos efectos, las partes </w:t>
      </w:r>
      <w:r w:rsidR="0006123B" w:rsidRPr="00F503ED">
        <w:rPr>
          <w:rFonts w:ascii="Bookman Old Style" w:hAnsi="Bookman Old Style"/>
          <w:b/>
          <w:bCs/>
          <w:color w:val="000000" w:themeColor="text1"/>
        </w:rPr>
        <w:t>utilizarán el contenido contractual publicado por el Gestor del Mercado previamente</w:t>
      </w:r>
      <w:r w:rsidRPr="00F503ED">
        <w:rPr>
          <w:rFonts w:ascii="Bookman Old Style" w:hAnsi="Bookman Old Style"/>
          <w:b/>
          <w:bCs/>
          <w:color w:val="000000" w:themeColor="text1"/>
        </w:rPr>
        <w:t xml:space="preserve">, </w:t>
      </w:r>
      <w:r w:rsidR="007078BE" w:rsidRPr="00F503ED">
        <w:rPr>
          <w:rFonts w:ascii="Bookman Old Style" w:hAnsi="Bookman Old Style"/>
          <w:b/>
          <w:bCs/>
          <w:color w:val="000000" w:themeColor="text1"/>
        </w:rPr>
        <w:t>y en caso tal de no llegar a un acuerdo</w:t>
      </w:r>
      <w:r w:rsidR="0006123B" w:rsidRPr="00F503ED">
        <w:rPr>
          <w:rFonts w:ascii="Bookman Old Style" w:hAnsi="Bookman Old Style"/>
          <w:b/>
          <w:bCs/>
          <w:color w:val="000000" w:themeColor="text1"/>
        </w:rPr>
        <w:t xml:space="preserve"> con respecto a las garantías,</w:t>
      </w:r>
      <w:r w:rsidR="007078BE" w:rsidRPr="00F503ED">
        <w:rPr>
          <w:rFonts w:ascii="Bookman Old Style" w:hAnsi="Bookman Old Style"/>
          <w:color w:val="000000" w:themeColor="text1"/>
        </w:rPr>
        <w:t xml:space="preserve"> </w:t>
      </w:r>
      <w:r w:rsidRPr="00F503ED">
        <w:rPr>
          <w:rFonts w:ascii="Bookman Old Style" w:hAnsi="Bookman Old Style"/>
          <w:color w:val="000000" w:themeColor="text1"/>
        </w:rPr>
        <w:t xml:space="preserve">se deberán constituir los mecanismos de cumplimiento de que trata el </w:t>
      </w:r>
      <w:r w:rsidRPr="00F503ED">
        <w:rPr>
          <w:rFonts w:ascii="Bookman Old Style" w:hAnsi="Bookman Old Style" w:cs="Arial"/>
          <w:color w:val="000000" w:themeColor="text1"/>
        </w:rPr>
        <w:t>numeral</w:t>
      </w:r>
      <w:r w:rsidRPr="00F503ED">
        <w:rPr>
          <w:rFonts w:ascii="Bookman Old Style" w:hAnsi="Bookman Old Style"/>
          <w:color w:val="000000" w:themeColor="text1"/>
        </w:rPr>
        <w:t xml:space="preserve"> </w:t>
      </w:r>
      <w:r w:rsidRPr="00F503ED">
        <w:rPr>
          <w:rFonts w:ascii="Bookman Old Style" w:hAnsi="Bookman Old Style"/>
          <w:color w:val="000000" w:themeColor="text1"/>
        </w:rPr>
        <w:fldChar w:fldCharType="begin"/>
      </w:r>
      <w:r w:rsidRPr="00F503ED">
        <w:rPr>
          <w:rFonts w:ascii="Bookman Old Style" w:hAnsi="Bookman Old Style"/>
          <w:color w:val="000000" w:themeColor="text1"/>
        </w:rPr>
        <w:instrText xml:space="preserve"> REF _Ref357780835 \r \h  \* MERGEFORMAT </w:instrText>
      </w:r>
      <w:r w:rsidRPr="00F503ED">
        <w:rPr>
          <w:rFonts w:ascii="Bookman Old Style" w:hAnsi="Bookman Old Style"/>
          <w:color w:val="000000" w:themeColor="text1"/>
        </w:rPr>
      </w:r>
      <w:r w:rsidRPr="00F503ED">
        <w:rPr>
          <w:rFonts w:ascii="Bookman Old Style" w:hAnsi="Bookman Old Style"/>
          <w:color w:val="000000" w:themeColor="text1"/>
        </w:rPr>
        <w:fldChar w:fldCharType="separate"/>
      </w:r>
      <w:r w:rsidR="00636B6A">
        <w:rPr>
          <w:rFonts w:ascii="Bookman Old Style" w:hAnsi="Bookman Old Style"/>
          <w:color w:val="000000" w:themeColor="text1"/>
        </w:rPr>
        <w:t>5.13.2</w:t>
      </w:r>
      <w:r w:rsidRPr="00F503ED">
        <w:rPr>
          <w:rFonts w:ascii="Bookman Old Style" w:hAnsi="Bookman Old Style"/>
          <w:color w:val="000000" w:themeColor="text1"/>
        </w:rPr>
        <w:fldChar w:fldCharType="end"/>
      </w:r>
      <w:r w:rsidRPr="00F503ED">
        <w:rPr>
          <w:rFonts w:ascii="Bookman Old Style" w:hAnsi="Bookman Old Style"/>
          <w:color w:val="000000" w:themeColor="text1"/>
        </w:rPr>
        <w:t xml:space="preserve"> de este Anexo. En estos contratos se deberán reflejar los resultados de la subasta.</w:t>
      </w:r>
    </w:p>
    <w:p w14:paraId="15BC166A" w14:textId="77777777" w:rsidR="005C0F94" w:rsidRPr="00F503ED" w:rsidRDefault="005C0F94" w:rsidP="005C0F94">
      <w:pPr>
        <w:ind w:left="0"/>
        <w:jc w:val="both"/>
        <w:rPr>
          <w:rFonts w:ascii="Bookman Old Style" w:hAnsi="Bookman Old Style"/>
          <w:color w:val="000000" w:themeColor="text1"/>
        </w:rPr>
      </w:pPr>
    </w:p>
    <w:p w14:paraId="6BB4A1C5" w14:textId="6BB1FD77" w:rsidR="005C0F94" w:rsidRPr="00F503ED" w:rsidRDefault="005C0F94" w:rsidP="005C0F94">
      <w:pPr>
        <w:ind w:left="0"/>
        <w:jc w:val="both"/>
        <w:rPr>
          <w:rFonts w:ascii="Bookman Old Style" w:hAnsi="Bookman Old Style"/>
          <w:color w:val="000000" w:themeColor="text1"/>
        </w:rPr>
      </w:pPr>
      <w:r w:rsidRPr="00F503ED">
        <w:rPr>
          <w:rFonts w:ascii="Bookman Old Style" w:hAnsi="Bookman Old Style"/>
          <w:color w:val="000000" w:themeColor="text1"/>
        </w:rPr>
        <w:t>Los vendedores y los compradores serán responsables de verificar la idoneidad de sus contrapartes, de acuerdo con los criterios objetivos que cada uno de ellos publique tres (3) semanas antes de la negociación mediante subasta. Los vendedores y los compradores sólo podrán abstenerse de suscribir un contrato cuando dicha verificación revele que su contraparte no cumple los mencionados criterios, caso en el cual deberán informarlo y soportarlo a la contraparte y a la autoridad competente, si fuera el caso</w:t>
      </w:r>
      <w:r w:rsidR="0084339E">
        <w:rPr>
          <w:rFonts w:ascii="Bookman Old Style" w:hAnsi="Bookman Old Style"/>
          <w:color w:val="000000" w:themeColor="text1"/>
        </w:rPr>
        <w:t>.</w:t>
      </w:r>
      <w:r w:rsidRPr="00F503ED">
        <w:rPr>
          <w:rFonts w:ascii="Bookman Old Style" w:hAnsi="Bookman Old Style"/>
          <w:color w:val="000000" w:themeColor="text1"/>
        </w:rPr>
        <w:t xml:space="preserve"> </w:t>
      </w:r>
      <w:r w:rsidR="0084339E">
        <w:rPr>
          <w:rFonts w:ascii="Bookman Old Style" w:hAnsi="Bookman Old Style"/>
          <w:color w:val="000000" w:themeColor="text1"/>
        </w:rPr>
        <w:t>E</w:t>
      </w:r>
      <w:r w:rsidRPr="00F503ED">
        <w:rPr>
          <w:rFonts w:ascii="Bookman Old Style" w:hAnsi="Bookman Old Style"/>
          <w:color w:val="000000" w:themeColor="text1"/>
        </w:rPr>
        <w:t>stos eventos no serán considerados un incumplimiento</w:t>
      </w:r>
      <w:r w:rsidR="537677AB" w:rsidRPr="00F503ED">
        <w:rPr>
          <w:rFonts w:ascii="Bookman Old Style" w:hAnsi="Bookman Old Style"/>
          <w:color w:val="000000" w:themeColor="text1"/>
        </w:rPr>
        <w:t xml:space="preserve"> </w:t>
      </w:r>
      <w:r w:rsidR="537677AB" w:rsidRPr="00F503ED">
        <w:rPr>
          <w:rFonts w:ascii="Bookman Old Style" w:hAnsi="Bookman Old Style"/>
          <w:b/>
          <w:bCs/>
          <w:color w:val="000000" w:themeColor="text1"/>
        </w:rPr>
        <w:t>de la parte que realiza la verificación</w:t>
      </w:r>
      <w:r w:rsidRPr="00F503ED">
        <w:rPr>
          <w:rFonts w:ascii="Bookman Old Style" w:hAnsi="Bookman Old Style"/>
          <w:b/>
          <w:bCs/>
          <w:color w:val="000000" w:themeColor="text1"/>
        </w:rPr>
        <w:t>.</w:t>
      </w:r>
    </w:p>
    <w:p w14:paraId="0BAEFB6E" w14:textId="77777777" w:rsidR="005C0F94" w:rsidRPr="00F503ED" w:rsidRDefault="005C0F94" w:rsidP="005C0F94">
      <w:pPr>
        <w:ind w:left="0"/>
        <w:rPr>
          <w:rFonts w:ascii="Bookman Old Style" w:hAnsi="Bookman Old Style"/>
          <w:color w:val="000000" w:themeColor="text1"/>
        </w:rPr>
      </w:pPr>
    </w:p>
    <w:p w14:paraId="52F05DFC" w14:textId="77777777" w:rsidR="005C0F94" w:rsidRPr="00F503ED" w:rsidRDefault="005C0F94" w:rsidP="005C0F94">
      <w:pPr>
        <w:pStyle w:val="Prrafodelista"/>
        <w:numPr>
          <w:ilvl w:val="1"/>
          <w:numId w:val="148"/>
        </w:numPr>
        <w:ind w:left="567" w:hanging="567"/>
        <w:rPr>
          <w:rFonts w:ascii="Bookman Old Style" w:hAnsi="Bookman Old Style"/>
          <w:color w:val="000000" w:themeColor="text1"/>
          <w:sz w:val="24"/>
          <w:szCs w:val="24"/>
        </w:rPr>
      </w:pPr>
      <w:bookmarkStart w:id="205" w:name="_Ref336847742"/>
      <w:r w:rsidRPr="00F503ED">
        <w:rPr>
          <w:rFonts w:ascii="Bookman Old Style" w:hAnsi="Bookman Old Style"/>
          <w:color w:val="000000" w:themeColor="text1"/>
          <w:sz w:val="24"/>
          <w:szCs w:val="24"/>
        </w:rPr>
        <w:t>Mecanismos de cubrimiento</w:t>
      </w:r>
      <w:bookmarkEnd w:id="205"/>
      <w:r w:rsidRPr="00F503ED">
        <w:rPr>
          <w:rFonts w:ascii="Bookman Old Style" w:hAnsi="Bookman Old Style"/>
          <w:color w:val="000000" w:themeColor="text1"/>
          <w:sz w:val="24"/>
          <w:szCs w:val="24"/>
        </w:rPr>
        <w:t xml:space="preserve"> y de verificación de idoneidad</w:t>
      </w:r>
    </w:p>
    <w:p w14:paraId="6A528122" w14:textId="77777777" w:rsidR="005C0F94" w:rsidRPr="00483BFD" w:rsidRDefault="005C0F94" w:rsidP="005C0F94">
      <w:pPr>
        <w:ind w:left="0"/>
        <w:jc w:val="both"/>
        <w:rPr>
          <w:rFonts w:ascii="Bookman Old Style" w:hAnsi="Bookman Old Style"/>
          <w:color w:val="000000" w:themeColor="text1"/>
        </w:rPr>
      </w:pPr>
    </w:p>
    <w:p w14:paraId="6ACB6C12" w14:textId="77777777" w:rsidR="005C0F94" w:rsidRPr="00483BFD" w:rsidRDefault="005C0F94" w:rsidP="005C0F94">
      <w:pPr>
        <w:pStyle w:val="Prrafodelista"/>
        <w:numPr>
          <w:ilvl w:val="2"/>
          <w:numId w:val="148"/>
        </w:numPr>
        <w:ind w:left="1134" w:hanging="1134"/>
        <w:jc w:val="both"/>
        <w:rPr>
          <w:rFonts w:ascii="Bookman Old Style" w:hAnsi="Bookman Old Style"/>
          <w:color w:val="000000" w:themeColor="text1"/>
          <w:sz w:val="24"/>
          <w:szCs w:val="24"/>
        </w:rPr>
      </w:pPr>
      <w:bookmarkStart w:id="206" w:name="_Ref337203593"/>
      <w:r w:rsidRPr="00483BFD">
        <w:rPr>
          <w:rFonts w:ascii="Bookman Old Style" w:hAnsi="Bookman Old Style"/>
          <w:color w:val="000000" w:themeColor="text1"/>
          <w:sz w:val="24"/>
          <w:szCs w:val="24"/>
        </w:rPr>
        <w:t>Mecanismos de cubrimiento para participar en la subasta</w:t>
      </w:r>
      <w:bookmarkEnd w:id="206"/>
    </w:p>
    <w:p w14:paraId="18FDD0FF" w14:textId="77777777" w:rsidR="005C0F94" w:rsidRPr="00483BFD" w:rsidRDefault="005C0F94" w:rsidP="005C0F94">
      <w:pPr>
        <w:ind w:left="0"/>
        <w:jc w:val="both"/>
        <w:rPr>
          <w:rFonts w:ascii="Bookman Old Style" w:hAnsi="Bookman Old Style"/>
          <w:color w:val="000000" w:themeColor="text1"/>
        </w:rPr>
      </w:pPr>
    </w:p>
    <w:p w14:paraId="5C479430" w14:textId="3E2C32E1"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Cada comprador deberá presentar al administrador de la subasta los mecanismos de cubrimiento para participar en la subasta que cubran: i) el riesgo de que el comprador no participe en la subasta; y ii) el riesgo de que el comprador que resulte con asignaciones en la subasta no presente los correspondientes mecanismos de cumplimiento de que trata el </w:t>
      </w:r>
      <w:r w:rsidRPr="00483BFD">
        <w:rPr>
          <w:rFonts w:ascii="Bookman Old Style" w:hAnsi="Bookman Old Style" w:cs="Arial"/>
          <w:color w:val="000000" w:themeColor="text1"/>
        </w:rPr>
        <w:t>numeral</w:t>
      </w:r>
      <w:r w:rsidRPr="00483BFD">
        <w:rPr>
          <w:rFonts w:ascii="Bookman Old Style" w:hAnsi="Bookman Old Style"/>
          <w:color w:val="000000" w:themeColor="text1"/>
        </w:rPr>
        <w:t xml:space="preserve"> </w:t>
      </w:r>
      <w:r w:rsidRPr="00483BFD">
        <w:rPr>
          <w:rFonts w:ascii="Bookman Old Style" w:hAnsi="Bookman Old Style"/>
          <w:color w:val="000000" w:themeColor="text1"/>
        </w:rPr>
        <w:fldChar w:fldCharType="begin"/>
      </w:r>
      <w:r w:rsidRPr="00483BFD">
        <w:rPr>
          <w:rFonts w:ascii="Bookman Old Style" w:hAnsi="Bookman Old Style"/>
          <w:color w:val="000000" w:themeColor="text1"/>
        </w:rPr>
        <w:instrText xml:space="preserve"> REF _Ref357780835 \r \h  \* MERGEFORMAT </w:instrText>
      </w:r>
      <w:r w:rsidRPr="00483BFD">
        <w:rPr>
          <w:rFonts w:ascii="Bookman Old Style" w:hAnsi="Bookman Old Style"/>
          <w:color w:val="000000" w:themeColor="text1"/>
        </w:rPr>
      </w:r>
      <w:r w:rsidRPr="00483BFD">
        <w:rPr>
          <w:rFonts w:ascii="Bookman Old Style" w:hAnsi="Bookman Old Style"/>
          <w:color w:val="000000" w:themeColor="text1"/>
        </w:rPr>
        <w:fldChar w:fldCharType="separate"/>
      </w:r>
      <w:r w:rsidR="00636B6A">
        <w:rPr>
          <w:rFonts w:ascii="Bookman Old Style" w:hAnsi="Bookman Old Style"/>
          <w:color w:val="000000" w:themeColor="text1"/>
        </w:rPr>
        <w:t>5.13.2</w:t>
      </w:r>
      <w:r w:rsidRPr="00483BFD">
        <w:rPr>
          <w:rFonts w:ascii="Bookman Old Style" w:hAnsi="Bookman Old Style"/>
          <w:color w:val="000000" w:themeColor="text1"/>
        </w:rPr>
        <w:fldChar w:fldCharType="end"/>
      </w:r>
      <w:r w:rsidRPr="00483BFD">
        <w:rPr>
          <w:rFonts w:ascii="Bookman Old Style" w:hAnsi="Bookman Old Style"/>
          <w:color w:val="000000" w:themeColor="text1"/>
        </w:rPr>
        <w:t xml:space="preserve"> de este Anexo.</w:t>
      </w:r>
    </w:p>
    <w:p w14:paraId="410CCF34" w14:textId="77777777" w:rsidR="005C0F94" w:rsidRPr="00483BFD" w:rsidRDefault="005C0F94" w:rsidP="005C0F94">
      <w:pPr>
        <w:ind w:left="0"/>
        <w:jc w:val="both"/>
        <w:rPr>
          <w:rFonts w:ascii="Bookman Old Style" w:hAnsi="Bookman Old Style"/>
          <w:color w:val="000000" w:themeColor="text1"/>
        </w:rPr>
      </w:pPr>
    </w:p>
    <w:p w14:paraId="2375C899" w14:textId="21459010"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 xml:space="preserve">Cada vendedor deberá presentar al administrador de la subasta los mecanismos de cubrimiento para participar en la subasta que cubran: i) el riesgo de que el vendedor que resulte con asignaciones en la subasta no presente los correspondientes mecanismos de cumplimiento de que trata el </w:t>
      </w:r>
      <w:r w:rsidRPr="00483BFD">
        <w:rPr>
          <w:rFonts w:ascii="Bookman Old Style" w:hAnsi="Bookman Old Style" w:cs="Arial"/>
          <w:color w:val="000000" w:themeColor="text1"/>
        </w:rPr>
        <w:t>numeral</w:t>
      </w:r>
      <w:r w:rsidRPr="00483BFD">
        <w:rPr>
          <w:rFonts w:ascii="Bookman Old Style" w:hAnsi="Bookman Old Style"/>
          <w:color w:val="000000" w:themeColor="text1"/>
        </w:rPr>
        <w:t xml:space="preserve"> </w:t>
      </w:r>
      <w:r w:rsidRPr="00483BFD">
        <w:rPr>
          <w:rFonts w:ascii="Bookman Old Style" w:hAnsi="Bookman Old Style"/>
          <w:color w:val="000000" w:themeColor="text1"/>
        </w:rPr>
        <w:fldChar w:fldCharType="begin"/>
      </w:r>
      <w:r w:rsidRPr="00483BFD">
        <w:rPr>
          <w:rFonts w:ascii="Bookman Old Style" w:hAnsi="Bookman Old Style"/>
          <w:color w:val="000000" w:themeColor="text1"/>
        </w:rPr>
        <w:instrText xml:space="preserve"> REF _Ref357780835 \r \h  \* MERGEFORMAT </w:instrText>
      </w:r>
      <w:r w:rsidRPr="00483BFD">
        <w:rPr>
          <w:rFonts w:ascii="Bookman Old Style" w:hAnsi="Bookman Old Style"/>
          <w:color w:val="000000" w:themeColor="text1"/>
        </w:rPr>
      </w:r>
      <w:r w:rsidRPr="00483BFD">
        <w:rPr>
          <w:rFonts w:ascii="Bookman Old Style" w:hAnsi="Bookman Old Style"/>
          <w:color w:val="000000" w:themeColor="text1"/>
        </w:rPr>
        <w:fldChar w:fldCharType="separate"/>
      </w:r>
      <w:r w:rsidR="00636B6A">
        <w:rPr>
          <w:rFonts w:ascii="Bookman Old Style" w:hAnsi="Bookman Old Style"/>
          <w:color w:val="000000" w:themeColor="text1"/>
        </w:rPr>
        <w:t>5.13.2</w:t>
      </w:r>
      <w:r w:rsidRPr="00483BFD">
        <w:rPr>
          <w:rFonts w:ascii="Bookman Old Style" w:hAnsi="Bookman Old Style"/>
          <w:color w:val="000000" w:themeColor="text1"/>
        </w:rPr>
        <w:fldChar w:fldCharType="end"/>
      </w:r>
      <w:r w:rsidRPr="00483BFD">
        <w:rPr>
          <w:rFonts w:ascii="Bookman Old Style" w:hAnsi="Bookman Old Style"/>
          <w:color w:val="000000" w:themeColor="text1"/>
        </w:rPr>
        <w:t xml:space="preserve"> de este Anexo.</w:t>
      </w:r>
    </w:p>
    <w:p w14:paraId="789D4CBA" w14:textId="77777777" w:rsidR="005C0F94" w:rsidRPr="00483BFD" w:rsidRDefault="005C0F94" w:rsidP="005C0F94">
      <w:pPr>
        <w:ind w:left="0"/>
        <w:jc w:val="both"/>
        <w:rPr>
          <w:rFonts w:ascii="Bookman Old Style" w:hAnsi="Bookman Old Style"/>
          <w:color w:val="000000" w:themeColor="text1"/>
        </w:rPr>
      </w:pPr>
    </w:p>
    <w:p w14:paraId="45956FC9" w14:textId="5F3DB929" w:rsidR="005C0F94" w:rsidRPr="00F503E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El administrador de la subasta administrará los mecanismos de cubrimiento para participar en la subasta a través de un instrumento fiduciario</w:t>
      </w:r>
      <w:r w:rsidRPr="00483BFD">
        <w:rPr>
          <w:rFonts w:ascii="Bookman Old Style" w:hAnsi="Bookman Old Style" w:cs="Arial"/>
          <w:bCs/>
          <w:color w:val="000000" w:themeColor="text1"/>
        </w:rPr>
        <w:t xml:space="preserve"> regido por los </w:t>
      </w:r>
      <w:r w:rsidRPr="00F503ED">
        <w:rPr>
          <w:rFonts w:ascii="Bookman Old Style" w:hAnsi="Bookman Old Style" w:cs="Arial"/>
          <w:bCs/>
          <w:color w:val="000000" w:themeColor="text1"/>
        </w:rPr>
        <w:t xml:space="preserve">criterios </w:t>
      </w:r>
      <w:r w:rsidR="00FE6F1F" w:rsidRPr="00F503ED">
        <w:rPr>
          <w:rFonts w:ascii="Bookman Old Style" w:hAnsi="Bookman Old Style" w:cs="Arial"/>
          <w:b/>
          <w:color w:val="000000" w:themeColor="text1"/>
        </w:rPr>
        <w:t xml:space="preserve">definidos </w:t>
      </w:r>
      <w:r w:rsidR="008D715C" w:rsidRPr="00F503ED">
        <w:rPr>
          <w:rFonts w:ascii="Bookman Old Style" w:hAnsi="Bookman Old Style" w:cs="Arial"/>
          <w:b/>
          <w:color w:val="000000" w:themeColor="text1"/>
        </w:rPr>
        <w:t>en el Anexo 9 de la presente resolución</w:t>
      </w:r>
      <w:r w:rsidRPr="00F503ED">
        <w:rPr>
          <w:rFonts w:ascii="Bookman Old Style" w:hAnsi="Bookman Old Style"/>
          <w:color w:val="000000" w:themeColor="text1"/>
        </w:rPr>
        <w:t>. Este instrumento fiduciario recibirá y aprobará los mecanismos de cubrimiento, fungirá como su depositario, los ejecutará según instrucciones del administrador de la subasta y transferirá los recursos provenientes de la ejecución de los mecanismos de cubrimiento a quien lo indique el administrador de la subasta. Una vez el administrador de la subasta defina dicho instrumento, se lo informará a los participantes del mercado.</w:t>
      </w:r>
    </w:p>
    <w:p w14:paraId="10EE415F" w14:textId="77777777" w:rsidR="005C0F94" w:rsidRPr="00F503ED" w:rsidRDefault="005C0F94" w:rsidP="005C0F94">
      <w:pPr>
        <w:ind w:left="0"/>
        <w:jc w:val="both"/>
        <w:rPr>
          <w:rFonts w:ascii="Bookman Old Style" w:hAnsi="Bookman Old Style"/>
          <w:color w:val="000000" w:themeColor="text1"/>
        </w:rPr>
      </w:pPr>
    </w:p>
    <w:p w14:paraId="5EB0BA82" w14:textId="092581F9" w:rsidR="005C0F94" w:rsidRPr="00F503ED" w:rsidRDefault="005C0F94" w:rsidP="005C0F94">
      <w:pPr>
        <w:ind w:left="0"/>
        <w:jc w:val="both"/>
        <w:rPr>
          <w:rFonts w:ascii="Bookman Old Style" w:hAnsi="Bookman Old Style"/>
          <w:color w:val="000000" w:themeColor="text1"/>
        </w:rPr>
      </w:pPr>
      <w:r w:rsidRPr="00F503ED">
        <w:rPr>
          <w:rFonts w:ascii="Bookman Old Style" w:hAnsi="Bookman Old Style"/>
          <w:color w:val="000000" w:themeColor="text1"/>
        </w:rPr>
        <w:t>La propuesta de los productores-comercializadores en relación con los mecanismos de cubrimiento a los que se hace referencia en los dos (2) primeros incisos de este numeral</w:t>
      </w:r>
      <w:r w:rsidR="00CF1486">
        <w:rPr>
          <w:rFonts w:ascii="Bookman Old Style" w:hAnsi="Bookman Old Style"/>
          <w:color w:val="000000" w:themeColor="text1"/>
        </w:rPr>
        <w:t>,</w:t>
      </w:r>
      <w:r w:rsidRPr="00F503ED">
        <w:rPr>
          <w:rFonts w:ascii="Bookman Old Style" w:hAnsi="Bookman Old Style"/>
          <w:color w:val="000000" w:themeColor="text1"/>
        </w:rPr>
        <w:t xml:space="preserve"> deberá contemplar lo siguiente:</w:t>
      </w:r>
    </w:p>
    <w:p w14:paraId="3CEFF9A6" w14:textId="77777777" w:rsidR="005C0F94" w:rsidRPr="00F503ED" w:rsidRDefault="005C0F94" w:rsidP="005C0F94">
      <w:pPr>
        <w:ind w:left="0"/>
        <w:jc w:val="both"/>
        <w:rPr>
          <w:rFonts w:ascii="Bookman Old Style" w:hAnsi="Bookman Old Style"/>
          <w:color w:val="000000" w:themeColor="text1"/>
        </w:rPr>
      </w:pPr>
    </w:p>
    <w:p w14:paraId="5D4928C6" w14:textId="77777777" w:rsidR="005C0F94" w:rsidRPr="00F503ED" w:rsidRDefault="005C0F94" w:rsidP="005C0F94">
      <w:pPr>
        <w:numPr>
          <w:ilvl w:val="0"/>
          <w:numId w:val="146"/>
        </w:numPr>
        <w:autoSpaceDE w:val="0"/>
        <w:autoSpaceDN w:val="0"/>
        <w:adjustRightInd w:val="0"/>
        <w:ind w:left="1134" w:hanging="567"/>
        <w:jc w:val="both"/>
        <w:rPr>
          <w:rFonts w:ascii="Bookman Old Style" w:hAnsi="Bookman Old Style" w:cs="Arial"/>
          <w:color w:val="000000" w:themeColor="text1"/>
        </w:rPr>
      </w:pPr>
      <w:r w:rsidRPr="00F503ED">
        <w:rPr>
          <w:rFonts w:ascii="Bookman Old Style" w:hAnsi="Bookman Old Style" w:cs="Arial"/>
          <w:color w:val="000000" w:themeColor="text1"/>
        </w:rPr>
        <w:t>Mecanismos admisibles de cubrimiento para participar en la subasta.</w:t>
      </w:r>
    </w:p>
    <w:p w14:paraId="5AAE1B1B" w14:textId="77777777" w:rsidR="005C0F94" w:rsidRPr="00F503ED" w:rsidRDefault="005C0F94" w:rsidP="005C0F94">
      <w:pPr>
        <w:autoSpaceDE w:val="0"/>
        <w:autoSpaceDN w:val="0"/>
        <w:adjustRightInd w:val="0"/>
        <w:ind w:left="1134"/>
        <w:jc w:val="both"/>
        <w:rPr>
          <w:rFonts w:ascii="Bookman Old Style" w:hAnsi="Bookman Old Style" w:cs="Arial"/>
          <w:color w:val="000000" w:themeColor="text1"/>
        </w:rPr>
      </w:pPr>
    </w:p>
    <w:p w14:paraId="6452B937" w14:textId="77777777" w:rsidR="005C0F94" w:rsidRPr="00F503ED" w:rsidRDefault="005C0F94" w:rsidP="005C0F94">
      <w:pPr>
        <w:numPr>
          <w:ilvl w:val="0"/>
          <w:numId w:val="146"/>
        </w:numPr>
        <w:autoSpaceDE w:val="0"/>
        <w:autoSpaceDN w:val="0"/>
        <w:adjustRightInd w:val="0"/>
        <w:ind w:left="1134" w:hanging="567"/>
        <w:jc w:val="both"/>
        <w:rPr>
          <w:rFonts w:ascii="Bookman Old Style" w:hAnsi="Bookman Old Style" w:cs="Arial"/>
          <w:color w:val="000000" w:themeColor="text1"/>
        </w:rPr>
      </w:pPr>
      <w:r w:rsidRPr="00F503ED">
        <w:rPr>
          <w:rFonts w:ascii="Bookman Old Style" w:hAnsi="Bookman Old Style" w:cs="Arial"/>
          <w:color w:val="000000" w:themeColor="text1"/>
        </w:rPr>
        <w:t>Determinación del valor de la cobertura para participar en la subasta.</w:t>
      </w:r>
    </w:p>
    <w:p w14:paraId="54986E16" w14:textId="77777777" w:rsidR="005C0F94" w:rsidRPr="00F503ED" w:rsidRDefault="005C0F94" w:rsidP="005C0F94">
      <w:pPr>
        <w:ind w:left="0"/>
        <w:jc w:val="both"/>
        <w:rPr>
          <w:rFonts w:ascii="Bookman Old Style" w:hAnsi="Bookman Old Style"/>
          <w:color w:val="000000" w:themeColor="text1"/>
        </w:rPr>
      </w:pPr>
    </w:p>
    <w:p w14:paraId="76C42C8A" w14:textId="77777777" w:rsidR="005C0F94" w:rsidRPr="00F503ED" w:rsidRDefault="005C0F94" w:rsidP="005C0F94">
      <w:pPr>
        <w:pStyle w:val="Prrafodelista"/>
        <w:numPr>
          <w:ilvl w:val="2"/>
          <w:numId w:val="148"/>
        </w:numPr>
        <w:ind w:left="1134" w:hanging="1134"/>
        <w:jc w:val="both"/>
        <w:rPr>
          <w:rFonts w:ascii="Bookman Old Style" w:hAnsi="Bookman Old Style"/>
          <w:color w:val="000000" w:themeColor="text1"/>
          <w:sz w:val="24"/>
          <w:szCs w:val="24"/>
        </w:rPr>
      </w:pPr>
      <w:bookmarkStart w:id="207" w:name="_Ref357780835"/>
      <w:r w:rsidRPr="00F503ED">
        <w:rPr>
          <w:rFonts w:ascii="Bookman Old Style" w:hAnsi="Bookman Old Style"/>
          <w:color w:val="000000" w:themeColor="text1"/>
          <w:sz w:val="24"/>
          <w:szCs w:val="24"/>
        </w:rPr>
        <w:t>Mecanismos de cubrimiento para el cumplimiento</w:t>
      </w:r>
      <w:bookmarkEnd w:id="207"/>
    </w:p>
    <w:p w14:paraId="5EED8F36" w14:textId="77777777" w:rsidR="005C0F94" w:rsidRPr="00F503ED" w:rsidRDefault="005C0F94" w:rsidP="005C0F94">
      <w:pPr>
        <w:ind w:left="0"/>
        <w:jc w:val="both"/>
        <w:rPr>
          <w:rFonts w:ascii="Bookman Old Style" w:hAnsi="Bookman Old Style"/>
          <w:color w:val="000000" w:themeColor="text1"/>
          <w:lang w:val="es-CO"/>
        </w:rPr>
      </w:pPr>
    </w:p>
    <w:p w14:paraId="5A9BE5CE" w14:textId="2E8BA718" w:rsidR="005C0F94" w:rsidRPr="00F503ED" w:rsidRDefault="005C0F94" w:rsidP="005C0F94">
      <w:pPr>
        <w:ind w:left="0"/>
        <w:jc w:val="both"/>
        <w:rPr>
          <w:rFonts w:ascii="Bookman Old Style" w:hAnsi="Bookman Old Style"/>
          <w:color w:val="000000" w:themeColor="text1"/>
        </w:rPr>
      </w:pPr>
      <w:r w:rsidRPr="00F503ED">
        <w:rPr>
          <w:rFonts w:ascii="Bookman Old Style" w:hAnsi="Bookman Old Style"/>
          <w:color w:val="000000" w:themeColor="text1"/>
        </w:rPr>
        <w:t xml:space="preserve">Cada comprador y cada vendedor deberá presentar a su contraparte los mecanismos de cubrimiento para el cumplimiento de las obligaciones derivadas de la subasta. Estos mecanismos de cubrimiento se deberán sujetar a las reglas </w:t>
      </w:r>
      <w:r w:rsidR="00631464" w:rsidRPr="00F503ED">
        <w:rPr>
          <w:rFonts w:ascii="Bookman Old Style" w:hAnsi="Bookman Old Style"/>
          <w:color w:val="000000" w:themeColor="text1"/>
        </w:rPr>
        <w:t xml:space="preserve">establecidas </w:t>
      </w:r>
      <w:r w:rsidR="00FE6F1F" w:rsidRPr="00F503ED">
        <w:rPr>
          <w:rFonts w:ascii="Bookman Old Style" w:hAnsi="Bookman Old Style"/>
          <w:b/>
          <w:bCs/>
          <w:color w:val="000000" w:themeColor="text1"/>
        </w:rPr>
        <w:t>en el Anexo 8 de la presente resolución</w:t>
      </w:r>
      <w:r w:rsidRPr="00F503ED">
        <w:rPr>
          <w:rFonts w:ascii="Bookman Old Style" w:hAnsi="Bookman Old Style"/>
          <w:b/>
          <w:bCs/>
          <w:color w:val="000000" w:themeColor="text1"/>
        </w:rPr>
        <w:t>.</w:t>
      </w:r>
    </w:p>
    <w:p w14:paraId="29CBEBD9" w14:textId="77777777" w:rsidR="005C0F94" w:rsidRPr="00F503ED" w:rsidRDefault="005C0F94" w:rsidP="005C0F94">
      <w:pPr>
        <w:ind w:left="0"/>
        <w:jc w:val="both"/>
        <w:rPr>
          <w:rFonts w:ascii="Bookman Old Style" w:hAnsi="Bookman Old Style"/>
          <w:color w:val="000000" w:themeColor="text1"/>
        </w:rPr>
      </w:pPr>
    </w:p>
    <w:p w14:paraId="0F23BFC6"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La propuesta de los productores-comercializadores en relación con los mecanismos de cubrimiento a los que se refiere este numeral deberá contemplar lo siguiente:</w:t>
      </w:r>
    </w:p>
    <w:p w14:paraId="6980BD88" w14:textId="77777777" w:rsidR="005C0F94" w:rsidRPr="00483BFD" w:rsidRDefault="005C0F94" w:rsidP="005C0F94">
      <w:pPr>
        <w:ind w:left="0"/>
        <w:jc w:val="both"/>
        <w:rPr>
          <w:rFonts w:ascii="Bookman Old Style" w:hAnsi="Bookman Old Style"/>
          <w:color w:val="000000" w:themeColor="text1"/>
        </w:rPr>
      </w:pPr>
    </w:p>
    <w:p w14:paraId="0AF409DD" w14:textId="77777777" w:rsidR="005C0F94" w:rsidRPr="00483BFD" w:rsidRDefault="005C0F94" w:rsidP="005C0F94">
      <w:pPr>
        <w:numPr>
          <w:ilvl w:val="0"/>
          <w:numId w:val="150"/>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Mecanismos admisibles de cubrimiento para el cumplimiento de las asignaciones que resulten en la subasta.</w:t>
      </w:r>
    </w:p>
    <w:p w14:paraId="4F2B15A3"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42E9EA74" w14:textId="77777777" w:rsidR="005C0F94" w:rsidRPr="00483BFD" w:rsidRDefault="005C0F94" w:rsidP="005C0F94">
      <w:pPr>
        <w:numPr>
          <w:ilvl w:val="0"/>
          <w:numId w:val="150"/>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Determinación del valor de la cobertura para el cumplimiento de las asignaciones que resulten en la subasta.</w:t>
      </w:r>
    </w:p>
    <w:p w14:paraId="22D42E9F" w14:textId="77777777" w:rsidR="005C0F94" w:rsidRPr="00483BFD" w:rsidRDefault="005C0F94" w:rsidP="005C0F94">
      <w:pPr>
        <w:ind w:left="0"/>
        <w:rPr>
          <w:rFonts w:ascii="Bookman Old Style" w:hAnsi="Bookman Old Style" w:cs="Arial"/>
          <w:color w:val="000000" w:themeColor="text1"/>
          <w:lang w:val="es-CO"/>
        </w:rPr>
      </w:pPr>
    </w:p>
    <w:p w14:paraId="410D525E" w14:textId="77777777" w:rsidR="005C0F94" w:rsidRPr="00483BFD" w:rsidRDefault="005C0F94" w:rsidP="005C0F94">
      <w:pPr>
        <w:pStyle w:val="Prrafodelista"/>
        <w:numPr>
          <w:ilvl w:val="2"/>
          <w:numId w:val="148"/>
        </w:numPr>
        <w:ind w:left="1134" w:hanging="1134"/>
        <w:jc w:val="both"/>
        <w:rPr>
          <w:rFonts w:ascii="Bookman Old Style" w:hAnsi="Bookman Old Style" w:cs="Arial"/>
          <w:color w:val="000000" w:themeColor="text1"/>
          <w:sz w:val="24"/>
          <w:szCs w:val="24"/>
        </w:rPr>
      </w:pPr>
      <w:bookmarkStart w:id="208" w:name="_Ref359854719"/>
      <w:r w:rsidRPr="00483BFD">
        <w:rPr>
          <w:rFonts w:ascii="Bookman Old Style" w:hAnsi="Bookman Old Style"/>
          <w:color w:val="000000" w:themeColor="text1"/>
          <w:sz w:val="24"/>
          <w:szCs w:val="24"/>
        </w:rPr>
        <w:t>Criterios de verificación de idoneidad</w:t>
      </w:r>
      <w:bookmarkEnd w:id="208"/>
    </w:p>
    <w:p w14:paraId="371DBA5D" w14:textId="77777777" w:rsidR="005C0F94" w:rsidRPr="00483BFD" w:rsidRDefault="005C0F94" w:rsidP="005C0F94">
      <w:pPr>
        <w:ind w:left="0"/>
        <w:jc w:val="both"/>
        <w:rPr>
          <w:rFonts w:ascii="Bookman Old Style" w:hAnsi="Bookman Old Style" w:cs="Arial"/>
          <w:color w:val="000000" w:themeColor="text1"/>
        </w:rPr>
      </w:pPr>
    </w:p>
    <w:p w14:paraId="0A834FF0" w14:textId="77777777" w:rsidR="005C0F94" w:rsidRPr="00483BFD" w:rsidRDefault="005C0F94" w:rsidP="005C0F94">
      <w:pPr>
        <w:ind w:left="0"/>
        <w:jc w:val="both"/>
        <w:rPr>
          <w:rFonts w:ascii="Bookman Old Style" w:hAnsi="Bookman Old Style"/>
          <w:color w:val="000000" w:themeColor="text1"/>
        </w:rPr>
      </w:pPr>
      <w:r w:rsidRPr="00483BFD">
        <w:rPr>
          <w:rFonts w:ascii="Bookman Old Style" w:hAnsi="Bookman Old Style"/>
          <w:color w:val="000000" w:themeColor="text1"/>
        </w:rPr>
        <w:t>La propuesta de los productores-comercializadores en relación con los criterios de verificación de idoneidad de los vendedores y de los compradores deberá contemplar lo siguiente:</w:t>
      </w:r>
    </w:p>
    <w:p w14:paraId="6A9E6EF8" w14:textId="77777777" w:rsidR="005C0F94" w:rsidRPr="00483BFD" w:rsidRDefault="005C0F94" w:rsidP="005C0F94">
      <w:pPr>
        <w:ind w:left="0"/>
        <w:jc w:val="both"/>
        <w:rPr>
          <w:rFonts w:ascii="Bookman Old Style" w:hAnsi="Bookman Old Style" w:cs="Arial"/>
          <w:color w:val="000000" w:themeColor="text1"/>
        </w:rPr>
      </w:pPr>
    </w:p>
    <w:p w14:paraId="5B14168E" w14:textId="77777777" w:rsidR="005C0F94" w:rsidRPr="00483BFD" w:rsidRDefault="005C0F94" w:rsidP="005C0F94">
      <w:pPr>
        <w:numPr>
          <w:ilvl w:val="0"/>
          <w:numId w:val="210"/>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t xml:space="preserve">Formato para </w:t>
      </w:r>
      <w:r w:rsidRPr="00483BFD">
        <w:rPr>
          <w:rFonts w:ascii="Bookman Old Style" w:hAnsi="Bookman Old Style"/>
          <w:color w:val="000000" w:themeColor="text1"/>
          <w:lang w:val="es-CO"/>
        </w:rPr>
        <w:t>la declaración del origen de bienes y de los fondos para el desarrollo de su actividad.</w:t>
      </w:r>
    </w:p>
    <w:p w14:paraId="2CB22618" w14:textId="77777777" w:rsidR="005C0F94" w:rsidRPr="00483BFD" w:rsidRDefault="005C0F94" w:rsidP="005C0F94">
      <w:pPr>
        <w:autoSpaceDE w:val="0"/>
        <w:autoSpaceDN w:val="0"/>
        <w:adjustRightInd w:val="0"/>
        <w:ind w:left="1134"/>
        <w:jc w:val="both"/>
        <w:rPr>
          <w:rFonts w:ascii="Bookman Old Style" w:hAnsi="Bookman Old Style" w:cs="Arial"/>
          <w:color w:val="000000" w:themeColor="text1"/>
        </w:rPr>
      </w:pPr>
    </w:p>
    <w:p w14:paraId="496C3EC2" w14:textId="77777777" w:rsidR="005C0F94" w:rsidRPr="00F503ED" w:rsidRDefault="005C0F94" w:rsidP="005C0F94">
      <w:pPr>
        <w:numPr>
          <w:ilvl w:val="0"/>
          <w:numId w:val="210"/>
        </w:numPr>
        <w:autoSpaceDE w:val="0"/>
        <w:autoSpaceDN w:val="0"/>
        <w:adjustRightInd w:val="0"/>
        <w:ind w:left="1134" w:hanging="567"/>
        <w:jc w:val="both"/>
        <w:rPr>
          <w:rFonts w:ascii="Bookman Old Style" w:hAnsi="Bookman Old Style" w:cs="Arial"/>
          <w:color w:val="000000" w:themeColor="text1"/>
        </w:rPr>
      </w:pPr>
      <w:r w:rsidRPr="00483BFD">
        <w:rPr>
          <w:rFonts w:ascii="Bookman Old Style" w:hAnsi="Bookman Old Style" w:cs="Arial"/>
          <w:color w:val="000000" w:themeColor="text1"/>
        </w:rPr>
        <w:lastRenderedPageBreak/>
        <w:t xml:space="preserve">Formatos para la declaración de que el comprador o el vendedor no se </w:t>
      </w:r>
      <w:r w:rsidRPr="00F503ED">
        <w:rPr>
          <w:rFonts w:ascii="Bookman Old Style" w:hAnsi="Bookman Old Style" w:cs="Arial"/>
          <w:color w:val="000000" w:themeColor="text1"/>
        </w:rPr>
        <w:t>encuentran en listas o reportes asociados con actividades ilícitas.</w:t>
      </w:r>
    </w:p>
    <w:p w14:paraId="58B082B9" w14:textId="584FFDAA" w:rsidR="005C0F94" w:rsidRPr="00F503ED" w:rsidRDefault="005C0F94" w:rsidP="005C0F94">
      <w:pPr>
        <w:ind w:left="0"/>
        <w:jc w:val="both"/>
        <w:rPr>
          <w:rFonts w:ascii="Bookman Old Style" w:hAnsi="Bookman Old Style" w:cs="Arial"/>
          <w:color w:val="000000" w:themeColor="text1"/>
        </w:rPr>
      </w:pPr>
    </w:p>
    <w:p w14:paraId="77F22195" w14:textId="02622672" w:rsidR="00214FC6" w:rsidRPr="00F503ED" w:rsidRDefault="00214FC6" w:rsidP="00214FC6">
      <w:pPr>
        <w:pStyle w:val="Prrafodelista"/>
        <w:numPr>
          <w:ilvl w:val="0"/>
          <w:numId w:val="109"/>
        </w:numPr>
        <w:ind w:left="567" w:hanging="567"/>
        <w:rPr>
          <w:rFonts w:ascii="Bookman Old Style" w:hAnsi="Bookman Old Style"/>
          <w:b/>
          <w:color w:val="000000" w:themeColor="text1"/>
          <w:sz w:val="24"/>
          <w:szCs w:val="24"/>
        </w:rPr>
      </w:pPr>
      <w:r w:rsidRPr="00F503ED">
        <w:rPr>
          <w:rFonts w:ascii="Bookman Old Style" w:hAnsi="Bookman Old Style"/>
          <w:b/>
          <w:color w:val="000000" w:themeColor="text1"/>
          <w:sz w:val="24"/>
          <w:szCs w:val="24"/>
        </w:rPr>
        <w:t>Actualización del precio de cierre de la subasta</w:t>
      </w:r>
    </w:p>
    <w:p w14:paraId="4BAB8C71" w14:textId="43884D3F" w:rsidR="00214FC6" w:rsidRPr="00F503ED" w:rsidRDefault="00214FC6" w:rsidP="00214FC6">
      <w:pPr>
        <w:ind w:left="0"/>
        <w:rPr>
          <w:rFonts w:ascii="Bookman Old Style" w:hAnsi="Bookman Old Style"/>
          <w:b/>
          <w:color w:val="000000" w:themeColor="text1"/>
        </w:rPr>
      </w:pPr>
    </w:p>
    <w:p w14:paraId="5F0850FD" w14:textId="0FBD8DA8" w:rsidR="00214FC6" w:rsidRPr="00F503ED" w:rsidRDefault="009A1585" w:rsidP="002D5416">
      <w:pPr>
        <w:ind w:left="0"/>
        <w:jc w:val="both"/>
        <w:rPr>
          <w:rFonts w:ascii="Bookman Old Style" w:hAnsi="Bookman Old Style"/>
          <w:b/>
          <w:color w:val="000000" w:themeColor="text1"/>
        </w:rPr>
      </w:pPr>
      <w:r w:rsidRPr="00F503ED">
        <w:rPr>
          <w:rFonts w:ascii="Bookman Old Style" w:hAnsi="Bookman Old Style"/>
          <w:b/>
          <w:color w:val="000000" w:themeColor="text1"/>
        </w:rPr>
        <w:t xml:space="preserve">En el caso de que la asignación de cantidades de suministro de gas resultante de la subasta corresponda a un trimestre estándar de ejecución que inicia por lo menos un año después de la realización de la subasta, el precio de cierre se actualizará aplicando la ecuación establecida en el Anexo 3 de la presente resolución, con un factor beta </w:t>
      </w:r>
      <m:oMath>
        <m:r>
          <m:rPr>
            <m:sty m:val="bi"/>
          </m:rPr>
          <w:rPr>
            <w:rFonts w:ascii="Cambria Math" w:hAnsi="Cambria Math" w:cs="Arial"/>
            <w:color w:val="000000" w:themeColor="text1"/>
            <w:lang w:val="es-CO"/>
          </w:rPr>
          <m:t>β</m:t>
        </m:r>
      </m:oMath>
      <w:r w:rsidRPr="00F503ED">
        <w:rPr>
          <w:rFonts w:ascii="Bookman Old Style" w:hAnsi="Bookman Old Style"/>
          <w:b/>
          <w:bCs/>
          <w:color w:val="000000" w:themeColor="text1"/>
        </w:rPr>
        <w:t xml:space="preserve"> </w:t>
      </w:r>
      <w:r w:rsidRPr="00F503ED">
        <w:rPr>
          <w:rFonts w:ascii="Bookman Old Style" w:hAnsi="Bookman Old Style"/>
          <w:b/>
          <w:color w:val="000000" w:themeColor="text1"/>
        </w:rPr>
        <w:t xml:space="preserve">igual a cero (0).  </w:t>
      </w:r>
    </w:p>
    <w:p w14:paraId="64EE0244" w14:textId="77777777" w:rsidR="00214FC6" w:rsidRPr="00F503ED" w:rsidRDefault="00214FC6" w:rsidP="005C0F94">
      <w:pPr>
        <w:ind w:left="0"/>
        <w:jc w:val="both"/>
        <w:rPr>
          <w:rFonts w:ascii="Bookman Old Style" w:hAnsi="Bookman Old Style" w:cs="Arial"/>
          <w:color w:val="000000" w:themeColor="text1"/>
        </w:rPr>
      </w:pPr>
    </w:p>
    <w:p w14:paraId="41A65E9B" w14:textId="28545226" w:rsidR="00277A0F" w:rsidRPr="00F503ED" w:rsidRDefault="00277A0F" w:rsidP="0006302B">
      <w:pPr>
        <w:pStyle w:val="NormalWeb"/>
        <w:spacing w:before="0" w:beforeAutospacing="0" w:after="0" w:afterAutospacing="0"/>
        <w:jc w:val="center"/>
        <w:rPr>
          <w:rFonts w:ascii="Bookman Old Style" w:hAnsi="Bookman Old Style" w:cs="Arial"/>
          <w:b/>
          <w:bCs/>
          <w:color w:val="000000" w:themeColor="text1"/>
        </w:rPr>
      </w:pPr>
    </w:p>
    <w:p w14:paraId="72110D82" w14:textId="77777777" w:rsidR="00FE6F1F" w:rsidRDefault="00FE6F1F" w:rsidP="0006302B">
      <w:pPr>
        <w:pStyle w:val="NormalWeb"/>
        <w:spacing w:before="0" w:beforeAutospacing="0" w:after="0" w:afterAutospacing="0"/>
        <w:jc w:val="center"/>
        <w:rPr>
          <w:rFonts w:ascii="Bookman Old Style" w:hAnsi="Bookman Old Style" w:cs="Arial"/>
          <w:b/>
          <w:bCs/>
          <w:color w:val="000000" w:themeColor="text1"/>
          <w:highlight w:val="green"/>
          <w:u w:val="single"/>
        </w:rPr>
        <w:sectPr w:rsidR="00FE6F1F" w:rsidSect="00606DD5">
          <w:pgSz w:w="12247" w:h="18705" w:code="121"/>
          <w:pgMar w:top="2342" w:right="1185" w:bottom="1758" w:left="1701" w:header="709" w:footer="709" w:gutter="0"/>
          <w:cols w:space="708"/>
          <w:titlePg/>
          <w:docGrid w:linePitch="360"/>
        </w:sectPr>
      </w:pPr>
    </w:p>
    <w:p w14:paraId="2689FFC7" w14:textId="72E71780" w:rsidR="00FE6F1F" w:rsidRPr="00483BFD" w:rsidRDefault="00FE6F1F" w:rsidP="00FE6F1F">
      <w:pPr>
        <w:pStyle w:val="Ttulo1"/>
        <w:ind w:left="0"/>
        <w:rPr>
          <w:rFonts w:ascii="Bookman Old Style" w:hAnsi="Bookman Old Style"/>
          <w:color w:val="000000" w:themeColor="text1"/>
          <w:szCs w:val="24"/>
        </w:rPr>
      </w:pPr>
      <w:r w:rsidRPr="00483BFD">
        <w:rPr>
          <w:rFonts w:ascii="Bookman Old Style" w:hAnsi="Bookman Old Style"/>
          <w:color w:val="000000" w:themeColor="text1"/>
          <w:szCs w:val="24"/>
        </w:rPr>
        <w:lastRenderedPageBreak/>
        <w:t xml:space="preserve">Anexo </w:t>
      </w:r>
      <w:r>
        <w:rPr>
          <w:rFonts w:ascii="Bookman Old Style" w:hAnsi="Bookman Old Style"/>
          <w:color w:val="000000" w:themeColor="text1"/>
          <w:szCs w:val="24"/>
        </w:rPr>
        <w:t>8</w:t>
      </w:r>
    </w:p>
    <w:p w14:paraId="45E05319" w14:textId="74F0E63D" w:rsidR="00277A0F" w:rsidRDefault="00FE6F1F" w:rsidP="002D5416">
      <w:pPr>
        <w:pStyle w:val="ARTICULOS"/>
        <w:numPr>
          <w:ilvl w:val="0"/>
          <w:numId w:val="0"/>
        </w:numPr>
        <w:jc w:val="center"/>
        <w:rPr>
          <w:rFonts w:cs="Arial"/>
          <w:b/>
          <w:color w:val="000000" w:themeColor="text1"/>
          <w:highlight w:val="green"/>
          <w:u w:val="single"/>
        </w:rPr>
      </w:pPr>
      <w:r>
        <w:rPr>
          <w:b/>
          <w:color w:val="000000" w:themeColor="text1"/>
          <w:lang w:val="es-CO"/>
        </w:rPr>
        <w:t xml:space="preserve">Esquema de garantías </w:t>
      </w:r>
      <w:r w:rsidRPr="00FE6F1F">
        <w:rPr>
          <w:b/>
          <w:color w:val="000000" w:themeColor="text1"/>
          <w:lang w:val="es-CO"/>
        </w:rPr>
        <w:t xml:space="preserve">de </w:t>
      </w:r>
      <w:r>
        <w:rPr>
          <w:b/>
          <w:color w:val="000000" w:themeColor="text1"/>
          <w:lang w:val="es-CO"/>
        </w:rPr>
        <w:t xml:space="preserve">la subasta de </w:t>
      </w:r>
      <w:r w:rsidRPr="00FE6F1F">
        <w:rPr>
          <w:b/>
          <w:color w:val="000000" w:themeColor="text1"/>
          <w:lang w:val="es-CO"/>
        </w:rPr>
        <w:t>gas natural para un trimestre estándar deficitario</w:t>
      </w:r>
    </w:p>
    <w:p w14:paraId="672E6808" w14:textId="77777777" w:rsidR="00277A0F" w:rsidRDefault="00277A0F" w:rsidP="0006302B">
      <w:pPr>
        <w:pStyle w:val="NormalWeb"/>
        <w:spacing w:before="0" w:beforeAutospacing="0" w:after="0" w:afterAutospacing="0"/>
        <w:jc w:val="center"/>
        <w:rPr>
          <w:rFonts w:ascii="Bookman Old Style" w:hAnsi="Bookman Old Style" w:cs="Arial"/>
          <w:b/>
          <w:bCs/>
          <w:color w:val="000000" w:themeColor="text1"/>
          <w:highlight w:val="green"/>
          <w:u w:val="single"/>
        </w:rPr>
      </w:pPr>
    </w:p>
    <w:p w14:paraId="18052BAA" w14:textId="77777777" w:rsidR="00FE6F1F" w:rsidRDefault="00FE6F1F" w:rsidP="00FE6F1F">
      <w:pPr>
        <w:pStyle w:val="Prrafodelista"/>
        <w:tabs>
          <w:tab w:val="left" w:pos="567"/>
        </w:tabs>
        <w:ind w:left="0"/>
        <w:jc w:val="both"/>
        <w:rPr>
          <w:rFonts w:ascii="Bookman Old Style" w:hAnsi="Bookman Old Style" w:cs="Arial"/>
          <w:b/>
          <w:color w:val="000000" w:themeColor="text1"/>
          <w:sz w:val="24"/>
          <w:szCs w:val="24"/>
        </w:rPr>
      </w:pPr>
    </w:p>
    <w:p w14:paraId="1968DE98" w14:textId="77777777" w:rsidR="00FE6F1F" w:rsidRDefault="00FE6F1F" w:rsidP="00FE6F1F">
      <w:pPr>
        <w:pStyle w:val="Prrafodelista"/>
        <w:numPr>
          <w:ilvl w:val="0"/>
          <w:numId w:val="258"/>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Criterios generales que deben cumplir las garantías</w:t>
      </w:r>
    </w:p>
    <w:p w14:paraId="67302BC8" w14:textId="77777777" w:rsidR="00FE6F1F" w:rsidRDefault="00FE6F1F" w:rsidP="00FE6F1F">
      <w:pPr>
        <w:pStyle w:val="Prrafodelista"/>
        <w:tabs>
          <w:tab w:val="left" w:pos="567"/>
        </w:tabs>
        <w:ind w:left="0"/>
        <w:jc w:val="both"/>
        <w:rPr>
          <w:rFonts w:ascii="Bookman Old Style" w:hAnsi="Bookman Old Style" w:cs="Arial"/>
          <w:b/>
          <w:color w:val="000000" w:themeColor="text1"/>
          <w:sz w:val="24"/>
          <w:szCs w:val="24"/>
        </w:rPr>
      </w:pPr>
    </w:p>
    <w:p w14:paraId="3E0C8B32" w14:textId="77777777" w:rsidR="00FE6F1F" w:rsidRPr="004A36F8" w:rsidRDefault="00FE6F1F" w:rsidP="00FE6F1F">
      <w:pPr>
        <w:pStyle w:val="Prrafodelista"/>
        <w:numPr>
          <w:ilvl w:val="1"/>
          <w:numId w:val="258"/>
        </w:numPr>
        <w:tabs>
          <w:tab w:val="left" w:pos="1478"/>
        </w:tabs>
        <w:ind w:left="720"/>
        <w:jc w:val="both"/>
        <w:rPr>
          <w:rFonts w:ascii="Bookman Old Style" w:hAnsi="Bookman Old Style" w:cs="Arial"/>
          <w:sz w:val="24"/>
          <w:szCs w:val="24"/>
        </w:rPr>
      </w:pPr>
      <w:bookmarkStart w:id="209" w:name="_Ref410653176"/>
      <w:r w:rsidRPr="004A36F8">
        <w:rPr>
          <w:rFonts w:ascii="Bookman Old Style" w:hAnsi="Bookman Old Style" w:cs="Arial"/>
          <w:sz w:val="24"/>
          <w:szCs w:val="24"/>
        </w:rPr>
        <w:t>Cuando se trate de garantías otorgadas por una entidad financiera domiciliada en Colombia se deberá acreditar una calificación de riesgo crediticio de la deuda de largo plazo de grado de inversión por parte de una agencia calificadora de riesgos vigilada por la Superintendencia Financiera de Colombia.</w:t>
      </w:r>
      <w:bookmarkEnd w:id="209"/>
    </w:p>
    <w:p w14:paraId="0244DA74" w14:textId="77777777" w:rsidR="00FE6F1F" w:rsidRPr="00C44559" w:rsidRDefault="00FE6F1F" w:rsidP="00FE6F1F">
      <w:pPr>
        <w:pStyle w:val="Prrafodelista"/>
        <w:tabs>
          <w:tab w:val="left" w:pos="1478"/>
        </w:tabs>
        <w:ind w:left="1430"/>
        <w:jc w:val="both"/>
        <w:rPr>
          <w:rFonts w:ascii="Bookman Old Style" w:hAnsi="Bookman Old Style" w:cs="Arial"/>
          <w:color w:val="000000" w:themeColor="text1"/>
          <w:sz w:val="24"/>
          <w:szCs w:val="24"/>
        </w:rPr>
      </w:pPr>
    </w:p>
    <w:p w14:paraId="267D4D17"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bookmarkStart w:id="210" w:name="_Ref410653183"/>
      <w:r w:rsidRPr="00C44559">
        <w:rPr>
          <w:rFonts w:ascii="Bookman Old Style" w:hAnsi="Bookman Old Style" w:cs="Arial"/>
          <w:color w:val="000000" w:themeColor="text1"/>
          <w:sz w:val="24"/>
          <w:szCs w:val="24"/>
        </w:rPr>
        <w:t xml:space="preserve">Cuando se trate de garantías otorgadas por una </w:t>
      </w:r>
      <w:r>
        <w:rPr>
          <w:rFonts w:ascii="Bookman Old Style" w:hAnsi="Bookman Old Style" w:cs="Arial"/>
          <w:color w:val="000000" w:themeColor="text1"/>
          <w:sz w:val="24"/>
          <w:szCs w:val="24"/>
        </w:rPr>
        <w:t>entidad financiera del exterior</w:t>
      </w:r>
      <w:r w:rsidRPr="00C44559">
        <w:rPr>
          <w:rFonts w:ascii="Bookman Old Style" w:hAnsi="Bookman Old Style" w:cs="Arial"/>
          <w:color w:val="000000" w:themeColor="text1"/>
          <w:sz w:val="24"/>
          <w:szCs w:val="24"/>
        </w:rPr>
        <w:t xml:space="preserve"> ésta deberá estar incluida en el listado de entidades financieras del exterior contenido en el anexo No. 1 de la Circular Reglamentaria Externa DCIN-83 de 2003 del Banco de la República o en las normas que lo modifiquen, adicionen o sustituyan y acreditar una calificación de deuda de largo plazo de Standard &amp; </w:t>
      </w:r>
      <w:proofErr w:type="spellStart"/>
      <w:r w:rsidRPr="00C44559">
        <w:rPr>
          <w:rFonts w:ascii="Bookman Old Style" w:hAnsi="Bookman Old Style" w:cs="Arial"/>
          <w:color w:val="000000" w:themeColor="text1"/>
          <w:sz w:val="24"/>
          <w:szCs w:val="24"/>
        </w:rPr>
        <w:t>Poor’s</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Corporation</w:t>
      </w:r>
      <w:proofErr w:type="spellEnd"/>
      <w:r w:rsidRPr="00C44559">
        <w:rPr>
          <w:rFonts w:ascii="Bookman Old Style" w:hAnsi="Bookman Old Style" w:cs="Arial"/>
          <w:color w:val="000000" w:themeColor="text1"/>
          <w:sz w:val="24"/>
          <w:szCs w:val="24"/>
        </w:rPr>
        <w:t xml:space="preserve">, Fitch Ratings o de Moody’s </w:t>
      </w:r>
      <w:proofErr w:type="spellStart"/>
      <w:r w:rsidRPr="00C44559">
        <w:rPr>
          <w:rFonts w:ascii="Bookman Old Style" w:hAnsi="Bookman Old Style" w:cs="Arial"/>
          <w:color w:val="000000" w:themeColor="text1"/>
          <w:sz w:val="24"/>
          <w:szCs w:val="24"/>
        </w:rPr>
        <w:t>Investor’s</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Services</w:t>
      </w:r>
      <w:proofErr w:type="spellEnd"/>
      <w:r w:rsidRPr="00C44559">
        <w:rPr>
          <w:rFonts w:ascii="Bookman Old Style" w:hAnsi="Bookman Old Style" w:cs="Arial"/>
          <w:color w:val="000000" w:themeColor="text1"/>
          <w:sz w:val="24"/>
          <w:szCs w:val="24"/>
        </w:rPr>
        <w:t xml:space="preserve"> Inc., de al menos grado de inversión.</w:t>
      </w:r>
      <w:bookmarkEnd w:id="210"/>
    </w:p>
    <w:p w14:paraId="300320A2"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0307B6F4"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La entidad financiera otorgante</w:t>
      </w:r>
      <w:r>
        <w:rPr>
          <w:rFonts w:ascii="Bookman Old Style" w:hAnsi="Bookman Old Style" w:cs="Arial"/>
          <w:color w:val="000000" w:themeColor="text1"/>
          <w:sz w:val="24"/>
          <w:szCs w:val="24"/>
        </w:rPr>
        <w:t xml:space="preserve"> de la garantía</w:t>
      </w:r>
      <w:r w:rsidRPr="00C44559">
        <w:rPr>
          <w:rFonts w:ascii="Bookman Old Style" w:hAnsi="Bookman Old Style" w:cs="Arial"/>
          <w:color w:val="000000" w:themeColor="text1"/>
          <w:sz w:val="24"/>
          <w:szCs w:val="24"/>
        </w:rPr>
        <w:t xml:space="preserve"> deberá pagar al primer requerimiento del beneficiario</w:t>
      </w:r>
      <w:r>
        <w:rPr>
          <w:rFonts w:ascii="Bookman Old Style" w:hAnsi="Bookman Old Style" w:cs="Arial"/>
          <w:color w:val="000000" w:themeColor="text1"/>
          <w:sz w:val="24"/>
          <w:szCs w:val="24"/>
        </w:rPr>
        <w:t xml:space="preserve"> los correspondientes recursos</w:t>
      </w:r>
      <w:r w:rsidRPr="00C44559">
        <w:rPr>
          <w:rFonts w:ascii="Bookman Old Style" w:hAnsi="Bookman Old Style" w:cs="Arial"/>
          <w:color w:val="000000" w:themeColor="text1"/>
          <w:sz w:val="24"/>
          <w:szCs w:val="24"/>
        </w:rPr>
        <w:t xml:space="preserve"> en la </w:t>
      </w:r>
      <w:r>
        <w:rPr>
          <w:rFonts w:ascii="Bookman Old Style" w:hAnsi="Bookman Old Style" w:cs="Arial"/>
          <w:color w:val="000000" w:themeColor="text1"/>
          <w:sz w:val="24"/>
          <w:szCs w:val="24"/>
        </w:rPr>
        <w:t>cuenta bancaria de la entidad financiera en Colombia que para tales efectos se haya constituido.</w:t>
      </w:r>
    </w:p>
    <w:p w14:paraId="5A0268C9" w14:textId="77777777" w:rsidR="00FE6F1F" w:rsidRPr="00282A76" w:rsidRDefault="00FE6F1F" w:rsidP="00FE6F1F">
      <w:pPr>
        <w:pStyle w:val="Prrafodelista"/>
        <w:rPr>
          <w:rFonts w:ascii="Bookman Old Style" w:hAnsi="Bookman Old Style" w:cs="Arial"/>
          <w:color w:val="000000" w:themeColor="text1"/>
          <w:sz w:val="24"/>
          <w:szCs w:val="24"/>
        </w:rPr>
      </w:pPr>
    </w:p>
    <w:p w14:paraId="297ABF10"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Las garantías deben ser otorgadas de manera irrevocable e incondicional a la orden del fideicomiso o patrimonio autónomo que se conforme.</w:t>
      </w:r>
    </w:p>
    <w:p w14:paraId="6500A3B3" w14:textId="77777777" w:rsidR="00FE6F1F" w:rsidRPr="00282A76" w:rsidRDefault="00FE6F1F" w:rsidP="00FE6F1F">
      <w:pPr>
        <w:pStyle w:val="Prrafodelista"/>
        <w:rPr>
          <w:rFonts w:ascii="Bookman Old Style" w:hAnsi="Bookman Old Style" w:cs="Arial"/>
          <w:color w:val="000000" w:themeColor="text1"/>
          <w:sz w:val="24"/>
          <w:szCs w:val="24"/>
        </w:rPr>
      </w:pPr>
    </w:p>
    <w:p w14:paraId="6494F087"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El fideicomiso o patrimonio autónomo que se conforme debe tener la preferencia para obtener incondicionalmente y de manera inmediata el pago de la obligación garantizada en el momento de su ejecución, en la cuenta bancaria en Colombia que para tales efectos establezca el fideicomiso o patrimonio autónomo.</w:t>
      </w:r>
    </w:p>
    <w:p w14:paraId="40DC5777" w14:textId="77777777" w:rsidR="00FE6F1F" w:rsidRPr="00282A76" w:rsidRDefault="00FE6F1F" w:rsidP="00FE6F1F">
      <w:pPr>
        <w:pStyle w:val="Prrafodelista"/>
        <w:rPr>
          <w:rFonts w:ascii="Bookman Old Style" w:hAnsi="Bookman Old Style" w:cs="Arial"/>
          <w:color w:val="000000" w:themeColor="text1"/>
          <w:sz w:val="24"/>
          <w:szCs w:val="24"/>
        </w:rPr>
      </w:pPr>
    </w:p>
    <w:p w14:paraId="601443B3"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 xml:space="preserve">Las garantías deben ser líquidas y fácilmente </w:t>
      </w:r>
      <w:r>
        <w:rPr>
          <w:rFonts w:ascii="Bookman Old Style" w:hAnsi="Bookman Old Style" w:cs="Arial"/>
          <w:color w:val="000000" w:themeColor="text1"/>
          <w:sz w:val="24"/>
          <w:szCs w:val="24"/>
        </w:rPr>
        <w:t>ejecutables</w:t>
      </w:r>
      <w:r w:rsidRPr="00C44559">
        <w:rPr>
          <w:rFonts w:ascii="Bookman Old Style" w:hAnsi="Bookman Old Style" w:cs="Arial"/>
          <w:color w:val="000000" w:themeColor="text1"/>
          <w:sz w:val="24"/>
          <w:szCs w:val="24"/>
        </w:rPr>
        <w:t xml:space="preserve"> en el momento en que deban hacerse efectivas.</w:t>
      </w:r>
    </w:p>
    <w:p w14:paraId="04761135" w14:textId="77777777" w:rsidR="00FE6F1F" w:rsidRPr="00282A76" w:rsidRDefault="00FE6F1F" w:rsidP="00FE6F1F">
      <w:pPr>
        <w:pStyle w:val="Prrafodelista"/>
        <w:rPr>
          <w:rFonts w:ascii="Bookman Old Style" w:hAnsi="Bookman Old Style" w:cs="Arial"/>
          <w:color w:val="000000" w:themeColor="text1"/>
          <w:sz w:val="24"/>
          <w:szCs w:val="24"/>
          <w:lang w:val="es-MX"/>
        </w:rPr>
      </w:pPr>
    </w:p>
    <w:p w14:paraId="407ED64D"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 xml:space="preserve">La entidad financiera otorgante deberá pagar dentro de los </w:t>
      </w:r>
      <w:r>
        <w:rPr>
          <w:rFonts w:ascii="Bookman Old Style" w:hAnsi="Bookman Old Style" w:cs="Arial"/>
          <w:color w:val="000000" w:themeColor="text1"/>
          <w:sz w:val="24"/>
          <w:szCs w:val="24"/>
        </w:rPr>
        <w:t>ocho</w:t>
      </w:r>
      <w:r w:rsidRPr="00C44559">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8</w:t>
      </w:r>
      <w:r w:rsidRPr="00C44559">
        <w:rPr>
          <w:rFonts w:ascii="Bookman Old Style" w:hAnsi="Bookman Old Style" w:cs="Arial"/>
          <w:color w:val="000000" w:themeColor="text1"/>
          <w:sz w:val="24"/>
          <w:szCs w:val="24"/>
        </w:rPr>
        <w:t>) días hábiles siguientes a la fecha en que se realice el primer requerimiento siempre que se trate de una entidad financiera domiciliada en Colombia, o dentro de los quince</w:t>
      </w:r>
      <w:r>
        <w:rPr>
          <w:rFonts w:ascii="Bookman Old Style" w:hAnsi="Bookman Old Style" w:cs="Arial"/>
          <w:color w:val="000000" w:themeColor="text1"/>
          <w:sz w:val="24"/>
          <w:szCs w:val="24"/>
        </w:rPr>
        <w:t xml:space="preserve"> (15)</w:t>
      </w:r>
      <w:r w:rsidRPr="00C44559">
        <w:rPr>
          <w:rFonts w:ascii="Bookman Old Style" w:hAnsi="Bookman Old Style" w:cs="Arial"/>
          <w:color w:val="000000" w:themeColor="text1"/>
          <w:sz w:val="24"/>
          <w:szCs w:val="24"/>
        </w:rPr>
        <w:t xml:space="preserve"> días calendario siguientes a la fecha en que se realice el primer requerimiento, siempre que se trate de una entidad financiera del exterior.</w:t>
      </w:r>
    </w:p>
    <w:p w14:paraId="5CF01CB7" w14:textId="77777777" w:rsidR="00FE6F1F" w:rsidRPr="00C44559" w:rsidRDefault="00FE6F1F" w:rsidP="00FE6F1F">
      <w:pPr>
        <w:pStyle w:val="Prrafodelista"/>
        <w:tabs>
          <w:tab w:val="left" w:pos="1478"/>
        </w:tabs>
        <w:ind w:left="720"/>
        <w:jc w:val="both"/>
        <w:rPr>
          <w:rFonts w:ascii="Bookman Old Style" w:hAnsi="Bookman Old Style" w:cs="Arial"/>
          <w:color w:val="000000" w:themeColor="text1"/>
          <w:sz w:val="24"/>
          <w:szCs w:val="24"/>
        </w:rPr>
      </w:pPr>
    </w:p>
    <w:p w14:paraId="028A8308"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 xml:space="preserve">El valor pagado por la entidad financiera otorgante deberá ser igual al valor total de la cobertura conforme </w:t>
      </w:r>
      <w:r>
        <w:rPr>
          <w:rFonts w:ascii="Bookman Old Style" w:hAnsi="Bookman Old Style" w:cs="Arial"/>
          <w:color w:val="000000" w:themeColor="text1"/>
          <w:sz w:val="24"/>
          <w:szCs w:val="24"/>
        </w:rPr>
        <w:t>a</w:t>
      </w:r>
      <w:r w:rsidRPr="00C44559">
        <w:rPr>
          <w:rFonts w:ascii="Bookman Old Style" w:hAnsi="Bookman Old Style" w:cs="Arial"/>
          <w:color w:val="000000" w:themeColor="text1"/>
          <w:sz w:val="24"/>
          <w:szCs w:val="24"/>
        </w:rPr>
        <w:t xml:space="preserve"> lo indicado en </w:t>
      </w:r>
      <w:r>
        <w:rPr>
          <w:rFonts w:ascii="Bookman Old Style" w:hAnsi="Bookman Old Style" w:cs="Arial"/>
          <w:color w:val="000000" w:themeColor="text1"/>
          <w:sz w:val="24"/>
          <w:szCs w:val="24"/>
        </w:rPr>
        <w:t>el</w:t>
      </w:r>
      <w:r w:rsidRPr="00C44559">
        <w:rPr>
          <w:rFonts w:ascii="Bookman Old Style" w:hAnsi="Bookman Old Style" w:cs="Arial"/>
          <w:color w:val="000000" w:themeColor="text1"/>
          <w:sz w:val="24"/>
          <w:szCs w:val="24"/>
        </w:rPr>
        <w:t xml:space="preserve"> presente </w:t>
      </w:r>
      <w:r>
        <w:rPr>
          <w:rFonts w:ascii="Bookman Old Style" w:hAnsi="Bookman Old Style" w:cs="Arial"/>
          <w:color w:val="000000" w:themeColor="text1"/>
          <w:sz w:val="24"/>
          <w:szCs w:val="24"/>
        </w:rPr>
        <w:t>anexo</w:t>
      </w:r>
      <w:r w:rsidRPr="00C44559">
        <w:rPr>
          <w:rFonts w:ascii="Bookman Old Style" w:hAnsi="Bookman Old Style" w:cs="Arial"/>
          <w:color w:val="000000" w:themeColor="text1"/>
          <w:sz w:val="24"/>
          <w:szCs w:val="24"/>
        </w:rPr>
        <w:t xml:space="preserve">. Por tanto, el valor pagado deberá ser neto, libre de cualquier tipo de deducción, depósito, comisión, encaje, impuesto, tasa, contribución, afectación o retención por parte de la entidad financiera otorgante y/o de las </w:t>
      </w:r>
      <w:r w:rsidRPr="00C44559">
        <w:rPr>
          <w:rFonts w:ascii="Bookman Old Style" w:hAnsi="Bookman Old Style" w:cs="Arial"/>
          <w:color w:val="000000" w:themeColor="text1"/>
          <w:sz w:val="24"/>
          <w:szCs w:val="24"/>
        </w:rPr>
        <w:lastRenderedPageBreak/>
        <w:t>autoridades cambiarias, tributarias o de cualquier otra índole que pueda afectar el valor del desembolso de la garantía.</w:t>
      </w:r>
    </w:p>
    <w:p w14:paraId="16D188A0"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7F7316E0"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La entidad financiera otorgante de la garantía deberá renunciar a requerimientos judiciales, extrajudiciales o de cualquier otro tipo, para el pago de la obligación garantizada, tanto en Colombia como en el exterior.</w:t>
      </w:r>
    </w:p>
    <w:p w14:paraId="7D417B6B"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5428B560"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Cuando se trate de garantías expedidas por entidades financieras domiciliadas en Colombia, el valor de la garantía constituida deberá estar calculado en moneda nacional o en dólares de los Estados Unidos de América y ser exigible de acuerdo con la Ley Colombiana.</w:t>
      </w:r>
    </w:p>
    <w:p w14:paraId="38C3074E"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2CFC169A" w14:textId="77777777" w:rsidR="00FE6F1F" w:rsidRPr="00C44559" w:rsidRDefault="00FE6F1F" w:rsidP="00FE6F1F">
      <w:pPr>
        <w:pStyle w:val="Prrafodelista"/>
        <w:numPr>
          <w:ilvl w:val="1"/>
          <w:numId w:val="258"/>
        </w:numPr>
        <w:tabs>
          <w:tab w:val="left" w:pos="1478"/>
        </w:tabs>
        <w:ind w:left="720"/>
        <w:jc w:val="both"/>
        <w:rPr>
          <w:rFonts w:ascii="Bookman Old Style" w:hAnsi="Bookman Old Style" w:cs="Arial"/>
          <w:color w:val="000000" w:themeColor="text1"/>
          <w:sz w:val="24"/>
          <w:szCs w:val="24"/>
        </w:rPr>
      </w:pPr>
      <w:r w:rsidRPr="00C44559">
        <w:rPr>
          <w:rFonts w:ascii="Bookman Old Style" w:hAnsi="Bookman Old Style" w:cs="Arial"/>
          <w:color w:val="000000" w:themeColor="text1"/>
          <w:sz w:val="24"/>
          <w:szCs w:val="24"/>
        </w:rPr>
        <w:t>Cuando se trate de garantías expedidas por entidades financieras del exterior, el valor de la garantía constituida deberá estar calculad</w:t>
      </w:r>
      <w:r>
        <w:rPr>
          <w:rFonts w:ascii="Bookman Old Style" w:hAnsi="Bookman Old Style" w:cs="Arial"/>
          <w:color w:val="000000" w:themeColor="text1"/>
          <w:sz w:val="24"/>
          <w:szCs w:val="24"/>
        </w:rPr>
        <w:t>a</w:t>
      </w:r>
      <w:r w:rsidRPr="00C44559">
        <w:rPr>
          <w:rFonts w:ascii="Bookman Old Style" w:hAnsi="Bookman Old Style" w:cs="Arial"/>
          <w:color w:val="000000" w:themeColor="text1"/>
          <w:sz w:val="24"/>
          <w:szCs w:val="24"/>
        </w:rPr>
        <w:t xml:space="preserve"> en dólares de los Estados Unidos de América a la tasa representativa del mercado del último día hábil del mes anterior a su presentación, y ser exigible de acuerdo con las Normas RUU 600 de la Cámara de Comercio Internacional -CCI- (ICC </w:t>
      </w:r>
      <w:proofErr w:type="spellStart"/>
      <w:r w:rsidRPr="00C44559">
        <w:rPr>
          <w:rFonts w:ascii="Bookman Old Style" w:hAnsi="Bookman Old Style" w:cs="Arial"/>
          <w:color w:val="000000" w:themeColor="text1"/>
          <w:sz w:val="24"/>
          <w:szCs w:val="24"/>
        </w:rPr>
        <w:t>Uniform</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Customs</w:t>
      </w:r>
      <w:proofErr w:type="spellEnd"/>
      <w:r w:rsidRPr="00C44559">
        <w:rPr>
          <w:rFonts w:ascii="Bookman Old Style" w:hAnsi="Bookman Old Style" w:cs="Arial"/>
          <w:color w:val="000000" w:themeColor="text1"/>
          <w:sz w:val="24"/>
          <w:szCs w:val="24"/>
        </w:rPr>
        <w:t xml:space="preserve"> and </w:t>
      </w:r>
      <w:proofErr w:type="spellStart"/>
      <w:r w:rsidRPr="00C44559">
        <w:rPr>
          <w:rFonts w:ascii="Bookman Old Style" w:hAnsi="Bookman Old Style" w:cs="Arial"/>
          <w:color w:val="000000" w:themeColor="text1"/>
          <w:sz w:val="24"/>
          <w:szCs w:val="24"/>
        </w:rPr>
        <w:t>Practice</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for</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Documentary</w:t>
      </w:r>
      <w:proofErr w:type="spellEnd"/>
      <w:r w:rsidRPr="00C44559">
        <w:rPr>
          <w:rFonts w:ascii="Bookman Old Style" w:hAnsi="Bookman Old Style" w:cs="Arial"/>
          <w:color w:val="000000" w:themeColor="text1"/>
          <w:sz w:val="24"/>
          <w:szCs w:val="24"/>
        </w:rPr>
        <w:t xml:space="preserve"> </w:t>
      </w:r>
      <w:proofErr w:type="spellStart"/>
      <w:r w:rsidRPr="00C44559">
        <w:rPr>
          <w:rFonts w:ascii="Bookman Old Style" w:hAnsi="Bookman Old Style" w:cs="Arial"/>
          <w:color w:val="000000" w:themeColor="text1"/>
          <w:sz w:val="24"/>
          <w:szCs w:val="24"/>
        </w:rPr>
        <w:t>Credits</w:t>
      </w:r>
      <w:proofErr w:type="spellEnd"/>
      <w:r w:rsidRPr="00C44559">
        <w:rPr>
          <w:rFonts w:ascii="Bookman Old Style" w:hAnsi="Bookman Old Style" w:cs="Arial"/>
          <w:color w:val="000000" w:themeColor="text1"/>
          <w:sz w:val="24"/>
          <w:szCs w:val="24"/>
        </w:rPr>
        <w:t xml:space="preserve"> UCP 600) o aquellas Normas que las modifiquen, adicionan o sustituyan y con las normas del estado Nueva York de los Estados Unidos de América. Estas garantías deberán prever mecanismos expeditos y eficaces para resolver definitivamente cualquier disputa que pueda surgir en relación con la garantía entre el beneficiario y el otorgante aplicando las normas que rigen su exigibilidad, tales como la decisión definitiva bajo las reglas de conciliación y arbitraje de la C</w:t>
      </w:r>
      <w:r>
        <w:rPr>
          <w:rFonts w:ascii="Bookman Old Style" w:hAnsi="Bookman Old Style" w:cs="Arial"/>
          <w:color w:val="000000" w:themeColor="text1"/>
          <w:sz w:val="24"/>
          <w:szCs w:val="24"/>
        </w:rPr>
        <w:t xml:space="preserve">ámara de </w:t>
      </w:r>
      <w:r w:rsidRPr="00C44559">
        <w:rPr>
          <w:rFonts w:ascii="Bookman Old Style" w:hAnsi="Bookman Old Style" w:cs="Arial"/>
          <w:color w:val="000000" w:themeColor="text1"/>
          <w:sz w:val="24"/>
          <w:szCs w:val="24"/>
        </w:rPr>
        <w:t>C</w:t>
      </w:r>
      <w:r>
        <w:rPr>
          <w:rFonts w:ascii="Bookman Old Style" w:hAnsi="Bookman Old Style" w:cs="Arial"/>
          <w:color w:val="000000" w:themeColor="text1"/>
          <w:sz w:val="24"/>
          <w:szCs w:val="24"/>
        </w:rPr>
        <w:t xml:space="preserve">omercio </w:t>
      </w:r>
      <w:r w:rsidRPr="00C44559">
        <w:rPr>
          <w:rFonts w:ascii="Bookman Old Style" w:hAnsi="Bookman Old Style" w:cs="Arial"/>
          <w:color w:val="000000" w:themeColor="text1"/>
          <w:sz w:val="24"/>
          <w:szCs w:val="24"/>
        </w:rPr>
        <w:t>I</w:t>
      </w:r>
      <w:r>
        <w:rPr>
          <w:rFonts w:ascii="Bookman Old Style" w:hAnsi="Bookman Old Style" w:cs="Arial"/>
          <w:color w:val="000000" w:themeColor="text1"/>
          <w:sz w:val="24"/>
          <w:szCs w:val="24"/>
        </w:rPr>
        <w:t>nternacional, CCI</w:t>
      </w:r>
      <w:r w:rsidRPr="00C44559">
        <w:rPr>
          <w:rFonts w:ascii="Bookman Old Style" w:hAnsi="Bookman Old Style" w:cs="Arial"/>
          <w:color w:val="000000" w:themeColor="text1"/>
          <w:sz w:val="24"/>
          <w:szCs w:val="24"/>
        </w:rPr>
        <w:t>, por uno o más árbitros designados según lo establecen las mencionadas reglas, o a través de los jueces del Estado de Nueva York.</w:t>
      </w:r>
    </w:p>
    <w:p w14:paraId="5DFBCE90"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20304221" w14:textId="2E0E5959" w:rsidR="00FE6F1F" w:rsidRPr="00282A76" w:rsidRDefault="00FE6F1F" w:rsidP="00FE6F1F">
      <w:pPr>
        <w:pStyle w:val="ARTICULOS"/>
        <w:numPr>
          <w:ilvl w:val="0"/>
          <w:numId w:val="0"/>
        </w:numPr>
        <w:tabs>
          <w:tab w:val="clear" w:pos="1559"/>
          <w:tab w:val="left" w:pos="1560"/>
        </w:tabs>
        <w:rPr>
          <w:color w:val="000000" w:themeColor="text1"/>
          <w:lang w:val="es-ES"/>
        </w:rPr>
      </w:pPr>
      <w:r>
        <w:rPr>
          <w:b/>
          <w:color w:val="000000" w:themeColor="text1"/>
          <w:lang w:val="es-ES"/>
        </w:rPr>
        <w:t xml:space="preserve">Parágrafo 1. </w:t>
      </w:r>
      <w:r w:rsidRPr="00282A76">
        <w:rPr>
          <w:color w:val="000000" w:themeColor="text1"/>
          <w:lang w:val="es-ES"/>
        </w:rPr>
        <w:t xml:space="preserve">Para efectos de demostrar el cumplimiento de los criterios </w:t>
      </w:r>
      <w:r>
        <w:rPr>
          <w:color w:val="000000" w:themeColor="text1"/>
          <w:lang w:val="es-ES"/>
        </w:rPr>
        <w:fldChar w:fldCharType="begin"/>
      </w:r>
      <w:r>
        <w:rPr>
          <w:color w:val="000000" w:themeColor="text1"/>
          <w:lang w:val="es-ES"/>
        </w:rPr>
        <w:instrText xml:space="preserve"> REF _Ref410653176 \r \h </w:instrText>
      </w:r>
      <w:r>
        <w:rPr>
          <w:color w:val="000000" w:themeColor="text1"/>
          <w:lang w:val="es-ES"/>
        </w:rPr>
      </w:r>
      <w:r>
        <w:rPr>
          <w:color w:val="000000" w:themeColor="text1"/>
          <w:lang w:val="es-ES"/>
        </w:rPr>
        <w:fldChar w:fldCharType="separate"/>
      </w:r>
      <w:r w:rsidR="00636B6A">
        <w:rPr>
          <w:color w:val="000000" w:themeColor="text1"/>
          <w:lang w:val="es-ES"/>
        </w:rPr>
        <w:t>1.1</w:t>
      </w:r>
      <w:r>
        <w:rPr>
          <w:color w:val="000000" w:themeColor="text1"/>
          <w:lang w:val="es-ES"/>
        </w:rPr>
        <w:fldChar w:fldCharType="end"/>
      </w:r>
      <w:r>
        <w:rPr>
          <w:color w:val="000000" w:themeColor="text1"/>
          <w:lang w:val="es-ES"/>
        </w:rPr>
        <w:t xml:space="preserve"> y </w:t>
      </w:r>
      <w:r>
        <w:rPr>
          <w:color w:val="000000" w:themeColor="text1"/>
          <w:lang w:val="es-ES"/>
        </w:rPr>
        <w:fldChar w:fldCharType="begin"/>
      </w:r>
      <w:r>
        <w:rPr>
          <w:color w:val="000000" w:themeColor="text1"/>
          <w:lang w:val="es-ES"/>
        </w:rPr>
        <w:instrText xml:space="preserve"> REF _Ref410653183 \r \h </w:instrText>
      </w:r>
      <w:r>
        <w:rPr>
          <w:color w:val="000000" w:themeColor="text1"/>
          <w:lang w:val="es-ES"/>
        </w:rPr>
      </w:r>
      <w:r>
        <w:rPr>
          <w:color w:val="000000" w:themeColor="text1"/>
          <w:lang w:val="es-ES"/>
        </w:rPr>
        <w:fldChar w:fldCharType="separate"/>
      </w:r>
      <w:r w:rsidR="00636B6A">
        <w:rPr>
          <w:color w:val="000000" w:themeColor="text1"/>
          <w:lang w:val="es-ES"/>
        </w:rPr>
        <w:t>1.2</w:t>
      </w:r>
      <w:r>
        <w:rPr>
          <w:color w:val="000000" w:themeColor="text1"/>
          <w:lang w:val="es-ES"/>
        </w:rPr>
        <w:fldChar w:fldCharType="end"/>
      </w:r>
      <w:r>
        <w:rPr>
          <w:color w:val="000000" w:themeColor="text1"/>
          <w:lang w:val="es-ES"/>
        </w:rPr>
        <w:t xml:space="preserve"> </w:t>
      </w:r>
      <w:r w:rsidRPr="00282A76">
        <w:rPr>
          <w:color w:val="000000" w:themeColor="text1"/>
          <w:lang w:val="es-ES"/>
        </w:rPr>
        <w:t xml:space="preserve">del presente </w:t>
      </w:r>
      <w:r>
        <w:rPr>
          <w:color w:val="000000" w:themeColor="text1"/>
          <w:lang w:val="es-ES"/>
        </w:rPr>
        <w:t>numeral</w:t>
      </w:r>
      <w:r w:rsidRPr="00282A76">
        <w:rPr>
          <w:color w:val="000000" w:themeColor="text1"/>
          <w:lang w:val="es-ES"/>
        </w:rPr>
        <w:t>, los interesados deberán acreditar a la fiduciaria, al momento de presentación, ajuste o reposición de las garantías, que la entidad financiera otorgante satisface los requerimientos indicados en estos criterios.</w:t>
      </w:r>
    </w:p>
    <w:p w14:paraId="7665C154" w14:textId="77777777" w:rsidR="00FE6F1F" w:rsidRPr="00282A76" w:rsidRDefault="00FE6F1F" w:rsidP="00FE6F1F">
      <w:pPr>
        <w:pStyle w:val="Prrafodelista"/>
        <w:ind w:left="0"/>
        <w:jc w:val="both"/>
        <w:rPr>
          <w:rFonts w:ascii="Bookman Old Style" w:hAnsi="Bookman Old Style" w:cs="Arial"/>
          <w:color w:val="000000" w:themeColor="text1"/>
          <w:sz w:val="24"/>
          <w:szCs w:val="24"/>
          <w:lang w:val="es-ES"/>
        </w:rPr>
      </w:pPr>
    </w:p>
    <w:p w14:paraId="38B6AF73" w14:textId="37022069" w:rsidR="00FE6F1F" w:rsidRPr="00282A76" w:rsidRDefault="00FE6F1F" w:rsidP="00FE6F1F">
      <w:pPr>
        <w:pStyle w:val="ARTICULOS"/>
        <w:numPr>
          <w:ilvl w:val="0"/>
          <w:numId w:val="0"/>
        </w:numPr>
        <w:tabs>
          <w:tab w:val="clear" w:pos="1559"/>
          <w:tab w:val="left" w:pos="1560"/>
        </w:tabs>
        <w:rPr>
          <w:color w:val="000000" w:themeColor="text1"/>
          <w:lang w:val="es-ES"/>
        </w:rPr>
      </w:pPr>
      <w:r>
        <w:rPr>
          <w:b/>
          <w:color w:val="000000" w:themeColor="text1"/>
          <w:lang w:val="es-ES"/>
        </w:rPr>
        <w:t xml:space="preserve">Parágrafo 2. </w:t>
      </w:r>
      <w:r>
        <w:rPr>
          <w:color w:val="000000" w:themeColor="text1"/>
          <w:lang w:val="es-ES"/>
        </w:rPr>
        <w:t>Los agentes que utilicen garantías deben</w:t>
      </w:r>
      <w:r w:rsidRPr="00282A76">
        <w:rPr>
          <w:color w:val="000000" w:themeColor="text1"/>
          <w:lang w:val="es-ES"/>
        </w:rPr>
        <w:t xml:space="preserve"> informar a la fiduciaria cualquier modificación en la calificación de que tratan los numerales </w:t>
      </w:r>
      <w:r>
        <w:rPr>
          <w:color w:val="000000" w:themeColor="text1"/>
          <w:lang w:val="es-ES"/>
        </w:rPr>
        <w:fldChar w:fldCharType="begin"/>
      </w:r>
      <w:r>
        <w:rPr>
          <w:color w:val="000000" w:themeColor="text1"/>
          <w:lang w:val="es-ES"/>
        </w:rPr>
        <w:instrText xml:space="preserve"> REF _Ref410653176 \r \h </w:instrText>
      </w:r>
      <w:r>
        <w:rPr>
          <w:color w:val="000000" w:themeColor="text1"/>
          <w:lang w:val="es-ES"/>
        </w:rPr>
      </w:r>
      <w:r>
        <w:rPr>
          <w:color w:val="000000" w:themeColor="text1"/>
          <w:lang w:val="es-ES"/>
        </w:rPr>
        <w:fldChar w:fldCharType="separate"/>
      </w:r>
      <w:r w:rsidR="00636B6A">
        <w:rPr>
          <w:color w:val="000000" w:themeColor="text1"/>
          <w:lang w:val="es-ES"/>
        </w:rPr>
        <w:t>1.1</w:t>
      </w:r>
      <w:r>
        <w:rPr>
          <w:color w:val="000000" w:themeColor="text1"/>
          <w:lang w:val="es-ES"/>
        </w:rPr>
        <w:fldChar w:fldCharType="end"/>
      </w:r>
      <w:r>
        <w:rPr>
          <w:color w:val="000000" w:themeColor="text1"/>
          <w:lang w:val="es-ES"/>
        </w:rPr>
        <w:t xml:space="preserve"> y </w:t>
      </w:r>
      <w:r>
        <w:rPr>
          <w:color w:val="000000" w:themeColor="text1"/>
          <w:lang w:val="es-ES"/>
        </w:rPr>
        <w:fldChar w:fldCharType="begin"/>
      </w:r>
      <w:r>
        <w:rPr>
          <w:color w:val="000000" w:themeColor="text1"/>
          <w:lang w:val="es-ES"/>
        </w:rPr>
        <w:instrText xml:space="preserve"> REF _Ref410653183 \r \h </w:instrText>
      </w:r>
      <w:r>
        <w:rPr>
          <w:color w:val="000000" w:themeColor="text1"/>
          <w:lang w:val="es-ES"/>
        </w:rPr>
      </w:r>
      <w:r>
        <w:rPr>
          <w:color w:val="000000" w:themeColor="text1"/>
          <w:lang w:val="es-ES"/>
        </w:rPr>
        <w:fldChar w:fldCharType="separate"/>
      </w:r>
      <w:r w:rsidR="00636B6A">
        <w:rPr>
          <w:color w:val="000000" w:themeColor="text1"/>
          <w:lang w:val="es-ES"/>
        </w:rPr>
        <w:t>1.2</w:t>
      </w:r>
      <w:r>
        <w:rPr>
          <w:color w:val="000000" w:themeColor="text1"/>
          <w:lang w:val="es-ES"/>
        </w:rPr>
        <w:fldChar w:fldCharType="end"/>
      </w:r>
      <w:r>
        <w:rPr>
          <w:color w:val="000000" w:themeColor="text1"/>
          <w:lang w:val="es-ES"/>
        </w:rPr>
        <w:t xml:space="preserve"> </w:t>
      </w:r>
      <w:r w:rsidRPr="00282A76">
        <w:rPr>
          <w:color w:val="000000" w:themeColor="text1"/>
          <w:lang w:val="es-ES"/>
        </w:rPr>
        <w:t xml:space="preserve">del presente </w:t>
      </w:r>
      <w:r>
        <w:rPr>
          <w:color w:val="000000" w:themeColor="text1"/>
          <w:lang w:val="es-ES"/>
        </w:rPr>
        <w:t>numeral</w:t>
      </w:r>
      <w:r w:rsidRPr="00282A76">
        <w:rPr>
          <w:color w:val="000000" w:themeColor="text1"/>
          <w:lang w:val="es-ES"/>
        </w:rPr>
        <w:t xml:space="preserve">, así como también toda circunstancia que afecte o pueda llegar a afectar en cualquier forma la garantía o la efectividad de </w:t>
      </w:r>
      <w:proofErr w:type="gramStart"/>
      <w:r w:rsidRPr="00282A76">
        <w:rPr>
          <w:color w:val="000000" w:themeColor="text1"/>
          <w:lang w:val="es-ES"/>
        </w:rPr>
        <w:t>la</w:t>
      </w:r>
      <w:r>
        <w:rPr>
          <w:color w:val="000000" w:themeColor="text1"/>
          <w:lang w:val="es-ES"/>
        </w:rPr>
        <w:t xml:space="preserve"> misma</w:t>
      </w:r>
      <w:proofErr w:type="gramEnd"/>
      <w:r>
        <w:rPr>
          <w:color w:val="000000" w:themeColor="text1"/>
          <w:lang w:val="es-ES"/>
        </w:rPr>
        <w:t>. Dicha información debe</w:t>
      </w:r>
      <w:r w:rsidRPr="00282A76">
        <w:rPr>
          <w:color w:val="000000" w:themeColor="text1"/>
          <w:lang w:val="es-ES"/>
        </w:rPr>
        <w:t xml:space="preserve"> ser comunicada a más tardar </w:t>
      </w:r>
      <w:r>
        <w:rPr>
          <w:color w:val="000000" w:themeColor="text1"/>
          <w:lang w:val="es-ES"/>
        </w:rPr>
        <w:t>cinco</w:t>
      </w:r>
      <w:r w:rsidRPr="00282A76">
        <w:rPr>
          <w:color w:val="000000" w:themeColor="text1"/>
          <w:lang w:val="es-ES"/>
        </w:rPr>
        <w:t xml:space="preserve"> (5) días hábiles después de ocurrido el hecho.</w:t>
      </w:r>
    </w:p>
    <w:p w14:paraId="53759309" w14:textId="77777777" w:rsidR="00FE6F1F" w:rsidRDefault="00FE6F1F" w:rsidP="00FE6F1F">
      <w:pPr>
        <w:pStyle w:val="ARTICULOS"/>
        <w:numPr>
          <w:ilvl w:val="0"/>
          <w:numId w:val="0"/>
        </w:numPr>
        <w:tabs>
          <w:tab w:val="clear" w:pos="1559"/>
          <w:tab w:val="left" w:pos="1560"/>
        </w:tabs>
        <w:ind w:left="360"/>
        <w:rPr>
          <w:rFonts w:cs="Arial"/>
          <w:b/>
          <w:color w:val="000000" w:themeColor="text1"/>
          <w:lang w:val="es-ES"/>
        </w:rPr>
      </w:pPr>
    </w:p>
    <w:p w14:paraId="6096AC51" w14:textId="77777777" w:rsidR="00FE6F1F" w:rsidRDefault="00FE6F1F" w:rsidP="00FE6F1F">
      <w:pPr>
        <w:pStyle w:val="ARTICULOS"/>
        <w:numPr>
          <w:ilvl w:val="0"/>
          <w:numId w:val="0"/>
        </w:numPr>
        <w:tabs>
          <w:tab w:val="clear" w:pos="1559"/>
          <w:tab w:val="left" w:pos="1560"/>
        </w:tabs>
        <w:rPr>
          <w:color w:val="000000" w:themeColor="text1"/>
          <w:lang w:val="es-ES"/>
        </w:rPr>
      </w:pPr>
      <w:r>
        <w:rPr>
          <w:b/>
          <w:color w:val="000000" w:themeColor="text1"/>
          <w:lang w:val="es-ES"/>
        </w:rPr>
        <w:t xml:space="preserve">Parágrafo 3. </w:t>
      </w:r>
      <w:r w:rsidRPr="00282A76">
        <w:rPr>
          <w:color w:val="000000" w:themeColor="text1"/>
          <w:lang w:val="es-ES"/>
        </w:rPr>
        <w:t xml:space="preserve">Para la aceptación de una garantía otorgada por una entidad financiera del exterior, el agente o persona jurídica interesada deberá adjuntar los formularios debidamente diligenciados y registrados ante el Banco de la República y que, de acuerdo con las normas </w:t>
      </w:r>
      <w:proofErr w:type="gramStart"/>
      <w:r w:rsidRPr="00282A76">
        <w:rPr>
          <w:color w:val="000000" w:themeColor="text1"/>
          <w:lang w:val="es-ES"/>
        </w:rPr>
        <w:t>del mismo</w:t>
      </w:r>
      <w:proofErr w:type="gramEnd"/>
      <w:r w:rsidRPr="00282A76">
        <w:rPr>
          <w:color w:val="000000" w:themeColor="text1"/>
          <w:lang w:val="es-ES"/>
        </w:rPr>
        <w:t>, sean necesarios para el cobro de la garantía por parte de la fiducia.</w:t>
      </w:r>
    </w:p>
    <w:p w14:paraId="0F5D766C" w14:textId="77777777" w:rsidR="00FE6F1F" w:rsidRPr="00282A76" w:rsidRDefault="00FE6F1F" w:rsidP="00FE6F1F">
      <w:pPr>
        <w:pStyle w:val="ARTICULOS"/>
        <w:numPr>
          <w:ilvl w:val="0"/>
          <w:numId w:val="0"/>
        </w:numPr>
        <w:tabs>
          <w:tab w:val="clear" w:pos="1559"/>
          <w:tab w:val="left" w:pos="1560"/>
        </w:tabs>
        <w:rPr>
          <w:color w:val="000000" w:themeColor="text1"/>
          <w:lang w:val="es-ES"/>
        </w:rPr>
      </w:pPr>
    </w:p>
    <w:p w14:paraId="0F94BC4B" w14:textId="77777777" w:rsidR="00FE6F1F" w:rsidRDefault="00FE6F1F" w:rsidP="00FE6F1F">
      <w:pPr>
        <w:pStyle w:val="Prrafodelista"/>
        <w:tabs>
          <w:tab w:val="left" w:pos="567"/>
        </w:tabs>
        <w:ind w:left="0"/>
        <w:jc w:val="both"/>
        <w:rPr>
          <w:rFonts w:ascii="Bookman Old Style" w:hAnsi="Bookman Old Style" w:cs="Arial"/>
          <w:b/>
          <w:color w:val="000000" w:themeColor="text1"/>
          <w:sz w:val="24"/>
          <w:szCs w:val="24"/>
        </w:rPr>
      </w:pPr>
    </w:p>
    <w:p w14:paraId="58083F6B" w14:textId="77777777" w:rsidR="00FE6F1F" w:rsidRDefault="00FE6F1F" w:rsidP="00FE6F1F">
      <w:pPr>
        <w:pStyle w:val="Prrafodelista"/>
        <w:numPr>
          <w:ilvl w:val="0"/>
          <w:numId w:val="258"/>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Tipos de garantías</w:t>
      </w:r>
    </w:p>
    <w:p w14:paraId="4F75D239" w14:textId="77777777" w:rsidR="00FE6F1F" w:rsidRPr="00F503ED" w:rsidRDefault="00FE6F1F" w:rsidP="00FE6F1F">
      <w:pPr>
        <w:tabs>
          <w:tab w:val="left" w:pos="567"/>
        </w:tabs>
        <w:ind w:left="0"/>
        <w:jc w:val="both"/>
        <w:rPr>
          <w:rFonts w:ascii="Bookman Old Style" w:hAnsi="Bookman Old Style" w:cs="Arial"/>
          <w:color w:val="000000" w:themeColor="text1"/>
        </w:rPr>
      </w:pPr>
    </w:p>
    <w:p w14:paraId="760EB330" w14:textId="0679FBF7" w:rsidR="00FE6F1F" w:rsidRPr="00F503ED" w:rsidRDefault="00FE6F1F" w:rsidP="00FE6F1F">
      <w:pPr>
        <w:tabs>
          <w:tab w:val="left" w:pos="567"/>
        </w:tabs>
        <w:ind w:left="0"/>
        <w:jc w:val="both"/>
        <w:rPr>
          <w:rFonts w:ascii="Bookman Old Style" w:hAnsi="Bookman Old Style" w:cs="Arial"/>
          <w:color w:val="000000" w:themeColor="text1"/>
        </w:rPr>
      </w:pPr>
      <w:r w:rsidRPr="00F503ED">
        <w:rPr>
          <w:rFonts w:ascii="Bookman Old Style" w:hAnsi="Bookman Old Style" w:cs="Arial"/>
          <w:color w:val="000000" w:themeColor="text1"/>
        </w:rPr>
        <w:t xml:space="preserve">Los tipos de garantías </w:t>
      </w:r>
      <w:r w:rsidR="002C7DB8" w:rsidRPr="00F503ED">
        <w:rPr>
          <w:rFonts w:ascii="Bookman Old Style" w:hAnsi="Bookman Old Style" w:cs="Arial"/>
          <w:b/>
          <w:bCs/>
          <w:color w:val="000000" w:themeColor="text1"/>
        </w:rPr>
        <w:t>y sus condiciones</w:t>
      </w:r>
      <w:r w:rsidR="002C7DB8" w:rsidRPr="00F503ED">
        <w:rPr>
          <w:rFonts w:ascii="Bookman Old Style" w:hAnsi="Bookman Old Style" w:cs="Arial"/>
          <w:color w:val="000000" w:themeColor="text1"/>
        </w:rPr>
        <w:t xml:space="preserve"> </w:t>
      </w:r>
      <w:r w:rsidRPr="00F503ED">
        <w:rPr>
          <w:rFonts w:ascii="Bookman Old Style" w:hAnsi="Bookman Old Style" w:cs="Arial"/>
          <w:color w:val="000000" w:themeColor="text1"/>
        </w:rPr>
        <w:t xml:space="preserve">que serán aceptadas </w:t>
      </w:r>
      <w:r w:rsidR="0046313E" w:rsidRPr="00F503ED">
        <w:rPr>
          <w:rFonts w:ascii="Bookman Old Style" w:hAnsi="Bookman Old Style" w:cs="Arial"/>
          <w:b/>
          <w:bCs/>
          <w:color w:val="000000" w:themeColor="text1"/>
        </w:rPr>
        <w:t xml:space="preserve">serán las contempladas en el Anexo 6 de la </w:t>
      </w:r>
      <w:r w:rsidR="002C7DB8" w:rsidRPr="00F503ED">
        <w:rPr>
          <w:rFonts w:ascii="Bookman Old Style" w:hAnsi="Bookman Old Style" w:cs="Arial"/>
          <w:b/>
          <w:bCs/>
          <w:color w:val="000000" w:themeColor="text1"/>
        </w:rPr>
        <w:t>presente resolución</w:t>
      </w:r>
      <w:r w:rsidR="0046313E" w:rsidRPr="00F503ED">
        <w:rPr>
          <w:rFonts w:ascii="Bookman Old Style" w:hAnsi="Bookman Old Style" w:cs="Arial"/>
          <w:color w:val="000000" w:themeColor="text1"/>
        </w:rPr>
        <w:t>.</w:t>
      </w:r>
      <w:r w:rsidRPr="00F503ED">
        <w:rPr>
          <w:rFonts w:ascii="Bookman Old Style" w:hAnsi="Bookman Old Style" w:cs="Arial"/>
          <w:color w:val="000000" w:themeColor="text1"/>
        </w:rPr>
        <w:t xml:space="preserve"> </w:t>
      </w:r>
    </w:p>
    <w:p w14:paraId="2CFD3A84" w14:textId="77777777" w:rsidR="00FE6F1F" w:rsidRPr="00F503ED" w:rsidRDefault="00FE6F1F" w:rsidP="00FE6F1F">
      <w:pPr>
        <w:tabs>
          <w:tab w:val="left" w:pos="567"/>
        </w:tabs>
        <w:ind w:left="0"/>
        <w:jc w:val="both"/>
        <w:rPr>
          <w:rFonts w:ascii="Bookman Old Style" w:hAnsi="Bookman Old Style" w:cs="Arial"/>
          <w:color w:val="000000" w:themeColor="text1"/>
        </w:rPr>
      </w:pPr>
    </w:p>
    <w:p w14:paraId="28B43B11" w14:textId="77777777" w:rsidR="007C59AD" w:rsidRPr="00F503ED" w:rsidRDefault="007C59AD" w:rsidP="007C59AD">
      <w:pPr>
        <w:tabs>
          <w:tab w:val="left" w:pos="567"/>
        </w:tabs>
        <w:ind w:left="360"/>
        <w:jc w:val="both"/>
        <w:rPr>
          <w:rFonts w:ascii="Bookman Old Style" w:hAnsi="Bookman Old Style" w:cs="Arial"/>
          <w:lang w:val="es-CO"/>
        </w:rPr>
      </w:pPr>
    </w:p>
    <w:p w14:paraId="254AC9ED" w14:textId="78C5C79F" w:rsidR="007C59AD" w:rsidRPr="00F503ED" w:rsidRDefault="007C59AD" w:rsidP="007C59AD">
      <w:pPr>
        <w:pStyle w:val="Prrafodelista"/>
        <w:numPr>
          <w:ilvl w:val="0"/>
          <w:numId w:val="258"/>
        </w:numPr>
        <w:tabs>
          <w:tab w:val="left" w:pos="567"/>
        </w:tabs>
        <w:ind w:left="0" w:firstLine="0"/>
        <w:jc w:val="both"/>
        <w:rPr>
          <w:rFonts w:ascii="Bookman Old Style" w:hAnsi="Bookman Old Style" w:cs="Arial"/>
          <w:b/>
          <w:sz w:val="24"/>
          <w:szCs w:val="24"/>
        </w:rPr>
      </w:pPr>
      <w:r w:rsidRPr="00F503ED">
        <w:rPr>
          <w:rFonts w:ascii="Bookman Old Style" w:hAnsi="Bookman Old Style" w:cs="Arial"/>
          <w:b/>
          <w:sz w:val="24"/>
          <w:szCs w:val="24"/>
        </w:rPr>
        <w:t xml:space="preserve">Mecanismos de cobertura </w:t>
      </w:r>
      <w:r w:rsidR="00B078D9" w:rsidRPr="00F503ED">
        <w:rPr>
          <w:rFonts w:ascii="Bookman Old Style" w:hAnsi="Bookman Old Style" w:cs="Arial"/>
          <w:b/>
          <w:sz w:val="24"/>
          <w:szCs w:val="24"/>
        </w:rPr>
        <w:t>para</w:t>
      </w:r>
      <w:r w:rsidRPr="00F503ED">
        <w:rPr>
          <w:rFonts w:ascii="Bookman Old Style" w:hAnsi="Bookman Old Style" w:cs="Arial"/>
          <w:b/>
          <w:sz w:val="24"/>
          <w:szCs w:val="24"/>
        </w:rPr>
        <w:t xml:space="preserve"> la subasta </w:t>
      </w:r>
    </w:p>
    <w:p w14:paraId="41315F44" w14:textId="77777777" w:rsidR="007C59AD" w:rsidRPr="00F503ED" w:rsidRDefault="007C59AD" w:rsidP="007C59AD">
      <w:pPr>
        <w:pStyle w:val="Prrafodelista"/>
        <w:tabs>
          <w:tab w:val="left" w:pos="567"/>
        </w:tabs>
        <w:ind w:left="0"/>
        <w:jc w:val="both"/>
        <w:rPr>
          <w:rFonts w:ascii="Bookman Old Style" w:hAnsi="Bookman Old Style" w:cs="Arial"/>
          <w:sz w:val="24"/>
          <w:szCs w:val="24"/>
        </w:rPr>
      </w:pPr>
    </w:p>
    <w:p w14:paraId="1E208933" w14:textId="77777777" w:rsidR="007C59AD" w:rsidRPr="00F503ED" w:rsidRDefault="007C59AD" w:rsidP="007C59AD">
      <w:pPr>
        <w:pStyle w:val="Prrafodelista"/>
        <w:numPr>
          <w:ilvl w:val="1"/>
          <w:numId w:val="258"/>
        </w:numPr>
        <w:tabs>
          <w:tab w:val="left" w:pos="1478"/>
        </w:tabs>
        <w:ind w:left="720"/>
        <w:jc w:val="both"/>
        <w:rPr>
          <w:rFonts w:ascii="Bookman Old Style" w:hAnsi="Bookman Old Style" w:cs="Arial"/>
          <w:sz w:val="24"/>
          <w:szCs w:val="24"/>
        </w:rPr>
      </w:pPr>
      <w:r w:rsidRPr="00F503ED">
        <w:rPr>
          <w:rFonts w:ascii="Bookman Old Style" w:hAnsi="Bookman Old Style" w:cs="Arial"/>
          <w:sz w:val="24"/>
          <w:szCs w:val="24"/>
        </w:rPr>
        <w:t>Garantía de participación</w:t>
      </w:r>
    </w:p>
    <w:p w14:paraId="613C26AB" w14:textId="77777777" w:rsidR="007C59AD" w:rsidRPr="00F503ED" w:rsidRDefault="007C59AD" w:rsidP="007C59AD">
      <w:pPr>
        <w:pStyle w:val="Prrafodelista"/>
        <w:tabs>
          <w:tab w:val="left" w:pos="1478"/>
        </w:tabs>
        <w:ind w:left="720"/>
        <w:jc w:val="both"/>
        <w:rPr>
          <w:rFonts w:ascii="Bookman Old Style" w:hAnsi="Bookman Old Style" w:cs="Arial"/>
          <w:sz w:val="24"/>
          <w:szCs w:val="24"/>
        </w:rPr>
      </w:pPr>
    </w:p>
    <w:p w14:paraId="5BA4505A" w14:textId="77777777" w:rsidR="007C59AD" w:rsidRPr="00F503ED" w:rsidRDefault="007C59AD" w:rsidP="002D5416">
      <w:pPr>
        <w:pStyle w:val="Prrafodelista"/>
        <w:numPr>
          <w:ilvl w:val="2"/>
          <w:numId w:val="258"/>
        </w:numPr>
        <w:tabs>
          <w:tab w:val="left" w:pos="567"/>
        </w:tabs>
        <w:ind w:left="72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Sujetos objeto de la constitución de la garantía de participación:</w:t>
      </w:r>
    </w:p>
    <w:p w14:paraId="49AB6B8E" w14:textId="77777777" w:rsidR="007C59AD" w:rsidRPr="00F503ED" w:rsidRDefault="007C59AD" w:rsidP="002D5416">
      <w:pPr>
        <w:pStyle w:val="Prrafodelista"/>
        <w:tabs>
          <w:tab w:val="left" w:pos="567"/>
        </w:tabs>
        <w:ind w:left="720"/>
        <w:jc w:val="both"/>
        <w:rPr>
          <w:rFonts w:ascii="Bookman Old Style" w:hAnsi="Bookman Old Style" w:cs="Arial"/>
          <w:color w:val="000000" w:themeColor="text1"/>
          <w:sz w:val="24"/>
          <w:szCs w:val="24"/>
        </w:rPr>
      </w:pPr>
    </w:p>
    <w:p w14:paraId="2B1BF02A" w14:textId="7758A4EF" w:rsidR="007C59AD" w:rsidRPr="00F503ED" w:rsidRDefault="007C59AD" w:rsidP="002D5416">
      <w:pPr>
        <w:pStyle w:val="Prrafodelista"/>
        <w:tabs>
          <w:tab w:val="left" w:pos="567"/>
        </w:tabs>
        <w:ind w:left="72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Es obligatoria para los </w:t>
      </w:r>
      <w:r w:rsidR="001C707B" w:rsidRPr="00F503ED">
        <w:rPr>
          <w:rFonts w:ascii="Bookman Old Style" w:hAnsi="Bookman Old Style" w:cs="Arial"/>
          <w:color w:val="000000" w:themeColor="text1"/>
          <w:sz w:val="24"/>
          <w:szCs w:val="24"/>
        </w:rPr>
        <w:t>v</w:t>
      </w:r>
      <w:r w:rsidRPr="00F503ED">
        <w:rPr>
          <w:rFonts w:ascii="Bookman Old Style" w:hAnsi="Bookman Old Style" w:cs="Arial"/>
          <w:color w:val="000000" w:themeColor="text1"/>
          <w:sz w:val="24"/>
          <w:szCs w:val="24"/>
        </w:rPr>
        <w:t>endedores definidos en el artículo 1</w:t>
      </w:r>
      <w:r w:rsidR="00F94409" w:rsidRPr="00F503ED">
        <w:rPr>
          <w:rFonts w:ascii="Bookman Old Style" w:hAnsi="Bookman Old Style" w:cs="Arial"/>
          <w:color w:val="000000" w:themeColor="text1"/>
          <w:sz w:val="24"/>
          <w:szCs w:val="24"/>
        </w:rPr>
        <w:t>6</w:t>
      </w:r>
      <w:r w:rsidRPr="00F503ED">
        <w:rPr>
          <w:rFonts w:ascii="Bookman Old Style" w:hAnsi="Bookman Old Style" w:cs="Arial"/>
          <w:color w:val="000000" w:themeColor="text1"/>
          <w:sz w:val="24"/>
          <w:szCs w:val="24"/>
        </w:rPr>
        <w:t xml:space="preserve"> </w:t>
      </w:r>
      <w:r w:rsidR="001C707B" w:rsidRPr="00F503ED">
        <w:rPr>
          <w:rFonts w:ascii="Bookman Old Style" w:hAnsi="Bookman Old Style" w:cs="Arial"/>
          <w:color w:val="000000" w:themeColor="text1"/>
          <w:sz w:val="24"/>
          <w:szCs w:val="24"/>
        </w:rPr>
        <w:t>y los c</w:t>
      </w:r>
      <w:r w:rsidRPr="00F503ED">
        <w:rPr>
          <w:rFonts w:ascii="Bookman Old Style" w:hAnsi="Bookman Old Style" w:cs="Arial"/>
          <w:color w:val="000000" w:themeColor="text1"/>
          <w:sz w:val="24"/>
          <w:szCs w:val="24"/>
        </w:rPr>
        <w:t>ompradores definidos en el artículo 1</w:t>
      </w:r>
      <w:r w:rsidR="00F94409" w:rsidRPr="00F503ED">
        <w:rPr>
          <w:rFonts w:ascii="Bookman Old Style" w:hAnsi="Bookman Old Style" w:cs="Arial"/>
          <w:color w:val="000000" w:themeColor="text1"/>
          <w:sz w:val="24"/>
          <w:szCs w:val="24"/>
        </w:rPr>
        <w:t>7</w:t>
      </w:r>
      <w:r w:rsidR="00E95DBE" w:rsidRPr="00F503ED">
        <w:rPr>
          <w:rFonts w:ascii="Bookman Old Style" w:hAnsi="Bookman Old Style" w:cs="Arial"/>
          <w:color w:val="000000" w:themeColor="text1"/>
          <w:sz w:val="24"/>
          <w:szCs w:val="24"/>
        </w:rPr>
        <w:t>, ambos</w:t>
      </w:r>
      <w:r w:rsidRPr="00F503ED">
        <w:rPr>
          <w:rFonts w:ascii="Bookman Old Style" w:hAnsi="Bookman Old Style" w:cs="Arial"/>
          <w:color w:val="000000" w:themeColor="text1"/>
          <w:sz w:val="24"/>
          <w:szCs w:val="24"/>
        </w:rPr>
        <w:t xml:space="preserve"> de la </w:t>
      </w:r>
      <w:r w:rsidR="00F94409" w:rsidRPr="00F503ED">
        <w:rPr>
          <w:rFonts w:ascii="Bookman Old Style" w:hAnsi="Bookman Old Style" w:cs="Arial"/>
          <w:color w:val="000000" w:themeColor="text1"/>
          <w:sz w:val="24"/>
          <w:szCs w:val="24"/>
        </w:rPr>
        <w:t>presente r</w:t>
      </w:r>
      <w:r w:rsidRPr="00F503ED">
        <w:rPr>
          <w:rFonts w:ascii="Bookman Old Style" w:hAnsi="Bookman Old Style" w:cs="Arial"/>
          <w:color w:val="000000" w:themeColor="text1"/>
          <w:sz w:val="24"/>
          <w:szCs w:val="24"/>
        </w:rPr>
        <w:t>esolución.</w:t>
      </w:r>
    </w:p>
    <w:p w14:paraId="69D940BF" w14:textId="77777777" w:rsidR="007C59AD" w:rsidRPr="00F503ED" w:rsidRDefault="007C59AD" w:rsidP="007C59AD">
      <w:pPr>
        <w:pStyle w:val="Prrafodelista"/>
        <w:tabs>
          <w:tab w:val="left" w:pos="567"/>
        </w:tabs>
        <w:ind w:left="1080"/>
        <w:jc w:val="both"/>
        <w:rPr>
          <w:rFonts w:ascii="Bookman Old Style" w:hAnsi="Bookman Old Style" w:cs="Arial"/>
          <w:color w:val="000000" w:themeColor="text1"/>
          <w:sz w:val="24"/>
          <w:szCs w:val="24"/>
        </w:rPr>
      </w:pPr>
    </w:p>
    <w:p w14:paraId="4E95D6DC" w14:textId="30551D35" w:rsidR="007C59AD" w:rsidRPr="00F503ED" w:rsidRDefault="007C59AD" w:rsidP="002D5416">
      <w:pPr>
        <w:pStyle w:val="Prrafodelista"/>
        <w:numPr>
          <w:ilvl w:val="2"/>
          <w:numId w:val="258"/>
        </w:numPr>
        <w:tabs>
          <w:tab w:val="left" w:pos="567"/>
        </w:tabs>
        <w:ind w:left="72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Beneficiario de la garantía: El beneficiario de la garantía es la fiducia mercantil que para tales efectos constituya el gestor del mercado de gas natural</w:t>
      </w:r>
      <w:r w:rsidRPr="00F503ED">
        <w:rPr>
          <w:rFonts w:ascii="Bookman Old Style" w:hAnsi="Bookman Old Style" w:cs="Arial"/>
          <w:b/>
          <w:bCs/>
          <w:color w:val="000000" w:themeColor="text1"/>
          <w:sz w:val="24"/>
          <w:szCs w:val="24"/>
        </w:rPr>
        <w:t xml:space="preserve">, según lo </w:t>
      </w:r>
      <w:r w:rsidR="00FB5EC0" w:rsidRPr="00F503ED">
        <w:rPr>
          <w:rFonts w:ascii="Bookman Old Style" w:hAnsi="Bookman Old Style" w:cs="Arial"/>
          <w:b/>
          <w:bCs/>
          <w:color w:val="000000" w:themeColor="text1"/>
          <w:sz w:val="24"/>
          <w:szCs w:val="24"/>
        </w:rPr>
        <w:t xml:space="preserve">establecido en el numeral 5.13.1 del Anexo 7 de la presente resolución y </w:t>
      </w:r>
      <w:r w:rsidR="00E821D2" w:rsidRPr="00F503ED">
        <w:rPr>
          <w:rFonts w:ascii="Bookman Old Style" w:hAnsi="Bookman Old Style" w:cs="Arial"/>
          <w:b/>
          <w:bCs/>
          <w:color w:val="000000" w:themeColor="text1"/>
          <w:sz w:val="24"/>
          <w:szCs w:val="24"/>
        </w:rPr>
        <w:t>en el Anexo 9 de la misma</w:t>
      </w:r>
      <w:r w:rsidRPr="00F503ED">
        <w:rPr>
          <w:rFonts w:ascii="Bookman Old Style" w:hAnsi="Bookman Old Style" w:cs="Arial"/>
          <w:color w:val="000000" w:themeColor="text1"/>
          <w:sz w:val="24"/>
          <w:szCs w:val="24"/>
        </w:rPr>
        <w:t>.</w:t>
      </w:r>
    </w:p>
    <w:p w14:paraId="656094A1" w14:textId="77777777" w:rsidR="007C59AD" w:rsidRPr="00F503ED" w:rsidRDefault="007C59AD" w:rsidP="002D5416">
      <w:pPr>
        <w:pStyle w:val="Prrafodelista"/>
        <w:tabs>
          <w:tab w:val="left" w:pos="567"/>
        </w:tabs>
        <w:ind w:left="720"/>
        <w:jc w:val="both"/>
        <w:rPr>
          <w:rFonts w:ascii="Bookman Old Style" w:hAnsi="Bookman Old Style" w:cs="Arial"/>
          <w:color w:val="000000" w:themeColor="text1"/>
          <w:sz w:val="24"/>
          <w:szCs w:val="24"/>
        </w:rPr>
      </w:pPr>
    </w:p>
    <w:p w14:paraId="4532D51B" w14:textId="77777777" w:rsidR="007C59AD" w:rsidRPr="002D5416" w:rsidRDefault="007C59AD" w:rsidP="002D5416">
      <w:pPr>
        <w:pStyle w:val="Prrafodelista"/>
        <w:numPr>
          <w:ilvl w:val="2"/>
          <w:numId w:val="258"/>
        </w:numPr>
        <w:tabs>
          <w:tab w:val="left" w:pos="567"/>
        </w:tabs>
        <w:ind w:left="72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Beneficiario de los recursos que resulten de la ejecución de la</w:t>
      </w:r>
      <w:r w:rsidRPr="002D5416">
        <w:rPr>
          <w:rFonts w:ascii="Bookman Old Style" w:hAnsi="Bookman Old Style" w:cs="Arial"/>
          <w:color w:val="000000" w:themeColor="text1"/>
          <w:sz w:val="24"/>
          <w:szCs w:val="24"/>
        </w:rPr>
        <w:t xml:space="preserve"> garantía de participación: Cuando haya lugar a la ejecución de la garantía de participación de un vendedor o un comprador, los recursos que resulten de la ejecución de la misma serán transferidos a las correspondientes contrapartes que hayan resultado con asignaciones en la subasta, en forma proporcional a estas, según corresponda.</w:t>
      </w:r>
    </w:p>
    <w:p w14:paraId="4A2646DF" w14:textId="77777777" w:rsidR="007C59AD" w:rsidRPr="002D5416" w:rsidRDefault="007C59AD" w:rsidP="002D5416">
      <w:pPr>
        <w:pStyle w:val="Prrafodelista"/>
        <w:tabs>
          <w:tab w:val="left" w:pos="567"/>
        </w:tabs>
        <w:ind w:left="720"/>
        <w:jc w:val="both"/>
        <w:rPr>
          <w:rFonts w:ascii="Bookman Old Style" w:hAnsi="Bookman Old Style" w:cs="Arial"/>
          <w:color w:val="000000" w:themeColor="text1"/>
          <w:sz w:val="24"/>
          <w:szCs w:val="24"/>
        </w:rPr>
      </w:pPr>
    </w:p>
    <w:p w14:paraId="3979BF97" w14:textId="77777777" w:rsidR="007C59AD" w:rsidRPr="002D5416" w:rsidRDefault="007C59AD" w:rsidP="002D5416">
      <w:pPr>
        <w:pStyle w:val="Prrafodelista"/>
        <w:tabs>
          <w:tab w:val="left" w:pos="567"/>
        </w:tabs>
        <w:ind w:left="72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La fiducia mercantil hará las transferencias a los beneficiarios de los recursos que resulten de la ejecución de la garantía, descontando los gastos de transferencias bancarias y GMF.</w:t>
      </w:r>
    </w:p>
    <w:p w14:paraId="0EB7D0E3" w14:textId="77777777" w:rsidR="007C59AD" w:rsidRPr="002D5416" w:rsidRDefault="007C59AD" w:rsidP="002D5416">
      <w:pPr>
        <w:pStyle w:val="Prrafodelista"/>
        <w:tabs>
          <w:tab w:val="left" w:pos="567"/>
        </w:tabs>
        <w:ind w:left="720"/>
        <w:jc w:val="both"/>
        <w:rPr>
          <w:rFonts w:ascii="Bookman Old Style" w:hAnsi="Bookman Old Style" w:cs="Arial"/>
          <w:color w:val="000000" w:themeColor="text1"/>
          <w:sz w:val="24"/>
          <w:szCs w:val="24"/>
        </w:rPr>
      </w:pPr>
    </w:p>
    <w:p w14:paraId="3CD53D73" w14:textId="5E9A38B1" w:rsidR="007C59AD" w:rsidRPr="00F503ED" w:rsidRDefault="007C59AD" w:rsidP="002D5416">
      <w:pPr>
        <w:pStyle w:val="Prrafodelista"/>
        <w:numPr>
          <w:ilvl w:val="2"/>
          <w:numId w:val="258"/>
        </w:numPr>
        <w:tabs>
          <w:tab w:val="left" w:pos="567"/>
        </w:tabs>
        <w:ind w:left="72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Fecha de entrega de la garantía: Los vendedores y los compradores tendrán hasta las 17:00 horas de un día hábil antes del </w:t>
      </w:r>
      <w:r w:rsidRPr="00F503ED">
        <w:rPr>
          <w:rFonts w:ascii="Bookman Old Style" w:hAnsi="Bookman Old Style" w:cs="Arial"/>
          <w:color w:val="000000" w:themeColor="text1"/>
          <w:sz w:val="24"/>
          <w:szCs w:val="24"/>
        </w:rPr>
        <w:t xml:space="preserve">día </w:t>
      </w:r>
      <w:r w:rsidR="008D715C" w:rsidRPr="00F503ED">
        <w:rPr>
          <w:rFonts w:ascii="Bookman Old Style" w:hAnsi="Bookman Old Style" w:cs="Arial"/>
          <w:b/>
          <w:bCs/>
          <w:color w:val="000000" w:themeColor="text1"/>
          <w:sz w:val="24"/>
          <w:szCs w:val="24"/>
        </w:rPr>
        <w:t>quinto</w:t>
      </w:r>
      <w:r w:rsidRPr="00F503ED">
        <w:rPr>
          <w:rFonts w:ascii="Bookman Old Style" w:hAnsi="Bookman Old Style" w:cs="Arial"/>
          <w:color w:val="000000" w:themeColor="text1"/>
          <w:sz w:val="24"/>
          <w:szCs w:val="24"/>
        </w:rPr>
        <w:t xml:space="preserve"> hábil antes de la realización de la subasta. </w:t>
      </w:r>
    </w:p>
    <w:p w14:paraId="5BA34C54" w14:textId="77777777" w:rsidR="007C59AD" w:rsidRPr="00F503ED" w:rsidRDefault="007C59AD" w:rsidP="002D5416">
      <w:pPr>
        <w:pStyle w:val="Prrafodelista"/>
        <w:tabs>
          <w:tab w:val="left" w:pos="567"/>
        </w:tabs>
        <w:ind w:left="720"/>
        <w:jc w:val="both"/>
        <w:rPr>
          <w:rFonts w:ascii="Bookman Old Style" w:hAnsi="Bookman Old Style" w:cs="Arial"/>
          <w:color w:val="000000" w:themeColor="text1"/>
          <w:sz w:val="24"/>
          <w:szCs w:val="24"/>
        </w:rPr>
      </w:pPr>
    </w:p>
    <w:p w14:paraId="22B40D68" w14:textId="77777777" w:rsidR="007C59AD" w:rsidRPr="002D5416" w:rsidRDefault="007C59AD" w:rsidP="002D5416">
      <w:pPr>
        <w:pStyle w:val="Prrafodelista"/>
        <w:numPr>
          <w:ilvl w:val="2"/>
          <w:numId w:val="258"/>
        </w:numPr>
        <w:tabs>
          <w:tab w:val="left" w:pos="567"/>
        </w:tabs>
        <w:ind w:left="72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Vigencia de la garantía: El plazo que cubre la garantía corresponderá al número de días calendario desde la entrega de la garantía hasta el</w:t>
      </w:r>
      <w:r w:rsidRPr="002D5416">
        <w:rPr>
          <w:rFonts w:ascii="Bookman Old Style" w:hAnsi="Bookman Old Style" w:cs="Arial"/>
          <w:color w:val="000000" w:themeColor="text1"/>
          <w:sz w:val="24"/>
          <w:szCs w:val="24"/>
        </w:rPr>
        <w:t xml:space="preserve"> </w:t>
      </w:r>
      <w:r w:rsidRPr="002D5416">
        <w:rPr>
          <w:rFonts w:ascii="Bookman Old Style" w:hAnsi="Bookman Old Style" w:cs="Arial"/>
          <w:sz w:val="24"/>
          <w:szCs w:val="24"/>
        </w:rPr>
        <w:t>último día hábil previo al primer mes de inicio del compromiso más</w:t>
      </w:r>
      <w:r w:rsidRPr="002D5416">
        <w:rPr>
          <w:rFonts w:ascii="Bookman Old Style" w:hAnsi="Bookman Old Style" w:cs="Arial"/>
          <w:color w:val="000000" w:themeColor="text1"/>
          <w:sz w:val="24"/>
          <w:szCs w:val="24"/>
        </w:rPr>
        <w:t xml:space="preserve"> un (1) día hábil.</w:t>
      </w:r>
    </w:p>
    <w:p w14:paraId="70730EEB" w14:textId="77777777" w:rsidR="007C59AD" w:rsidRPr="002D5416" w:rsidRDefault="007C59AD" w:rsidP="002D5416">
      <w:pPr>
        <w:pStyle w:val="Prrafodelista"/>
        <w:ind w:left="360"/>
        <w:rPr>
          <w:rFonts w:ascii="Bookman Old Style" w:hAnsi="Bookman Old Style" w:cs="Arial"/>
          <w:color w:val="000000" w:themeColor="text1"/>
          <w:sz w:val="24"/>
          <w:szCs w:val="24"/>
        </w:rPr>
      </w:pPr>
    </w:p>
    <w:p w14:paraId="091039CC" w14:textId="77777777" w:rsidR="007C59AD" w:rsidRPr="002D5416" w:rsidRDefault="007C59AD" w:rsidP="002D5416">
      <w:pPr>
        <w:pStyle w:val="Prrafodelista"/>
        <w:numPr>
          <w:ilvl w:val="2"/>
          <w:numId w:val="258"/>
        </w:numPr>
        <w:tabs>
          <w:tab w:val="left" w:pos="567"/>
        </w:tabs>
        <w:ind w:left="732"/>
        <w:jc w:val="both"/>
        <w:rPr>
          <w:rFonts w:ascii="Bookman Old Style" w:hAnsi="Bookman Old Style" w:cs="Arial"/>
          <w:color w:val="000000" w:themeColor="text1"/>
          <w:sz w:val="24"/>
          <w:szCs w:val="24"/>
        </w:rPr>
      </w:pPr>
      <w:bookmarkStart w:id="211" w:name="_Ref410812201"/>
      <w:r w:rsidRPr="002D5416">
        <w:rPr>
          <w:rFonts w:ascii="Bookman Old Style" w:hAnsi="Bookman Old Style" w:cs="Arial"/>
          <w:color w:val="000000" w:themeColor="text1"/>
          <w:sz w:val="24"/>
          <w:szCs w:val="24"/>
        </w:rPr>
        <w:t>Valor de la garantía para los vendedores: La garantía de participación tiene un valor inicial en la fecha de entrega y un valor final ajustado cuando el gestor del mercado de gas natural conozca la declaración de la oferta.</w:t>
      </w:r>
    </w:p>
    <w:p w14:paraId="4E85F44A"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03F9A908"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Valor inicial</w:t>
      </w:r>
    </w:p>
    <w:p w14:paraId="1BD64BD6"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0727FF80"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2481922A" w14:textId="77777777" w:rsidR="007C59AD" w:rsidRPr="002D5416" w:rsidRDefault="00FB7B28" w:rsidP="002D5416">
      <w:pPr>
        <w:pStyle w:val="Prrafodelista"/>
        <w:tabs>
          <w:tab w:val="left" w:pos="567"/>
        </w:tabs>
        <w:ind w:left="732"/>
        <w:jc w:val="both"/>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VLRLP</m:t>
              </m:r>
            </m:e>
            <m:sub>
              <m:r>
                <w:rPr>
                  <w:rFonts w:ascii="Cambria Math" w:hAnsi="Cambria Math" w:cs="Arial"/>
                  <w:color w:val="000000" w:themeColor="text1"/>
                  <w:sz w:val="24"/>
                  <w:szCs w:val="24"/>
                </w:rPr>
                <m:t xml:space="preserve">v </m:t>
              </m:r>
            </m:sub>
          </m:sSub>
          <m:r>
            <w:rPr>
              <w:rFonts w:ascii="Cambria Math" w:hAnsi="Cambria Math" w:cs="Arial"/>
              <w:color w:val="000000" w:themeColor="text1"/>
              <w:sz w:val="24"/>
              <w:szCs w:val="24"/>
            </w:rPr>
            <m:t xml:space="preserve">=0,05 ×30 ×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Oferta</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 xml:space="preserve"> ×p ×TRM</m:t>
          </m:r>
        </m:oMath>
      </m:oMathPara>
    </w:p>
    <w:p w14:paraId="19D125BC"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07A153EC"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Valor final</w:t>
      </w:r>
    </w:p>
    <w:p w14:paraId="531D482B" w14:textId="77777777" w:rsidR="007C59AD" w:rsidRPr="002D5416" w:rsidRDefault="007C59AD" w:rsidP="002D5416">
      <w:pPr>
        <w:pStyle w:val="Prrafodelista"/>
        <w:ind w:left="360"/>
        <w:rPr>
          <w:rFonts w:ascii="Bookman Old Style" w:hAnsi="Bookman Old Style" w:cs="Arial"/>
          <w:color w:val="000000" w:themeColor="text1"/>
          <w:sz w:val="24"/>
          <w:szCs w:val="24"/>
        </w:rPr>
      </w:pPr>
    </w:p>
    <w:p w14:paraId="256685BF" w14:textId="77777777" w:rsidR="007C59AD" w:rsidRPr="002D5416" w:rsidRDefault="00FB7B28" w:rsidP="002D5416">
      <w:pPr>
        <w:pStyle w:val="Prrafodelista"/>
        <w:ind w:left="36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VLRLP</m:t>
              </m:r>
            </m:e>
            <m:sub>
              <m:r>
                <w:rPr>
                  <w:rFonts w:ascii="Cambria Math" w:hAnsi="Cambria Math" w:cs="Arial"/>
                  <w:color w:val="000000" w:themeColor="text1"/>
                  <w:sz w:val="24"/>
                  <w:szCs w:val="24"/>
                </w:rPr>
                <m:t xml:space="preserve">v </m:t>
              </m:r>
            </m:sub>
          </m:sSub>
          <m:r>
            <w:rPr>
              <w:rFonts w:ascii="Cambria Math" w:hAnsi="Cambria Math" w:cs="Arial"/>
              <w:color w:val="000000" w:themeColor="text1"/>
              <w:sz w:val="24"/>
              <w:szCs w:val="24"/>
            </w:rPr>
            <m:t xml:space="preserve">=0,05 ×30 × </m:t>
          </m:r>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Oferta</m:t>
              </m:r>
            </m:e>
            <m:sub>
              <m:r>
                <w:rPr>
                  <w:rFonts w:ascii="Cambria Math" w:hAnsi="Cambria Math" w:cs="Arial"/>
                  <w:color w:val="000000" w:themeColor="text1"/>
                  <w:sz w:val="24"/>
                  <w:szCs w:val="24"/>
                </w:rPr>
                <m:t>v</m:t>
              </m:r>
            </m:sub>
            <m:sup>
              <m:r>
                <w:rPr>
                  <w:rFonts w:ascii="Cambria Math" w:hAnsi="Cambria Math" w:cs="Arial"/>
                  <w:color w:val="000000" w:themeColor="text1"/>
                  <w:sz w:val="24"/>
                  <w:szCs w:val="24"/>
                </w:rPr>
                <m:t>'</m:t>
              </m:r>
            </m:sup>
          </m:sSubSup>
          <m:r>
            <w:rPr>
              <w:rFonts w:ascii="Cambria Math" w:hAnsi="Cambria Math" w:cs="Arial"/>
              <w:color w:val="000000" w:themeColor="text1"/>
              <w:sz w:val="24"/>
              <w:szCs w:val="24"/>
            </w:rPr>
            <m:t>×p ×TRM</m:t>
          </m:r>
        </m:oMath>
      </m:oMathPara>
    </w:p>
    <w:p w14:paraId="6925A7FB" w14:textId="77777777" w:rsidR="007C59AD" w:rsidRPr="002D5416" w:rsidRDefault="007C59AD" w:rsidP="002D5416">
      <w:pPr>
        <w:pStyle w:val="Prrafodelista"/>
        <w:ind w:left="360"/>
        <w:rPr>
          <w:rFonts w:ascii="Bookman Old Style" w:hAnsi="Bookman Old Style" w:cs="Arial"/>
          <w:color w:val="000000" w:themeColor="text1"/>
          <w:sz w:val="24"/>
          <w:szCs w:val="24"/>
        </w:rPr>
      </w:pPr>
    </w:p>
    <w:p w14:paraId="64AA3FD8" w14:textId="77777777" w:rsidR="007C59AD" w:rsidRPr="002D5416" w:rsidRDefault="007C59AD" w:rsidP="002D5416">
      <w:pPr>
        <w:pStyle w:val="Prrafodelista"/>
        <w:ind w:left="360"/>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Donde:</w:t>
      </w:r>
    </w:p>
    <w:p w14:paraId="72601E61" w14:textId="77777777" w:rsidR="007C59AD" w:rsidRPr="002D5416" w:rsidRDefault="007C59AD" w:rsidP="002D5416">
      <w:pPr>
        <w:pStyle w:val="Prrafodelista"/>
        <w:ind w:left="360"/>
        <w:rPr>
          <w:rFonts w:ascii="Bookman Old Style" w:hAnsi="Bookman Old Style" w:cs="Arial"/>
          <w:color w:val="000000" w:themeColor="text1"/>
          <w:sz w:val="24"/>
          <w:szCs w:val="24"/>
        </w:rPr>
      </w:pPr>
    </w:p>
    <w:tbl>
      <w:tblPr>
        <w:tblStyle w:val="Tablaconcuadrcula"/>
        <w:tblW w:w="0" w:type="auto"/>
        <w:tblInd w:w="469"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1160"/>
        <w:gridCol w:w="7384"/>
      </w:tblGrid>
      <w:tr w:rsidR="007C59AD" w:rsidRPr="00DA5F4E" w14:paraId="23332B16" w14:textId="77777777" w:rsidTr="002D5416">
        <w:tc>
          <w:tcPr>
            <w:tcW w:w="1160" w:type="dxa"/>
          </w:tcPr>
          <w:p w14:paraId="6C7A5211" w14:textId="77777777" w:rsidR="007C59AD" w:rsidRPr="002D5416" w:rsidRDefault="007C59AD">
            <w:pPr>
              <w:pStyle w:val="Prrafodelista"/>
              <w:ind w:left="0"/>
              <w:rPr>
                <w:rFonts w:ascii="Bookman Old Style" w:hAnsi="Bookman Old Style" w:cs="Arial"/>
                <w:color w:val="000000" w:themeColor="text1"/>
                <w:sz w:val="24"/>
                <w:szCs w:val="24"/>
              </w:rPr>
            </w:pPr>
            <m:oMathPara>
              <m:oMathParaPr>
                <m:jc m:val="left"/>
              </m:oMathParaPr>
              <m:oMath>
                <m:r>
                  <w:rPr>
                    <w:rFonts w:ascii="Cambria Math" w:hAnsi="Cambria Math" w:cs="Arial"/>
                    <w:color w:val="000000" w:themeColor="text1"/>
                    <w:sz w:val="24"/>
                    <w:szCs w:val="24"/>
                  </w:rPr>
                  <w:lastRenderedPageBreak/>
                  <m:t>v:</m:t>
                </m:r>
              </m:oMath>
            </m:oMathPara>
          </w:p>
          <w:p w14:paraId="2BAB467F"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p>
        </w:tc>
        <w:tc>
          <w:tcPr>
            <w:tcW w:w="7384" w:type="dxa"/>
          </w:tcPr>
          <w:p w14:paraId="64BC3466" w14:textId="77777777"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Vendedores. </w:t>
            </w:r>
          </w:p>
        </w:tc>
      </w:tr>
      <w:tr w:rsidR="007C59AD" w:rsidRPr="00DA5F4E" w14:paraId="5A884F36" w14:textId="77777777" w:rsidTr="002D5416">
        <w:tc>
          <w:tcPr>
            <w:tcW w:w="1160" w:type="dxa"/>
          </w:tcPr>
          <w:p w14:paraId="7D08B265" w14:textId="77777777" w:rsidR="007C59AD" w:rsidRPr="002D5416" w:rsidRDefault="00FB7B28">
            <w:pPr>
              <w:pStyle w:val="Prrafodelista"/>
              <w:tabs>
                <w:tab w:val="left" w:pos="567"/>
              </w:tabs>
              <w:ind w:left="0"/>
              <w:jc w:val="both"/>
              <w:rPr>
                <w:rFonts w:ascii="Bookman Old Style" w:hAnsi="Bookman Old Style" w:cs="Arial"/>
                <w:color w:val="000000" w:themeColor="text1"/>
                <w:sz w:val="24"/>
                <w:szCs w:val="24"/>
              </w:rPr>
            </w:pPr>
            <m:oMathPara>
              <m:oMathParaPr>
                <m:jc m:val="left"/>
              </m:oMathPara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VLRLP</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m:t>
                </m:r>
              </m:oMath>
            </m:oMathPara>
          </w:p>
          <w:p w14:paraId="51B0D0DD" w14:textId="77777777" w:rsidR="007C59AD" w:rsidRPr="002D5416" w:rsidRDefault="007C59AD">
            <w:pPr>
              <w:pStyle w:val="Prrafodelista"/>
              <w:tabs>
                <w:tab w:val="left" w:pos="567"/>
              </w:tabs>
              <w:ind w:left="0"/>
              <w:jc w:val="both"/>
              <w:rPr>
                <w:color w:val="000000" w:themeColor="text1"/>
                <w:sz w:val="24"/>
                <w:szCs w:val="24"/>
              </w:rPr>
            </w:pPr>
          </w:p>
        </w:tc>
        <w:tc>
          <w:tcPr>
            <w:tcW w:w="7384" w:type="dxa"/>
          </w:tcPr>
          <w:p w14:paraId="07499803" w14:textId="7B591695"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 xml:space="preserve">Valor de la garantía en pesos </w:t>
            </w:r>
            <w:r w:rsidR="00FB5EC0">
              <w:rPr>
                <w:rFonts w:ascii="Bookman Old Style" w:hAnsi="Bookman Old Style" w:cs="Arial"/>
                <w:sz w:val="24"/>
                <w:szCs w:val="24"/>
              </w:rPr>
              <w:t>c</w:t>
            </w:r>
            <w:r w:rsidRPr="002D5416">
              <w:rPr>
                <w:rFonts w:ascii="Bookman Old Style" w:hAnsi="Bookman Old Style" w:cs="Arial"/>
                <w:sz w:val="24"/>
                <w:szCs w:val="24"/>
              </w:rPr>
              <w:t>olombianos.</w:t>
            </w:r>
          </w:p>
          <w:p w14:paraId="2D5969E2" w14:textId="77777777" w:rsidR="007C59AD" w:rsidRPr="002D5416" w:rsidRDefault="007C59AD">
            <w:pPr>
              <w:pStyle w:val="Prrafodelista"/>
              <w:ind w:left="0"/>
              <w:jc w:val="both"/>
              <w:rPr>
                <w:rFonts w:ascii="Bookman Old Style" w:hAnsi="Bookman Old Style" w:cs="Arial"/>
                <w:sz w:val="24"/>
                <w:szCs w:val="24"/>
              </w:rPr>
            </w:pPr>
          </w:p>
          <w:p w14:paraId="5A3FBED1"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7CF56BBA" w14:textId="77777777" w:rsidTr="002D5416">
        <w:tc>
          <w:tcPr>
            <w:tcW w:w="1160" w:type="dxa"/>
          </w:tcPr>
          <w:p w14:paraId="3A53AB0D"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m:t>
              </m:r>
            </m:oMath>
            <w:r w:rsidRPr="002D5416">
              <w:rPr>
                <w:rFonts w:ascii="Bookman Old Style" w:hAnsi="Bookman Old Style" w:cs="Arial"/>
                <w:color w:val="000000" w:themeColor="text1"/>
                <w:sz w:val="24"/>
                <w:szCs w:val="24"/>
              </w:rPr>
              <w:t>:</w:t>
            </w:r>
          </w:p>
        </w:tc>
        <w:tc>
          <w:tcPr>
            <w:tcW w:w="7384" w:type="dxa"/>
          </w:tcPr>
          <w:p w14:paraId="36D5E2CC" w14:textId="77777777"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Precio en dólares de los Estados Unidos de América por MBTU que corresponde al promedio ponderado por cantidad de los contratos firmes a un (1) año, negociados en el año inmediatamente anterior.</w:t>
            </w:r>
          </w:p>
          <w:p w14:paraId="466A741E" w14:textId="77777777" w:rsidR="007C59AD" w:rsidRPr="002D5416" w:rsidRDefault="007C59AD">
            <w:pPr>
              <w:pStyle w:val="Prrafodelista"/>
              <w:ind w:left="0"/>
              <w:jc w:val="both"/>
              <w:rPr>
                <w:rFonts w:ascii="Bookman Old Style" w:hAnsi="Bookman Old Style" w:cs="Arial"/>
                <w:sz w:val="24"/>
                <w:szCs w:val="24"/>
              </w:rPr>
            </w:pPr>
          </w:p>
        </w:tc>
      </w:tr>
      <w:tr w:rsidR="007C59AD" w:rsidRPr="00DA5F4E" w14:paraId="25B98100" w14:textId="77777777" w:rsidTr="002D5416">
        <w:tc>
          <w:tcPr>
            <w:tcW w:w="1160" w:type="dxa"/>
          </w:tcPr>
          <w:p w14:paraId="6E32ADB0"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TRM</m:t>
              </m:r>
            </m:oMath>
            <w:r w:rsidRPr="002D5416">
              <w:rPr>
                <w:rFonts w:ascii="Bookman Old Style" w:hAnsi="Bookman Old Style" w:cs="Arial"/>
                <w:color w:val="000000" w:themeColor="text1"/>
                <w:sz w:val="24"/>
                <w:szCs w:val="24"/>
              </w:rPr>
              <w:t>:</w:t>
            </w:r>
          </w:p>
        </w:tc>
        <w:tc>
          <w:tcPr>
            <w:tcW w:w="7384" w:type="dxa"/>
          </w:tcPr>
          <w:p w14:paraId="293E212A" w14:textId="56D344C1"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Tasa Representativa del Mercado en pesos </w:t>
            </w:r>
            <w:r w:rsidR="00FB5EC0">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 por dólar de los Estados Unidos de América, del último día hábil del mes anterior a la estimación de la garantía, certificado por la Superintendencia Financiera de Colombia.</w:t>
            </w:r>
          </w:p>
          <w:p w14:paraId="4F8B1535"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6ED781AE" w14:textId="77777777" w:rsidTr="002D5416">
        <w:tc>
          <w:tcPr>
            <w:tcW w:w="1160" w:type="dxa"/>
          </w:tcPr>
          <w:p w14:paraId="5896A24F" w14:textId="77777777" w:rsidR="007C59AD" w:rsidRPr="00295053" w:rsidRDefault="00FB7B28">
            <w:pPr>
              <w:pStyle w:val="Prrafodelista"/>
              <w:ind w:left="0"/>
              <w:rPr>
                <w:rFonts w:ascii="Bookman Old Style" w:hAnsi="Bookman Old Style" w:cs="Arial"/>
                <w:color w:val="000000" w:themeColor="text1"/>
                <w:sz w:val="24"/>
                <w:szCs w:val="24"/>
                <w:highlight w:val="magenta"/>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Oferta</m:t>
                  </m:r>
                </m:e>
                <m:sub>
                  <m:r>
                    <w:rPr>
                      <w:rFonts w:ascii="Cambria Math" w:hAnsi="Cambria Math" w:cs="Arial"/>
                      <w:color w:val="000000" w:themeColor="text1"/>
                      <w:sz w:val="24"/>
                      <w:szCs w:val="24"/>
                    </w:rPr>
                    <m:t>v</m:t>
                  </m:r>
                </m:sub>
              </m:sSub>
            </m:oMath>
            <w:r w:rsidR="007C59AD" w:rsidRPr="002B55B6">
              <w:rPr>
                <w:rFonts w:ascii="Bookman Old Style" w:hAnsi="Bookman Old Style" w:cs="Arial"/>
                <w:color w:val="000000" w:themeColor="text1"/>
                <w:sz w:val="24"/>
                <w:szCs w:val="24"/>
              </w:rPr>
              <w:t>:</w:t>
            </w:r>
          </w:p>
        </w:tc>
        <w:tc>
          <w:tcPr>
            <w:tcW w:w="7384" w:type="dxa"/>
          </w:tcPr>
          <w:p w14:paraId="25DD8B37" w14:textId="6D3473F6" w:rsidR="007C59AD" w:rsidRPr="002B55B6" w:rsidRDefault="007C59AD">
            <w:pPr>
              <w:pStyle w:val="Prrafodelista"/>
              <w:tabs>
                <w:tab w:val="left" w:pos="567"/>
              </w:tabs>
              <w:ind w:left="0"/>
              <w:jc w:val="both"/>
              <w:rPr>
                <w:rFonts w:ascii="Bookman Old Style" w:hAnsi="Bookman Old Style" w:cs="Arial"/>
                <w:color w:val="000000" w:themeColor="text1"/>
                <w:sz w:val="24"/>
                <w:szCs w:val="24"/>
              </w:rPr>
            </w:pPr>
            <w:r w:rsidRPr="002B55B6">
              <w:rPr>
                <w:rFonts w:ascii="Bookman Old Style" w:hAnsi="Bookman Old Style" w:cs="Arial"/>
                <w:color w:val="000000" w:themeColor="text1"/>
                <w:sz w:val="24"/>
                <w:szCs w:val="24"/>
              </w:rPr>
              <w:t xml:space="preserve">Para la primera subasta en que participe el vendedor </w:t>
            </w:r>
            <m:oMath>
              <m:r>
                <w:rPr>
                  <w:rFonts w:ascii="Cambria Math" w:hAnsi="Cambria Math" w:cs="Arial"/>
                  <w:color w:val="000000" w:themeColor="text1"/>
                  <w:sz w:val="24"/>
                  <w:szCs w:val="24"/>
                </w:rPr>
                <m:t>v</m:t>
              </m:r>
            </m:oMath>
            <w:r w:rsidRPr="002B55B6">
              <w:rPr>
                <w:rFonts w:ascii="Bookman Old Style" w:hAnsi="Bookman Old Style" w:cs="Arial"/>
                <w:color w:val="000000" w:themeColor="text1"/>
                <w:sz w:val="24"/>
                <w:szCs w:val="24"/>
              </w:rPr>
              <w:t xml:space="preserve"> el valor de la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Oferta</m:t>
                  </m:r>
                </m:e>
                <m:sub>
                  <m:r>
                    <w:rPr>
                      <w:rFonts w:ascii="Cambria Math" w:hAnsi="Cambria Math" w:cs="Arial"/>
                      <w:color w:val="000000" w:themeColor="text1"/>
                      <w:sz w:val="24"/>
                      <w:szCs w:val="24"/>
                    </w:rPr>
                    <m:t>v</m:t>
                  </m:r>
                </m:sub>
              </m:sSub>
            </m:oMath>
            <w:r w:rsidRPr="002B55B6">
              <w:rPr>
                <w:rFonts w:ascii="Bookman Old Style" w:hAnsi="Bookman Old Style" w:cs="Arial"/>
                <w:color w:val="000000" w:themeColor="text1"/>
                <w:sz w:val="24"/>
                <w:szCs w:val="24"/>
              </w:rPr>
              <w:t xml:space="preserve"> corresponderá a 35</w:t>
            </w:r>
            <w:r w:rsidR="002B55B6" w:rsidRPr="00295053">
              <w:rPr>
                <w:rFonts w:ascii="Bookman Old Style" w:hAnsi="Bookman Old Style" w:cs="Arial"/>
                <w:color w:val="000000" w:themeColor="text1"/>
                <w:sz w:val="24"/>
                <w:szCs w:val="24"/>
              </w:rPr>
              <w:t>.</w:t>
            </w:r>
            <w:r w:rsidRPr="002B55B6">
              <w:rPr>
                <w:rFonts w:ascii="Bookman Old Style" w:hAnsi="Bookman Old Style" w:cs="Arial"/>
                <w:color w:val="000000" w:themeColor="text1"/>
                <w:sz w:val="24"/>
                <w:szCs w:val="24"/>
              </w:rPr>
              <w:t xml:space="preserve">000 MBTUD. </w:t>
            </w:r>
          </w:p>
          <w:p w14:paraId="3F3280A4" w14:textId="77777777" w:rsidR="007C59AD" w:rsidRPr="002B55B6" w:rsidRDefault="007C59AD">
            <w:pPr>
              <w:pStyle w:val="Prrafodelista"/>
              <w:tabs>
                <w:tab w:val="left" w:pos="567"/>
              </w:tabs>
              <w:ind w:left="0"/>
              <w:jc w:val="both"/>
              <w:rPr>
                <w:rFonts w:ascii="Bookman Old Style" w:hAnsi="Bookman Old Style" w:cs="Arial"/>
                <w:color w:val="000000" w:themeColor="text1"/>
                <w:sz w:val="24"/>
                <w:szCs w:val="24"/>
              </w:rPr>
            </w:pPr>
          </w:p>
          <w:p w14:paraId="0F7DEE3F" w14:textId="36272A29" w:rsidR="007C59AD" w:rsidRPr="002B55B6" w:rsidRDefault="007C59AD">
            <w:pPr>
              <w:pStyle w:val="Prrafodelista"/>
              <w:tabs>
                <w:tab w:val="left" w:pos="567"/>
              </w:tabs>
              <w:ind w:left="0"/>
              <w:jc w:val="both"/>
              <w:rPr>
                <w:rFonts w:ascii="Bookman Old Style" w:hAnsi="Bookman Old Style" w:cs="Arial"/>
                <w:sz w:val="24"/>
                <w:szCs w:val="24"/>
              </w:rPr>
            </w:pPr>
            <w:r w:rsidRPr="002B55B6">
              <w:rPr>
                <w:rFonts w:ascii="Bookman Old Style" w:hAnsi="Bookman Old Style" w:cs="Arial"/>
                <w:sz w:val="24"/>
                <w:szCs w:val="24"/>
              </w:rPr>
              <w:t xml:space="preserve">Para las siguientes subastas el valor de la </w:t>
            </w:r>
            <m:oMath>
              <m:sSub>
                <m:sSubPr>
                  <m:ctrlPr>
                    <w:rPr>
                      <w:rFonts w:ascii="Cambria Math" w:hAnsi="Cambria Math" w:cs="Arial"/>
                      <w:i/>
                      <w:sz w:val="24"/>
                      <w:szCs w:val="24"/>
                    </w:rPr>
                  </m:ctrlPr>
                </m:sSubPr>
                <m:e>
                  <m:r>
                    <w:rPr>
                      <w:rFonts w:ascii="Cambria Math" w:hAnsi="Cambria Math" w:cs="Arial"/>
                      <w:sz w:val="24"/>
                      <w:szCs w:val="24"/>
                    </w:rPr>
                    <m:t>Oferta</m:t>
                  </m:r>
                </m:e>
                <m:sub>
                  <m:r>
                    <w:rPr>
                      <w:rFonts w:ascii="Cambria Math" w:hAnsi="Cambria Math" w:cs="Arial"/>
                      <w:sz w:val="24"/>
                      <w:szCs w:val="24"/>
                    </w:rPr>
                    <m:t>v</m:t>
                  </m:r>
                </m:sub>
              </m:sSub>
            </m:oMath>
            <w:r w:rsidRPr="002B55B6">
              <w:rPr>
                <w:rFonts w:ascii="Bookman Old Style" w:hAnsi="Bookman Old Style" w:cs="Arial"/>
                <w:sz w:val="24"/>
                <w:szCs w:val="24"/>
              </w:rPr>
              <w:t xml:space="preserve"> corresponderá al mayor valor asignado al vendedor </w:t>
            </w:r>
            <m:oMath>
              <m:r>
                <w:rPr>
                  <w:rFonts w:ascii="Cambria Math" w:hAnsi="Cambria Math" w:cs="Arial"/>
                  <w:color w:val="000000" w:themeColor="text1"/>
                  <w:sz w:val="24"/>
                  <w:szCs w:val="24"/>
                </w:rPr>
                <m:t>v</m:t>
              </m:r>
            </m:oMath>
            <w:r w:rsidRPr="002B55B6">
              <w:rPr>
                <w:rFonts w:ascii="Bookman Old Style" w:hAnsi="Bookman Old Style" w:cs="Arial"/>
                <w:sz w:val="24"/>
                <w:szCs w:val="24"/>
              </w:rPr>
              <w:t xml:space="preserve"> en el mecanismo de comercialización de que trata el artículo </w:t>
            </w:r>
            <w:r w:rsidR="002B55B6" w:rsidRPr="00295053">
              <w:rPr>
                <w:rFonts w:ascii="Bookman Old Style" w:hAnsi="Bookman Old Style" w:cs="Arial"/>
                <w:b/>
                <w:bCs/>
                <w:sz w:val="24"/>
                <w:szCs w:val="24"/>
              </w:rPr>
              <w:t>22 de la presente resolución</w:t>
            </w:r>
            <w:r w:rsidRPr="00295053">
              <w:rPr>
                <w:rFonts w:ascii="Bookman Old Style" w:hAnsi="Bookman Old Style" w:cs="Arial"/>
                <w:b/>
                <w:bCs/>
                <w:sz w:val="24"/>
                <w:szCs w:val="24"/>
              </w:rPr>
              <w:t xml:space="preserve">, </w:t>
            </w:r>
            <w:r w:rsidRPr="002B55B6">
              <w:rPr>
                <w:rFonts w:ascii="Bookman Old Style" w:hAnsi="Bookman Old Style" w:cs="Arial"/>
                <w:sz w:val="24"/>
                <w:szCs w:val="24"/>
              </w:rPr>
              <w:t xml:space="preserve">del </w:t>
            </w:r>
            <w:r w:rsidR="002B55B6" w:rsidRPr="00295053">
              <w:rPr>
                <w:rFonts w:ascii="Bookman Old Style" w:hAnsi="Bookman Old Style" w:cs="Arial"/>
                <w:b/>
                <w:bCs/>
                <w:sz w:val="24"/>
                <w:szCs w:val="24"/>
              </w:rPr>
              <w:t>trimestre</w:t>
            </w:r>
            <w:r w:rsidR="002B55B6" w:rsidRPr="002B55B6">
              <w:rPr>
                <w:rFonts w:ascii="Bookman Old Style" w:hAnsi="Bookman Old Style" w:cs="Arial"/>
                <w:sz w:val="24"/>
                <w:szCs w:val="24"/>
              </w:rPr>
              <w:t xml:space="preserve"> </w:t>
            </w:r>
            <w:r w:rsidRPr="002B55B6">
              <w:rPr>
                <w:rFonts w:ascii="Bookman Old Style" w:hAnsi="Bookman Old Style" w:cs="Arial"/>
                <w:sz w:val="24"/>
                <w:szCs w:val="24"/>
              </w:rPr>
              <w:t>inmediatamente anterior</w:t>
            </w:r>
            <w:r w:rsidR="002B55B6">
              <w:rPr>
                <w:rFonts w:ascii="Bookman Old Style" w:hAnsi="Bookman Old Style" w:cs="Arial"/>
                <w:sz w:val="24"/>
                <w:szCs w:val="24"/>
              </w:rPr>
              <w:t xml:space="preserve"> </w:t>
            </w:r>
            <w:r w:rsidR="002B55B6" w:rsidRPr="00295053">
              <w:rPr>
                <w:rFonts w:ascii="Bookman Old Style" w:hAnsi="Bookman Old Style" w:cs="Arial"/>
                <w:b/>
                <w:bCs/>
                <w:sz w:val="24"/>
                <w:szCs w:val="24"/>
              </w:rPr>
              <w:t xml:space="preserve">en que se haya </w:t>
            </w:r>
            <w:r w:rsidR="002B55B6">
              <w:rPr>
                <w:rFonts w:ascii="Bookman Old Style" w:hAnsi="Bookman Old Style" w:cs="Arial"/>
                <w:b/>
                <w:bCs/>
                <w:sz w:val="24"/>
                <w:szCs w:val="24"/>
              </w:rPr>
              <w:t>desarroll</w:t>
            </w:r>
            <w:r w:rsidR="002B55B6" w:rsidRPr="00295053">
              <w:rPr>
                <w:rFonts w:ascii="Bookman Old Style" w:hAnsi="Bookman Old Style" w:cs="Arial"/>
                <w:b/>
                <w:bCs/>
                <w:sz w:val="24"/>
                <w:szCs w:val="24"/>
              </w:rPr>
              <w:t>ado subasta</w:t>
            </w:r>
            <w:r w:rsidRPr="00295053">
              <w:rPr>
                <w:rFonts w:ascii="Bookman Old Style" w:hAnsi="Bookman Old Style" w:cs="Arial"/>
                <w:b/>
                <w:bCs/>
                <w:sz w:val="24"/>
                <w:szCs w:val="24"/>
              </w:rPr>
              <w:t>,</w:t>
            </w:r>
            <w:r w:rsidRPr="002B55B6">
              <w:rPr>
                <w:rFonts w:ascii="Bookman Old Style" w:hAnsi="Bookman Old Style" w:cs="Arial"/>
                <w:sz w:val="24"/>
                <w:szCs w:val="24"/>
              </w:rPr>
              <w:t xml:space="preserve"> en MBTUD.</w:t>
            </w:r>
          </w:p>
          <w:p w14:paraId="6D29921E" w14:textId="77777777" w:rsidR="007C59AD" w:rsidRPr="00295053" w:rsidRDefault="007C59AD">
            <w:pPr>
              <w:pStyle w:val="Prrafodelista"/>
              <w:tabs>
                <w:tab w:val="left" w:pos="567"/>
              </w:tabs>
              <w:ind w:left="0"/>
              <w:jc w:val="both"/>
              <w:rPr>
                <w:rFonts w:ascii="Bookman Old Style" w:hAnsi="Bookman Old Style" w:cs="Arial"/>
                <w:color w:val="943634" w:themeColor="accent2" w:themeShade="BF"/>
                <w:sz w:val="24"/>
                <w:szCs w:val="24"/>
                <w:highlight w:val="magenta"/>
              </w:rPr>
            </w:pPr>
          </w:p>
        </w:tc>
      </w:tr>
      <w:tr w:rsidR="007C59AD" w:rsidRPr="00DA5F4E" w14:paraId="54C7D349" w14:textId="77777777" w:rsidTr="002D5416">
        <w:tc>
          <w:tcPr>
            <w:tcW w:w="1160" w:type="dxa"/>
          </w:tcPr>
          <w:p w14:paraId="5C96E8EB" w14:textId="77777777" w:rsidR="007C59AD" w:rsidRPr="002D5416" w:rsidRDefault="00FB7B28">
            <w:pPr>
              <w:pStyle w:val="Prrafodelista"/>
              <w:ind w:left="0"/>
              <w:rPr>
                <w:rFonts w:ascii="Bookman Old Style" w:hAnsi="Bookman Old Style" w:cs="Arial"/>
                <w:color w:val="000000" w:themeColor="text1"/>
                <w:sz w:val="24"/>
                <w:szCs w:val="24"/>
              </w:rPr>
            </w:pPr>
            <m:oMathPara>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Oferta</m:t>
                    </m:r>
                  </m:e>
                  <m:sub>
                    <m:r>
                      <w:rPr>
                        <w:rFonts w:ascii="Cambria Math" w:hAnsi="Cambria Math" w:cs="Arial"/>
                        <w:color w:val="000000" w:themeColor="text1"/>
                        <w:sz w:val="24"/>
                        <w:szCs w:val="24"/>
                      </w:rPr>
                      <m:t>v</m:t>
                    </m:r>
                  </m:sub>
                  <m:sup>
                    <m:r>
                      <w:rPr>
                        <w:rFonts w:ascii="Cambria Math" w:hAnsi="Cambria Math" w:cs="Arial"/>
                        <w:color w:val="000000" w:themeColor="text1"/>
                        <w:sz w:val="24"/>
                        <w:szCs w:val="24"/>
                      </w:rPr>
                      <m:t>'</m:t>
                    </m:r>
                  </m:sup>
                </m:sSubSup>
                <m:r>
                  <w:rPr>
                    <w:rFonts w:ascii="Cambria Math" w:hAnsi="Cambria Math" w:cs="Arial"/>
                    <w:color w:val="000000" w:themeColor="text1"/>
                    <w:sz w:val="24"/>
                    <w:szCs w:val="24"/>
                  </w:rPr>
                  <m:t>:</m:t>
                </m:r>
              </m:oMath>
            </m:oMathPara>
          </w:p>
        </w:tc>
        <w:tc>
          <w:tcPr>
            <w:tcW w:w="7384" w:type="dxa"/>
          </w:tcPr>
          <w:p w14:paraId="24727130" w14:textId="77777777" w:rsidR="007C59AD" w:rsidRPr="002D5416" w:rsidRDefault="007C59AD">
            <w:pPr>
              <w:pStyle w:val="Prrafodelista"/>
              <w:ind w:left="0"/>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Cantidad de energía que el vendedor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 xml:space="preserve"> declara en la subasta.</w:t>
            </w:r>
          </w:p>
          <w:p w14:paraId="556D14E7" w14:textId="77777777" w:rsidR="007C59AD" w:rsidRPr="002D5416" w:rsidRDefault="007C59AD">
            <w:pPr>
              <w:pStyle w:val="Prrafodelista"/>
              <w:ind w:left="0"/>
              <w:rPr>
                <w:rFonts w:ascii="Bookman Old Style" w:hAnsi="Bookman Old Style" w:cs="Arial"/>
                <w:color w:val="000000" w:themeColor="text1"/>
                <w:sz w:val="24"/>
                <w:szCs w:val="24"/>
              </w:rPr>
            </w:pPr>
          </w:p>
        </w:tc>
      </w:tr>
    </w:tbl>
    <w:p w14:paraId="11016A8B" w14:textId="77777777" w:rsidR="007C59AD" w:rsidRPr="002D5416" w:rsidRDefault="007C59AD" w:rsidP="002D5416">
      <w:pPr>
        <w:pStyle w:val="Prrafodelista"/>
        <w:ind w:left="360"/>
        <w:rPr>
          <w:rFonts w:ascii="Bookman Old Style" w:hAnsi="Bookman Old Style" w:cs="Arial"/>
          <w:color w:val="000000" w:themeColor="text1"/>
          <w:sz w:val="24"/>
          <w:szCs w:val="24"/>
        </w:rPr>
      </w:pPr>
    </w:p>
    <w:p w14:paraId="7E6113DC" w14:textId="77777777" w:rsidR="007C59AD" w:rsidRPr="002D5416" w:rsidRDefault="007C59AD" w:rsidP="002D5416">
      <w:pPr>
        <w:pStyle w:val="Prrafodelista"/>
        <w:numPr>
          <w:ilvl w:val="2"/>
          <w:numId w:val="258"/>
        </w:numPr>
        <w:tabs>
          <w:tab w:val="left" w:pos="567"/>
        </w:tabs>
        <w:ind w:left="732"/>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Valor de la garantía para los compradores: La garantía de participación tiene un valor inicial en la fecha de entrega y un valor final ajustado cuando el gestor del mercado de gas conozca la declaración de la demanda.</w:t>
      </w:r>
    </w:p>
    <w:p w14:paraId="6D43D60E"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5E77D018"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Valor inicial</w:t>
      </w:r>
    </w:p>
    <w:p w14:paraId="3577100C"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p>
    <w:p w14:paraId="33AF6258" w14:textId="77777777" w:rsidR="007C59AD" w:rsidRPr="002D5416" w:rsidRDefault="00FB7B28" w:rsidP="002D5416">
      <w:pPr>
        <w:pStyle w:val="Prrafodelista"/>
        <w:tabs>
          <w:tab w:val="left" w:pos="567"/>
        </w:tabs>
        <w:ind w:left="732"/>
        <w:jc w:val="both"/>
        <w:rPr>
          <w:rFonts w:ascii="Bookman Old Style" w:hAnsi="Bookman Old Style" w:cs="Arial"/>
          <w:color w:val="000000" w:themeColor="text1"/>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VLRLP</m:t>
              </m:r>
            </m:e>
            <m:sub>
              <m:r>
                <w:rPr>
                  <w:rFonts w:ascii="Cambria Math" w:hAnsi="Cambria Math" w:cs="Arial"/>
                  <w:sz w:val="24"/>
                  <w:szCs w:val="24"/>
                </w:rPr>
                <m:t>c =</m:t>
              </m:r>
            </m:sub>
          </m:sSub>
          <m:r>
            <w:rPr>
              <w:rFonts w:ascii="Cambria Math" w:hAnsi="Cambria Math" w:cs="Arial"/>
              <w:sz w:val="24"/>
              <w:szCs w:val="24"/>
            </w:rPr>
            <m:t xml:space="preserve"> 0,05 ×30 × </m:t>
          </m:r>
          <m:sSub>
            <m:sSubPr>
              <m:ctrlPr>
                <w:rPr>
                  <w:rFonts w:ascii="Cambria Math" w:hAnsi="Cambria Math" w:cs="Arial"/>
                  <w:i/>
                  <w:sz w:val="24"/>
                  <w:szCs w:val="24"/>
                </w:rPr>
              </m:ctrlPr>
            </m:sSubPr>
            <m:e>
              <m:r>
                <w:rPr>
                  <w:rFonts w:ascii="Cambria Math" w:hAnsi="Cambria Math" w:cs="Arial"/>
                  <w:sz w:val="24"/>
                  <w:szCs w:val="24"/>
                </w:rPr>
                <m:t>Demanda</m:t>
              </m:r>
            </m:e>
            <m:sub>
              <m:r>
                <w:rPr>
                  <w:rFonts w:ascii="Cambria Math" w:hAnsi="Cambria Math" w:cs="Arial"/>
                  <w:sz w:val="24"/>
                  <w:szCs w:val="24"/>
                </w:rPr>
                <m:t>c</m:t>
              </m:r>
            </m:sub>
          </m:sSub>
          <m:r>
            <w:rPr>
              <w:rFonts w:ascii="Cambria Math" w:hAnsi="Cambria Math" w:cs="Arial"/>
              <w:sz w:val="24"/>
              <w:szCs w:val="24"/>
            </w:rPr>
            <m:t>×p ×TRM</m:t>
          </m:r>
        </m:oMath>
      </m:oMathPara>
    </w:p>
    <w:p w14:paraId="6A5C9678" w14:textId="77777777" w:rsidR="007C59AD" w:rsidRPr="002D5416" w:rsidRDefault="007C59AD" w:rsidP="002D5416">
      <w:pPr>
        <w:pStyle w:val="Prrafodelista"/>
        <w:tabs>
          <w:tab w:val="left" w:pos="567"/>
        </w:tabs>
        <w:ind w:left="732"/>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Valor final</w:t>
      </w:r>
    </w:p>
    <w:p w14:paraId="7D0564E3" w14:textId="77777777" w:rsidR="007C59AD" w:rsidRPr="002D5416" w:rsidRDefault="007C59AD" w:rsidP="002D5416">
      <w:pPr>
        <w:pStyle w:val="Prrafodelista"/>
        <w:ind w:left="360"/>
        <w:rPr>
          <w:rFonts w:ascii="Bookman Old Style" w:hAnsi="Bookman Old Style" w:cs="Arial"/>
          <w:color w:val="000000" w:themeColor="text1"/>
          <w:sz w:val="24"/>
          <w:szCs w:val="24"/>
        </w:rPr>
      </w:pPr>
    </w:p>
    <w:bookmarkEnd w:id="211"/>
    <w:p w14:paraId="52FC5CDD" w14:textId="77777777" w:rsidR="007C59AD" w:rsidRPr="002D5416" w:rsidRDefault="00FB7B28" w:rsidP="002D5416">
      <w:pPr>
        <w:pStyle w:val="Prrafodelista"/>
        <w:ind w:left="360"/>
        <w:rPr>
          <w:rFonts w:ascii="Bookman Old Style" w:hAnsi="Bookman Old Style"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VLRLP</m:t>
              </m:r>
            </m:e>
            <m:sub>
              <m:r>
                <w:rPr>
                  <w:rFonts w:ascii="Cambria Math" w:hAnsi="Cambria Math" w:cs="Arial"/>
                  <w:sz w:val="24"/>
                  <w:szCs w:val="24"/>
                </w:rPr>
                <m:t>c =</m:t>
              </m:r>
            </m:sub>
          </m:sSub>
          <m:r>
            <w:rPr>
              <w:rFonts w:ascii="Cambria Math" w:hAnsi="Cambria Math" w:cs="Arial"/>
              <w:sz w:val="24"/>
              <w:szCs w:val="24"/>
            </w:rPr>
            <m:t xml:space="preserve"> </m:t>
          </m:r>
          <m:sSubSup>
            <m:sSubSupPr>
              <m:ctrlPr>
                <w:rPr>
                  <w:rFonts w:ascii="Cambria Math" w:hAnsi="Cambria Math" w:cs="Arial"/>
                  <w:i/>
                  <w:sz w:val="24"/>
                  <w:szCs w:val="24"/>
                </w:rPr>
              </m:ctrlPr>
            </m:sSubSupPr>
            <m:e>
              <m:r>
                <w:rPr>
                  <w:rFonts w:ascii="Cambria Math" w:hAnsi="Cambria Math" w:cs="Arial"/>
                  <w:sz w:val="24"/>
                  <w:szCs w:val="24"/>
                </w:rPr>
                <m:t>0,05 ×30 × Demanda</m:t>
              </m:r>
            </m:e>
            <m:sub>
              <m:r>
                <w:rPr>
                  <w:rFonts w:ascii="Cambria Math" w:hAnsi="Cambria Math" w:cs="Arial"/>
                  <w:sz w:val="24"/>
                  <w:szCs w:val="24"/>
                </w:rPr>
                <m:t>c</m:t>
              </m:r>
            </m:sub>
            <m:sup>
              <m:r>
                <w:rPr>
                  <w:rFonts w:ascii="Cambria Math" w:hAnsi="Cambria Math" w:cs="Arial"/>
                  <w:sz w:val="24"/>
                  <w:szCs w:val="24"/>
                </w:rPr>
                <m:t>'</m:t>
              </m:r>
            </m:sup>
          </m:sSubSup>
          <m:r>
            <w:rPr>
              <w:rFonts w:ascii="Cambria Math" w:hAnsi="Cambria Math" w:cs="Arial"/>
              <w:sz w:val="24"/>
              <w:szCs w:val="24"/>
            </w:rPr>
            <m:t xml:space="preserve"> ×p ×TRM</m:t>
          </m:r>
        </m:oMath>
      </m:oMathPara>
    </w:p>
    <w:p w14:paraId="368362A0" w14:textId="77777777" w:rsidR="007C59AD" w:rsidRPr="002D5416" w:rsidRDefault="007C59AD" w:rsidP="002D5416">
      <w:pPr>
        <w:pStyle w:val="Prrafodelista"/>
        <w:ind w:left="360"/>
        <w:rPr>
          <w:rFonts w:ascii="Bookman Old Style" w:hAnsi="Bookman Old Style" w:cs="Arial"/>
          <w:sz w:val="24"/>
          <w:szCs w:val="24"/>
        </w:rPr>
      </w:pPr>
    </w:p>
    <w:p w14:paraId="696B73E2" w14:textId="77777777" w:rsidR="007C59AD" w:rsidRPr="002D5416" w:rsidRDefault="007C59AD" w:rsidP="002D5416">
      <w:pPr>
        <w:pStyle w:val="Prrafodelista"/>
        <w:ind w:left="360"/>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Donde:</w:t>
      </w:r>
    </w:p>
    <w:p w14:paraId="5A49842F" w14:textId="77777777" w:rsidR="007C59AD" w:rsidRPr="002D5416" w:rsidRDefault="007C59AD" w:rsidP="002D5416">
      <w:pPr>
        <w:pStyle w:val="Prrafodelista"/>
        <w:ind w:left="360"/>
        <w:rPr>
          <w:rFonts w:ascii="Bookman Old Style" w:hAnsi="Bookman Old Style" w:cs="Arial"/>
          <w:color w:val="000000" w:themeColor="text1"/>
          <w:sz w:val="24"/>
          <w:szCs w:val="24"/>
        </w:rPr>
      </w:pPr>
    </w:p>
    <w:tbl>
      <w:tblPr>
        <w:tblStyle w:val="Tablaconcuadrcula"/>
        <w:tblW w:w="0" w:type="auto"/>
        <w:tblInd w:w="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7119"/>
      </w:tblGrid>
      <w:tr w:rsidR="007C59AD" w:rsidRPr="00DA5F4E" w14:paraId="2702CC49" w14:textId="77777777" w:rsidTr="002D5416">
        <w:tc>
          <w:tcPr>
            <w:tcW w:w="1425" w:type="dxa"/>
          </w:tcPr>
          <w:p w14:paraId="5160EC2B"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w:t>
            </w:r>
          </w:p>
        </w:tc>
        <w:tc>
          <w:tcPr>
            <w:tcW w:w="7119" w:type="dxa"/>
          </w:tcPr>
          <w:p w14:paraId="0E511972" w14:textId="77777777"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Compradores.</w:t>
            </w:r>
          </w:p>
          <w:p w14:paraId="5849EC80" w14:textId="77777777" w:rsidR="007C59AD" w:rsidRPr="002D5416" w:rsidRDefault="007C59AD">
            <w:pPr>
              <w:pStyle w:val="Prrafodelista"/>
              <w:ind w:left="0"/>
              <w:jc w:val="both"/>
              <w:rPr>
                <w:rFonts w:ascii="Bookman Old Style" w:hAnsi="Bookman Old Style" w:cs="Arial"/>
                <w:sz w:val="24"/>
                <w:szCs w:val="24"/>
              </w:rPr>
            </w:pPr>
          </w:p>
        </w:tc>
      </w:tr>
      <w:tr w:rsidR="007C59AD" w:rsidRPr="00DA5F4E" w14:paraId="079551A2" w14:textId="77777777" w:rsidTr="002D5416">
        <w:tc>
          <w:tcPr>
            <w:tcW w:w="1425" w:type="dxa"/>
          </w:tcPr>
          <w:p w14:paraId="3163C192" w14:textId="77777777" w:rsidR="007C59AD" w:rsidRPr="002D5416" w:rsidRDefault="00FB7B28">
            <w:pPr>
              <w:pStyle w:val="Prrafodelista"/>
              <w:tabs>
                <w:tab w:val="left" w:pos="567"/>
              </w:tabs>
              <w:ind w:left="0"/>
              <w:jc w:val="both"/>
              <w:rPr>
                <w:rFonts w:ascii="Bookman Old Style" w:hAnsi="Bookman Old Style" w:cs="Arial"/>
                <w:color w:val="000000" w:themeColor="text1"/>
                <w:sz w:val="24"/>
                <w:szCs w:val="24"/>
              </w:rPr>
            </w:pPr>
            <m:oMathPara>
              <m:oMathParaPr>
                <m:jc m:val="left"/>
              </m:oMathPara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VLRLP</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m:t>
                </m:r>
              </m:oMath>
            </m:oMathPara>
          </w:p>
          <w:p w14:paraId="5B05C897" w14:textId="77777777" w:rsidR="007C59AD" w:rsidRPr="002D5416" w:rsidRDefault="007C59AD">
            <w:pPr>
              <w:pStyle w:val="Prrafodelista"/>
              <w:tabs>
                <w:tab w:val="left" w:pos="567"/>
              </w:tabs>
              <w:ind w:left="0"/>
              <w:jc w:val="both"/>
              <w:rPr>
                <w:color w:val="000000" w:themeColor="text1"/>
                <w:sz w:val="24"/>
                <w:szCs w:val="24"/>
              </w:rPr>
            </w:pPr>
          </w:p>
        </w:tc>
        <w:tc>
          <w:tcPr>
            <w:tcW w:w="7119" w:type="dxa"/>
          </w:tcPr>
          <w:p w14:paraId="07ED3ECC" w14:textId="195EE24B"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 xml:space="preserve">Valor de la garantía en pesos </w:t>
            </w:r>
            <w:r w:rsidR="00FB5EC0">
              <w:rPr>
                <w:rFonts w:ascii="Bookman Old Style" w:hAnsi="Bookman Old Style" w:cs="Arial"/>
                <w:sz w:val="24"/>
                <w:szCs w:val="24"/>
              </w:rPr>
              <w:t>c</w:t>
            </w:r>
            <w:r w:rsidRPr="002D5416">
              <w:rPr>
                <w:rFonts w:ascii="Bookman Old Style" w:hAnsi="Bookman Old Style" w:cs="Arial"/>
                <w:sz w:val="24"/>
                <w:szCs w:val="24"/>
              </w:rPr>
              <w:t>olombianos.</w:t>
            </w:r>
          </w:p>
          <w:p w14:paraId="338EC7D7"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480B858D" w14:textId="77777777" w:rsidTr="002D5416">
        <w:tc>
          <w:tcPr>
            <w:tcW w:w="1425" w:type="dxa"/>
          </w:tcPr>
          <w:p w14:paraId="0669751E"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m:t>
              </m:r>
            </m:oMath>
            <w:r w:rsidRPr="002D5416">
              <w:rPr>
                <w:rFonts w:ascii="Bookman Old Style" w:hAnsi="Bookman Old Style" w:cs="Arial"/>
                <w:color w:val="000000" w:themeColor="text1"/>
                <w:sz w:val="24"/>
                <w:szCs w:val="24"/>
              </w:rPr>
              <w:t>:</w:t>
            </w:r>
          </w:p>
        </w:tc>
        <w:tc>
          <w:tcPr>
            <w:tcW w:w="7119" w:type="dxa"/>
          </w:tcPr>
          <w:p w14:paraId="16BEBB65" w14:textId="77777777"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Precio en dólares de los Estados Unidos de América por MBTU que corresponde al promedio ponderado por cantidad de los contratos firmes a un (1) año, negociados en el año inmediatamente anterior.</w:t>
            </w:r>
          </w:p>
          <w:p w14:paraId="2E27CDB6" w14:textId="77777777" w:rsidR="007C59AD" w:rsidRPr="002D5416" w:rsidRDefault="007C59AD">
            <w:pPr>
              <w:pStyle w:val="Prrafodelista"/>
              <w:ind w:left="0"/>
              <w:jc w:val="both"/>
              <w:rPr>
                <w:rFonts w:ascii="Bookman Old Style" w:hAnsi="Bookman Old Style" w:cs="Arial"/>
                <w:sz w:val="24"/>
                <w:szCs w:val="24"/>
              </w:rPr>
            </w:pPr>
          </w:p>
        </w:tc>
      </w:tr>
      <w:tr w:rsidR="007C59AD" w:rsidRPr="00DA5F4E" w14:paraId="78C29CE3" w14:textId="77777777" w:rsidTr="002D5416">
        <w:tc>
          <w:tcPr>
            <w:tcW w:w="1425" w:type="dxa"/>
          </w:tcPr>
          <w:p w14:paraId="7D0F422B"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w:lastRenderedPageBreak/>
                <m:t>TRM</m:t>
              </m:r>
            </m:oMath>
            <w:r w:rsidRPr="002D5416">
              <w:rPr>
                <w:rFonts w:ascii="Bookman Old Style" w:hAnsi="Bookman Old Style" w:cs="Arial"/>
                <w:color w:val="000000" w:themeColor="text1"/>
                <w:sz w:val="24"/>
                <w:szCs w:val="24"/>
              </w:rPr>
              <w:t>:</w:t>
            </w:r>
          </w:p>
        </w:tc>
        <w:tc>
          <w:tcPr>
            <w:tcW w:w="7119" w:type="dxa"/>
          </w:tcPr>
          <w:p w14:paraId="4D6A648E" w14:textId="5FEAB81F"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Tasa Representativa del Mercado en pesos </w:t>
            </w:r>
            <w:r w:rsidR="00FB5EC0">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 por dólar de los Estados Unidos de América, del último día hábil del mes anterior a la estimación de la garantía, certificado por la Superintendencia Financiera de Colombia.</w:t>
            </w:r>
          </w:p>
          <w:p w14:paraId="05A07C06"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53DABAF3" w14:textId="77777777" w:rsidTr="00295053">
        <w:tc>
          <w:tcPr>
            <w:tcW w:w="1425" w:type="dxa"/>
            <w:shd w:val="clear" w:color="auto" w:fill="auto"/>
          </w:tcPr>
          <w:p w14:paraId="5D099ED5" w14:textId="77777777" w:rsidR="007C59AD" w:rsidRPr="002B55B6" w:rsidRDefault="00FB7B28">
            <w:pPr>
              <w:pStyle w:val="Prrafodelista"/>
              <w:ind w:left="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m:t>
                </m:r>
              </m:oMath>
            </m:oMathPara>
          </w:p>
        </w:tc>
        <w:tc>
          <w:tcPr>
            <w:tcW w:w="7119" w:type="dxa"/>
            <w:shd w:val="clear" w:color="auto" w:fill="auto"/>
          </w:tcPr>
          <w:p w14:paraId="551F40A5" w14:textId="77777777" w:rsidR="007C59AD" w:rsidRPr="002B55B6" w:rsidRDefault="007C59AD">
            <w:pPr>
              <w:pStyle w:val="Prrafodelista"/>
              <w:tabs>
                <w:tab w:val="left" w:pos="567"/>
              </w:tabs>
              <w:ind w:left="0"/>
              <w:jc w:val="both"/>
              <w:rPr>
                <w:rFonts w:ascii="Bookman Old Style" w:hAnsi="Bookman Old Style" w:cs="Arial"/>
                <w:color w:val="000000" w:themeColor="text1"/>
                <w:sz w:val="24"/>
                <w:szCs w:val="24"/>
              </w:rPr>
            </w:pPr>
            <w:r w:rsidRPr="002B55B6">
              <w:rPr>
                <w:rFonts w:ascii="Bookman Old Style" w:hAnsi="Bookman Old Style" w:cs="Arial"/>
                <w:color w:val="000000" w:themeColor="text1"/>
                <w:sz w:val="24"/>
                <w:szCs w:val="24"/>
              </w:rPr>
              <w:t xml:space="preserve">Para la primera subasta en que participe el comprador </w:t>
            </w:r>
            <m:oMath>
              <m:r>
                <w:rPr>
                  <w:rFonts w:ascii="Cambria Math" w:hAnsi="Cambria Math" w:cs="Arial"/>
                  <w:color w:val="000000" w:themeColor="text1"/>
                  <w:sz w:val="24"/>
                  <w:szCs w:val="24"/>
                </w:rPr>
                <m:t>c</m:t>
              </m:r>
            </m:oMath>
            <w:r w:rsidRPr="002B55B6">
              <w:rPr>
                <w:rFonts w:ascii="Bookman Old Style" w:hAnsi="Bookman Old Style" w:cs="Arial"/>
                <w:color w:val="000000" w:themeColor="text1"/>
                <w:sz w:val="24"/>
                <w:szCs w:val="24"/>
              </w:rPr>
              <w:t xml:space="preserve">, el valor de la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Sub>
            </m:oMath>
            <w:r w:rsidRPr="002B55B6">
              <w:rPr>
                <w:rFonts w:ascii="Bookman Old Style" w:hAnsi="Bookman Old Style" w:cs="Arial"/>
                <w:color w:val="000000" w:themeColor="text1"/>
                <w:sz w:val="24"/>
                <w:szCs w:val="24"/>
              </w:rPr>
              <w:t xml:space="preserve"> corresponderá a 35000 MBTUD. </w:t>
            </w:r>
          </w:p>
          <w:p w14:paraId="2AFFF008" w14:textId="77777777" w:rsidR="007C59AD" w:rsidRPr="002B55B6" w:rsidRDefault="007C59AD">
            <w:pPr>
              <w:pStyle w:val="Prrafodelista"/>
              <w:tabs>
                <w:tab w:val="left" w:pos="567"/>
              </w:tabs>
              <w:ind w:left="0"/>
              <w:jc w:val="both"/>
              <w:rPr>
                <w:rFonts w:ascii="Bookman Old Style" w:hAnsi="Bookman Old Style" w:cs="Arial"/>
                <w:color w:val="000000" w:themeColor="text1"/>
                <w:sz w:val="24"/>
                <w:szCs w:val="24"/>
              </w:rPr>
            </w:pPr>
          </w:p>
          <w:p w14:paraId="37A82093" w14:textId="5950E300" w:rsidR="007C59AD" w:rsidRPr="002B55B6" w:rsidRDefault="007C59AD">
            <w:pPr>
              <w:pStyle w:val="Prrafodelista"/>
              <w:tabs>
                <w:tab w:val="left" w:pos="567"/>
              </w:tabs>
              <w:ind w:left="0"/>
              <w:jc w:val="both"/>
              <w:rPr>
                <w:rFonts w:ascii="Bookman Old Style" w:hAnsi="Bookman Old Style" w:cs="Arial"/>
                <w:sz w:val="24"/>
                <w:szCs w:val="24"/>
              </w:rPr>
            </w:pPr>
            <w:r w:rsidRPr="002B55B6">
              <w:rPr>
                <w:rFonts w:ascii="Bookman Old Style" w:hAnsi="Bookman Old Style" w:cs="Arial"/>
                <w:sz w:val="24"/>
                <w:szCs w:val="24"/>
              </w:rPr>
              <w:t xml:space="preserve">Para las siguientes subastas el valor de la </w:t>
            </w:r>
            <m:oMath>
              <m:sSub>
                <m:sSubPr>
                  <m:ctrlPr>
                    <w:rPr>
                      <w:rFonts w:ascii="Cambria Math" w:hAnsi="Cambria Math" w:cs="Arial"/>
                      <w:i/>
                      <w:sz w:val="24"/>
                      <w:szCs w:val="24"/>
                    </w:rPr>
                  </m:ctrlPr>
                </m:sSubPr>
                <m:e>
                  <m:r>
                    <w:rPr>
                      <w:rFonts w:ascii="Cambria Math" w:hAnsi="Cambria Math" w:cs="Arial"/>
                      <w:sz w:val="24"/>
                      <w:szCs w:val="24"/>
                    </w:rPr>
                    <m:t>Demanda</m:t>
                  </m:r>
                </m:e>
                <m:sub>
                  <m:r>
                    <w:rPr>
                      <w:rFonts w:ascii="Cambria Math" w:hAnsi="Cambria Math" w:cs="Arial"/>
                      <w:sz w:val="24"/>
                      <w:szCs w:val="24"/>
                    </w:rPr>
                    <m:t>c</m:t>
                  </m:r>
                </m:sub>
              </m:sSub>
            </m:oMath>
            <w:r w:rsidRPr="002B55B6">
              <w:rPr>
                <w:rFonts w:ascii="Bookman Old Style" w:hAnsi="Bookman Old Style" w:cs="Arial"/>
                <w:sz w:val="24"/>
                <w:szCs w:val="24"/>
              </w:rPr>
              <w:t xml:space="preserve"> corresponderá al mayor valor asignado al comprador </w:t>
            </w:r>
            <m:oMath>
              <m:r>
                <w:rPr>
                  <w:rFonts w:ascii="Cambria Math" w:hAnsi="Cambria Math" w:cs="Arial"/>
                  <w:color w:val="000000" w:themeColor="text1"/>
                  <w:sz w:val="24"/>
                  <w:szCs w:val="24"/>
                </w:rPr>
                <m:t>c</m:t>
              </m:r>
            </m:oMath>
            <w:r w:rsidRPr="002B55B6">
              <w:rPr>
                <w:rFonts w:ascii="Bookman Old Style" w:hAnsi="Bookman Old Style" w:cs="Arial"/>
                <w:sz w:val="24"/>
                <w:szCs w:val="24"/>
              </w:rPr>
              <w:t xml:space="preserve"> en el mecanismo de comercialización de que trata el artículo </w:t>
            </w:r>
            <w:r w:rsidRPr="00295053">
              <w:rPr>
                <w:rFonts w:ascii="Bookman Old Style" w:hAnsi="Bookman Old Style" w:cs="Arial"/>
                <w:b/>
                <w:bCs/>
                <w:sz w:val="24"/>
                <w:szCs w:val="24"/>
              </w:rPr>
              <w:t>2</w:t>
            </w:r>
            <w:r w:rsidR="002B55B6" w:rsidRPr="00295053">
              <w:rPr>
                <w:rFonts w:ascii="Bookman Old Style" w:hAnsi="Bookman Old Style" w:cs="Arial"/>
                <w:b/>
                <w:bCs/>
                <w:sz w:val="24"/>
                <w:szCs w:val="24"/>
              </w:rPr>
              <w:t>2 de la presente resolución</w:t>
            </w:r>
            <w:r w:rsidRPr="002B55B6">
              <w:rPr>
                <w:rFonts w:ascii="Bookman Old Style" w:hAnsi="Bookman Old Style" w:cs="Arial"/>
                <w:sz w:val="24"/>
                <w:szCs w:val="24"/>
              </w:rPr>
              <w:t xml:space="preserve"> del </w:t>
            </w:r>
            <w:r w:rsidR="002B55B6" w:rsidRPr="00295053">
              <w:rPr>
                <w:rFonts w:ascii="Bookman Old Style" w:hAnsi="Bookman Old Style" w:cs="Arial"/>
                <w:b/>
                <w:bCs/>
                <w:sz w:val="24"/>
                <w:szCs w:val="24"/>
              </w:rPr>
              <w:t xml:space="preserve">trimestre </w:t>
            </w:r>
            <w:r w:rsidR="002B55B6" w:rsidRPr="002B55B6">
              <w:rPr>
                <w:rFonts w:ascii="Bookman Old Style" w:hAnsi="Bookman Old Style" w:cs="Arial"/>
                <w:sz w:val="24"/>
                <w:szCs w:val="24"/>
              </w:rPr>
              <w:t xml:space="preserve"> </w:t>
            </w:r>
            <w:r w:rsidRPr="002B55B6">
              <w:rPr>
                <w:rFonts w:ascii="Bookman Old Style" w:hAnsi="Bookman Old Style" w:cs="Arial"/>
                <w:sz w:val="24"/>
                <w:szCs w:val="24"/>
              </w:rPr>
              <w:t>inmediatamente anterior</w:t>
            </w:r>
            <w:r w:rsidR="002B55B6">
              <w:rPr>
                <w:rFonts w:ascii="Bookman Old Style" w:hAnsi="Bookman Old Style" w:cs="Arial"/>
                <w:sz w:val="24"/>
                <w:szCs w:val="24"/>
              </w:rPr>
              <w:t xml:space="preserve"> </w:t>
            </w:r>
            <w:r w:rsidR="002B55B6" w:rsidRPr="00295053">
              <w:rPr>
                <w:rFonts w:ascii="Bookman Old Style" w:hAnsi="Bookman Old Style" w:cs="Arial"/>
                <w:b/>
                <w:bCs/>
                <w:sz w:val="24"/>
                <w:szCs w:val="24"/>
              </w:rPr>
              <w:t xml:space="preserve">en que se haya </w:t>
            </w:r>
            <w:r w:rsidR="002B55B6">
              <w:rPr>
                <w:rFonts w:ascii="Bookman Old Style" w:hAnsi="Bookman Old Style" w:cs="Arial"/>
                <w:b/>
                <w:bCs/>
                <w:sz w:val="24"/>
                <w:szCs w:val="24"/>
              </w:rPr>
              <w:t>desarrollad</w:t>
            </w:r>
            <w:r w:rsidR="002B55B6" w:rsidRPr="00295053">
              <w:rPr>
                <w:rFonts w:ascii="Bookman Old Style" w:hAnsi="Bookman Old Style" w:cs="Arial"/>
                <w:b/>
                <w:bCs/>
                <w:sz w:val="24"/>
                <w:szCs w:val="24"/>
              </w:rPr>
              <w:t>o subasta</w:t>
            </w:r>
            <w:r w:rsidRPr="00295053">
              <w:rPr>
                <w:rFonts w:ascii="Bookman Old Style" w:hAnsi="Bookman Old Style" w:cs="Arial"/>
                <w:b/>
                <w:bCs/>
                <w:sz w:val="24"/>
                <w:szCs w:val="24"/>
              </w:rPr>
              <w:t>,</w:t>
            </w:r>
            <w:r w:rsidRPr="002B55B6">
              <w:rPr>
                <w:rFonts w:ascii="Bookman Old Style" w:hAnsi="Bookman Old Style" w:cs="Arial"/>
                <w:sz w:val="24"/>
                <w:szCs w:val="24"/>
              </w:rPr>
              <w:t xml:space="preserve"> en MBTUD.</w:t>
            </w:r>
          </w:p>
          <w:p w14:paraId="47F66DAF" w14:textId="77777777" w:rsidR="007C59AD" w:rsidRPr="002B55B6" w:rsidRDefault="007C59AD">
            <w:pPr>
              <w:tabs>
                <w:tab w:val="left" w:pos="567"/>
              </w:tabs>
              <w:ind w:left="0"/>
              <w:jc w:val="both"/>
              <w:rPr>
                <w:rFonts w:ascii="Bookman Old Style" w:hAnsi="Bookman Old Style" w:cs="Arial"/>
                <w:color w:val="000000" w:themeColor="text1"/>
              </w:rPr>
            </w:pPr>
          </w:p>
        </w:tc>
      </w:tr>
      <w:tr w:rsidR="007C59AD" w:rsidRPr="00DA5F4E" w14:paraId="495CECD2" w14:textId="77777777" w:rsidTr="00295053">
        <w:tc>
          <w:tcPr>
            <w:tcW w:w="1425" w:type="dxa"/>
            <w:shd w:val="clear" w:color="auto" w:fill="auto"/>
          </w:tcPr>
          <w:p w14:paraId="0942D718" w14:textId="77777777" w:rsidR="007C59AD" w:rsidRPr="002B55B6" w:rsidRDefault="00FB7B28">
            <w:pPr>
              <w:pStyle w:val="Prrafodelista"/>
              <w:ind w:left="0"/>
              <w:rPr>
                <w:rFonts w:ascii="Bookman Old Style" w:hAnsi="Bookman Old Style" w:cs="Arial"/>
                <w:color w:val="000000" w:themeColor="text1"/>
                <w:sz w:val="24"/>
                <w:szCs w:val="24"/>
              </w:rPr>
            </w:pPr>
            <m:oMath>
              <m:sSubSup>
                <m:sSubSupPr>
                  <m:ctrlPr>
                    <w:rPr>
                      <w:rFonts w:ascii="Cambria Math" w:hAnsi="Cambria Math" w:cs="Arial"/>
                      <w:i/>
                      <w:color w:val="000000" w:themeColor="text1"/>
                      <w:sz w:val="24"/>
                      <w:szCs w:val="24"/>
                    </w:rPr>
                  </m:ctrlPr>
                </m:sSubSupPr>
                <m:e>
                  <m:r>
                    <w:rPr>
                      <w:rFonts w:ascii="Cambria Math" w:hAnsi="Cambria Math" w:cs="Arial"/>
                      <w:color w:val="000000" w:themeColor="text1"/>
                      <w:sz w:val="24"/>
                      <w:szCs w:val="24"/>
                    </w:rPr>
                    <m:t>Demanda</m:t>
                  </m:r>
                </m:e>
                <m:sub>
                  <m:r>
                    <w:rPr>
                      <w:rFonts w:ascii="Cambria Math" w:hAnsi="Cambria Math" w:cs="Arial"/>
                      <w:color w:val="000000" w:themeColor="text1"/>
                      <w:sz w:val="24"/>
                      <w:szCs w:val="24"/>
                    </w:rPr>
                    <m:t>c</m:t>
                  </m:r>
                </m:sub>
                <m:sup>
                  <m:r>
                    <w:rPr>
                      <w:rFonts w:ascii="Cambria Math" w:hAnsi="Cambria Math" w:cs="Arial"/>
                      <w:color w:val="000000" w:themeColor="text1"/>
                      <w:sz w:val="24"/>
                      <w:szCs w:val="24"/>
                    </w:rPr>
                    <m:t>'</m:t>
                  </m:r>
                </m:sup>
              </m:sSubSup>
            </m:oMath>
            <w:r w:rsidR="007C59AD" w:rsidRPr="002B55B6">
              <w:rPr>
                <w:rFonts w:ascii="Bookman Old Style" w:hAnsi="Bookman Old Style" w:cs="Arial"/>
                <w:color w:val="000000" w:themeColor="text1"/>
                <w:sz w:val="24"/>
                <w:szCs w:val="24"/>
              </w:rPr>
              <w:t>:</w:t>
            </w:r>
          </w:p>
        </w:tc>
        <w:tc>
          <w:tcPr>
            <w:tcW w:w="7119" w:type="dxa"/>
            <w:shd w:val="clear" w:color="auto" w:fill="auto"/>
          </w:tcPr>
          <w:p w14:paraId="64426CE3" w14:textId="77777777" w:rsidR="007C59AD" w:rsidRPr="002B55B6" w:rsidRDefault="007C59AD">
            <w:pPr>
              <w:pStyle w:val="Prrafodelista"/>
              <w:ind w:left="0"/>
              <w:rPr>
                <w:rFonts w:ascii="Bookman Old Style" w:hAnsi="Bookman Old Style" w:cs="Arial"/>
                <w:color w:val="000000" w:themeColor="text1"/>
                <w:sz w:val="24"/>
                <w:szCs w:val="24"/>
              </w:rPr>
            </w:pPr>
            <w:r w:rsidRPr="002B55B6">
              <w:rPr>
                <w:rFonts w:ascii="Bookman Old Style" w:hAnsi="Bookman Old Style" w:cs="Arial"/>
                <w:color w:val="000000" w:themeColor="text1"/>
                <w:sz w:val="24"/>
                <w:szCs w:val="24"/>
              </w:rPr>
              <w:t xml:space="preserve">Cantidad de energía que el comprador </w:t>
            </w:r>
            <m:oMath>
              <m:r>
                <w:rPr>
                  <w:rFonts w:ascii="Cambria Math" w:hAnsi="Cambria Math" w:cs="Arial"/>
                  <w:color w:val="000000" w:themeColor="text1"/>
                  <w:sz w:val="24"/>
                  <w:szCs w:val="24"/>
                </w:rPr>
                <m:t>c</m:t>
              </m:r>
            </m:oMath>
            <w:r w:rsidRPr="002B55B6">
              <w:rPr>
                <w:rFonts w:ascii="Bookman Old Style" w:hAnsi="Bookman Old Style" w:cs="Arial"/>
                <w:color w:val="000000" w:themeColor="text1"/>
                <w:sz w:val="24"/>
                <w:szCs w:val="24"/>
              </w:rPr>
              <w:t xml:space="preserve"> declara.</w:t>
            </w:r>
          </w:p>
          <w:p w14:paraId="63583101" w14:textId="77777777" w:rsidR="007C59AD" w:rsidRPr="002B55B6" w:rsidRDefault="007C59AD">
            <w:pPr>
              <w:pStyle w:val="Prrafodelista"/>
              <w:ind w:left="0"/>
              <w:rPr>
                <w:rFonts w:ascii="Bookman Old Style" w:hAnsi="Bookman Old Style" w:cs="Arial"/>
                <w:color w:val="000000" w:themeColor="text1"/>
                <w:sz w:val="24"/>
                <w:szCs w:val="24"/>
              </w:rPr>
            </w:pPr>
          </w:p>
        </w:tc>
      </w:tr>
    </w:tbl>
    <w:p w14:paraId="0CF61EFE" w14:textId="77777777" w:rsidR="007C59AD" w:rsidRPr="002D5416" w:rsidRDefault="007C59AD" w:rsidP="00DA5F4E">
      <w:pPr>
        <w:pStyle w:val="Prrafodelista"/>
        <w:tabs>
          <w:tab w:val="left" w:pos="567"/>
        </w:tabs>
        <w:ind w:left="0"/>
        <w:jc w:val="both"/>
        <w:rPr>
          <w:color w:val="943634" w:themeColor="accent2" w:themeShade="BF"/>
          <w:sz w:val="24"/>
          <w:szCs w:val="24"/>
        </w:rPr>
      </w:pPr>
    </w:p>
    <w:p w14:paraId="590F9C90" w14:textId="38CAB69F" w:rsidR="007C59AD" w:rsidRPr="002D5416" w:rsidRDefault="007C59AD" w:rsidP="002D5416">
      <w:pPr>
        <w:pStyle w:val="Prrafodelista"/>
        <w:numPr>
          <w:ilvl w:val="2"/>
          <w:numId w:val="258"/>
        </w:numPr>
        <w:tabs>
          <w:tab w:val="left" w:pos="567"/>
        </w:tabs>
        <w:ind w:left="72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Eventos que dan lugar a la ejecución de la garantía de participación para los vendedores: Los eventos que dan lugar a la ejecución de esta garantía son la no suscripción del contrato o la no entrega de alguna de las garantías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VLRLCS</m:t>
            </m:r>
          </m:e>
          <m:sub>
            <m:r>
              <w:rPr>
                <w:rFonts w:ascii="Cambria Math" w:hAnsi="Cambria Math" w:cs="Arial"/>
                <w:color w:val="000000" w:themeColor="text1"/>
                <w:sz w:val="24"/>
                <w:szCs w:val="24"/>
              </w:rPr>
              <m:t>v</m:t>
            </m:r>
          </m:sub>
        </m:sSub>
      </m:oMath>
      <w:r w:rsidRPr="002D5416">
        <w:rPr>
          <w:rFonts w:ascii="Bookman Old Style" w:hAnsi="Bookman Old Style" w:cs="Arial"/>
          <w:color w:val="000000" w:themeColor="text1"/>
          <w:sz w:val="24"/>
          <w:szCs w:val="24"/>
        </w:rPr>
        <w:t xml:space="preserve"> y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VLRLCM</m:t>
            </m:r>
          </m:e>
          <m:sub>
            <m:r>
              <w:rPr>
                <w:rFonts w:ascii="Cambria Math" w:hAnsi="Cambria Math" w:cs="Arial"/>
                <w:color w:val="000000" w:themeColor="text1"/>
                <w:sz w:val="24"/>
                <w:szCs w:val="24"/>
              </w:rPr>
              <m:t>v</m:t>
            </m:r>
          </m:sub>
        </m:sSub>
      </m:oMath>
      <w:r w:rsidRPr="002D5416">
        <w:rPr>
          <w:rFonts w:ascii="Bookman Old Style" w:hAnsi="Bookman Old Style" w:cs="Arial"/>
          <w:color w:val="000000" w:themeColor="text1"/>
          <w:sz w:val="24"/>
          <w:szCs w:val="24"/>
        </w:rPr>
        <w:t xml:space="preserve"> de que trata el numeral </w:t>
      </w:r>
      <w:r w:rsidRPr="002D5416">
        <w:rPr>
          <w:rFonts w:ascii="Bookman Old Style" w:hAnsi="Bookman Old Style" w:cs="Arial"/>
          <w:color w:val="000000" w:themeColor="text1"/>
          <w:sz w:val="24"/>
          <w:szCs w:val="24"/>
        </w:rPr>
        <w:fldChar w:fldCharType="begin"/>
      </w:r>
      <w:r w:rsidRPr="002D5416">
        <w:rPr>
          <w:rFonts w:ascii="Bookman Old Style" w:hAnsi="Bookman Old Style" w:cs="Arial"/>
          <w:color w:val="000000" w:themeColor="text1"/>
          <w:sz w:val="24"/>
          <w:szCs w:val="24"/>
        </w:rPr>
        <w:instrText xml:space="preserve"> REF _Ref412642668 \r \h  \* MERGEFORMAT </w:instrText>
      </w:r>
      <w:r w:rsidRPr="002D5416">
        <w:rPr>
          <w:rFonts w:ascii="Bookman Old Style" w:hAnsi="Bookman Old Style" w:cs="Arial"/>
          <w:color w:val="000000" w:themeColor="text1"/>
          <w:sz w:val="24"/>
          <w:szCs w:val="24"/>
        </w:rPr>
      </w:r>
      <w:r w:rsidRPr="002D5416">
        <w:rPr>
          <w:rFonts w:ascii="Bookman Old Style" w:hAnsi="Bookman Old Style" w:cs="Arial"/>
          <w:color w:val="000000" w:themeColor="text1"/>
          <w:sz w:val="24"/>
          <w:szCs w:val="24"/>
        </w:rPr>
        <w:fldChar w:fldCharType="separate"/>
      </w:r>
      <w:r w:rsidR="00636B6A">
        <w:rPr>
          <w:rFonts w:ascii="Bookman Old Style" w:hAnsi="Bookman Old Style" w:cs="Arial"/>
          <w:color w:val="000000" w:themeColor="text1"/>
          <w:sz w:val="24"/>
          <w:szCs w:val="24"/>
        </w:rPr>
        <w:t>3.2</w:t>
      </w:r>
      <w:r w:rsidRPr="002D5416">
        <w:rPr>
          <w:rFonts w:ascii="Bookman Old Style" w:hAnsi="Bookman Old Style" w:cs="Arial"/>
          <w:color w:val="000000" w:themeColor="text1"/>
          <w:sz w:val="24"/>
          <w:szCs w:val="24"/>
        </w:rPr>
        <w:fldChar w:fldCharType="end"/>
      </w:r>
      <w:r w:rsidRPr="002D5416">
        <w:rPr>
          <w:rFonts w:ascii="Bookman Old Style" w:hAnsi="Bookman Old Style" w:cs="Arial"/>
          <w:color w:val="000000" w:themeColor="text1"/>
          <w:sz w:val="24"/>
          <w:szCs w:val="24"/>
        </w:rPr>
        <w:t xml:space="preserve"> de este Anexo que los vendedores deben entregar la primera vez.</w:t>
      </w:r>
    </w:p>
    <w:p w14:paraId="46F6132F" w14:textId="77777777" w:rsidR="007C59AD" w:rsidRPr="002D5416" w:rsidRDefault="007C59AD" w:rsidP="002D5416">
      <w:pPr>
        <w:tabs>
          <w:tab w:val="left" w:pos="567"/>
        </w:tabs>
        <w:ind w:left="12"/>
        <w:jc w:val="both"/>
        <w:rPr>
          <w:rFonts w:ascii="Bookman Old Style" w:hAnsi="Bookman Old Style" w:cs="Arial"/>
          <w:color w:val="000000" w:themeColor="text1"/>
        </w:rPr>
      </w:pPr>
    </w:p>
    <w:p w14:paraId="694AC7DD" w14:textId="53CCC023" w:rsidR="007C59AD" w:rsidRDefault="007C59AD" w:rsidP="00DA5F4E">
      <w:pPr>
        <w:pStyle w:val="Prrafodelista"/>
        <w:numPr>
          <w:ilvl w:val="2"/>
          <w:numId w:val="258"/>
        </w:numPr>
        <w:tabs>
          <w:tab w:val="left" w:pos="567"/>
        </w:tabs>
        <w:ind w:left="72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Eventos que dan lugar a la ejecución de la garantía de participación para los compradores: Los eventos que dan lugar a la ejecución de esta garantía son la no suscripción del contrato o la no entrega de alguna de las garantías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VLRLCS</m:t>
            </m:r>
          </m:e>
          <m:sub>
            <m:r>
              <w:rPr>
                <w:rFonts w:ascii="Cambria Math" w:hAnsi="Cambria Math" w:cs="Arial"/>
                <w:color w:val="000000" w:themeColor="text1"/>
                <w:sz w:val="24"/>
                <w:szCs w:val="24"/>
              </w:rPr>
              <m:t>c</m:t>
            </m:r>
          </m:sub>
        </m:sSub>
      </m:oMath>
      <w:r w:rsidRPr="002D5416">
        <w:rPr>
          <w:rFonts w:ascii="Bookman Old Style" w:hAnsi="Bookman Old Style" w:cs="Arial"/>
          <w:color w:val="000000" w:themeColor="text1"/>
          <w:sz w:val="24"/>
          <w:szCs w:val="24"/>
        </w:rPr>
        <w:t xml:space="preserve"> y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VLRLCM</m:t>
            </m:r>
          </m:e>
          <m:sub>
            <m:r>
              <w:rPr>
                <w:rFonts w:ascii="Cambria Math" w:hAnsi="Cambria Math" w:cs="Arial"/>
                <w:color w:val="000000" w:themeColor="text1"/>
                <w:sz w:val="24"/>
                <w:szCs w:val="24"/>
              </w:rPr>
              <m:t>c</m:t>
            </m:r>
          </m:sub>
        </m:sSub>
      </m:oMath>
      <w:r w:rsidRPr="002D5416">
        <w:rPr>
          <w:rFonts w:ascii="Bookman Old Style" w:hAnsi="Bookman Old Style" w:cs="Arial"/>
          <w:color w:val="000000" w:themeColor="text1"/>
          <w:sz w:val="24"/>
          <w:szCs w:val="24"/>
        </w:rPr>
        <w:t xml:space="preserve"> de que trata el numeral </w:t>
      </w:r>
      <w:r w:rsidRPr="002D5416">
        <w:rPr>
          <w:rFonts w:ascii="Bookman Old Style" w:hAnsi="Bookman Old Style" w:cs="Arial"/>
          <w:color w:val="000000" w:themeColor="text1"/>
          <w:sz w:val="24"/>
          <w:szCs w:val="24"/>
        </w:rPr>
        <w:fldChar w:fldCharType="begin"/>
      </w:r>
      <w:r w:rsidRPr="002D5416">
        <w:rPr>
          <w:rFonts w:ascii="Bookman Old Style" w:hAnsi="Bookman Old Style" w:cs="Arial"/>
          <w:color w:val="000000" w:themeColor="text1"/>
          <w:sz w:val="24"/>
          <w:szCs w:val="24"/>
        </w:rPr>
        <w:instrText xml:space="preserve"> REF _Ref412642668 \r \h  \* MERGEFORMAT </w:instrText>
      </w:r>
      <w:r w:rsidRPr="002D5416">
        <w:rPr>
          <w:rFonts w:ascii="Bookman Old Style" w:hAnsi="Bookman Old Style" w:cs="Arial"/>
          <w:color w:val="000000" w:themeColor="text1"/>
          <w:sz w:val="24"/>
          <w:szCs w:val="24"/>
        </w:rPr>
      </w:r>
      <w:r w:rsidRPr="002D5416">
        <w:rPr>
          <w:rFonts w:ascii="Bookman Old Style" w:hAnsi="Bookman Old Style" w:cs="Arial"/>
          <w:color w:val="000000" w:themeColor="text1"/>
          <w:sz w:val="24"/>
          <w:szCs w:val="24"/>
        </w:rPr>
        <w:fldChar w:fldCharType="separate"/>
      </w:r>
      <w:r w:rsidR="00636B6A">
        <w:rPr>
          <w:rFonts w:ascii="Bookman Old Style" w:hAnsi="Bookman Old Style" w:cs="Arial"/>
          <w:color w:val="000000" w:themeColor="text1"/>
          <w:sz w:val="24"/>
          <w:szCs w:val="24"/>
        </w:rPr>
        <w:t>3.2</w:t>
      </w:r>
      <w:r w:rsidRPr="002D5416">
        <w:rPr>
          <w:rFonts w:ascii="Bookman Old Style" w:hAnsi="Bookman Old Style" w:cs="Arial"/>
          <w:color w:val="000000" w:themeColor="text1"/>
          <w:sz w:val="24"/>
          <w:szCs w:val="24"/>
        </w:rPr>
        <w:fldChar w:fldCharType="end"/>
      </w:r>
      <w:r w:rsidRPr="002D5416">
        <w:rPr>
          <w:rFonts w:ascii="Bookman Old Style" w:hAnsi="Bookman Old Style" w:cs="Arial"/>
          <w:color w:val="000000" w:themeColor="text1"/>
          <w:sz w:val="24"/>
          <w:szCs w:val="24"/>
        </w:rPr>
        <w:t xml:space="preserve"> de este Anexo que los compradores deben entregar la primera vez.</w:t>
      </w:r>
    </w:p>
    <w:p w14:paraId="4954B4EE" w14:textId="77777777" w:rsidR="00DA5F4E" w:rsidRPr="002D5416" w:rsidRDefault="00DA5F4E" w:rsidP="002D5416">
      <w:pPr>
        <w:pStyle w:val="Prrafodelista"/>
        <w:rPr>
          <w:rFonts w:ascii="Bookman Old Style" w:hAnsi="Bookman Old Style" w:cs="Arial"/>
          <w:color w:val="000000" w:themeColor="text1"/>
          <w:sz w:val="24"/>
          <w:szCs w:val="24"/>
        </w:rPr>
      </w:pPr>
    </w:p>
    <w:p w14:paraId="4CD02E85" w14:textId="77777777" w:rsidR="00DA5F4E" w:rsidRPr="002D5416" w:rsidRDefault="00DA5F4E" w:rsidP="002D5416">
      <w:pPr>
        <w:pStyle w:val="Prrafodelista"/>
        <w:tabs>
          <w:tab w:val="left" w:pos="567"/>
        </w:tabs>
        <w:ind w:left="729"/>
        <w:jc w:val="both"/>
        <w:rPr>
          <w:rFonts w:ascii="Bookman Old Style" w:hAnsi="Bookman Old Style" w:cs="Arial"/>
          <w:color w:val="000000" w:themeColor="text1"/>
          <w:sz w:val="24"/>
          <w:szCs w:val="24"/>
        </w:rPr>
      </w:pPr>
    </w:p>
    <w:p w14:paraId="74E268A9" w14:textId="77777777" w:rsidR="007C59AD" w:rsidRPr="002D5416" w:rsidRDefault="007C59AD" w:rsidP="007C59AD">
      <w:pPr>
        <w:pStyle w:val="Prrafodelista"/>
        <w:numPr>
          <w:ilvl w:val="1"/>
          <w:numId w:val="258"/>
        </w:numPr>
        <w:tabs>
          <w:tab w:val="left" w:pos="1478"/>
        </w:tabs>
        <w:ind w:left="720"/>
        <w:jc w:val="both"/>
        <w:rPr>
          <w:rFonts w:ascii="Bookman Old Style" w:hAnsi="Bookman Old Style" w:cs="Arial"/>
          <w:color w:val="000000" w:themeColor="text1"/>
          <w:sz w:val="24"/>
          <w:szCs w:val="24"/>
        </w:rPr>
      </w:pPr>
      <w:bookmarkStart w:id="212" w:name="_Ref412642668"/>
      <w:r w:rsidRPr="002D5416">
        <w:rPr>
          <w:rFonts w:ascii="Bookman Old Style" w:hAnsi="Bookman Old Style" w:cs="Arial"/>
          <w:color w:val="000000" w:themeColor="text1"/>
          <w:sz w:val="24"/>
          <w:szCs w:val="24"/>
        </w:rPr>
        <w:t>Garantía de cumplimiento</w:t>
      </w:r>
      <w:bookmarkEnd w:id="212"/>
    </w:p>
    <w:p w14:paraId="2CD61382" w14:textId="77777777" w:rsidR="007C59AD" w:rsidRPr="002D5416" w:rsidRDefault="007C59AD" w:rsidP="007C59AD">
      <w:pPr>
        <w:pStyle w:val="Prrafodelista"/>
        <w:tabs>
          <w:tab w:val="left" w:pos="567"/>
        </w:tabs>
        <w:ind w:left="0"/>
        <w:jc w:val="both"/>
        <w:rPr>
          <w:rFonts w:ascii="Bookman Old Style" w:hAnsi="Bookman Old Style" w:cs="Arial"/>
          <w:color w:val="000000" w:themeColor="text1"/>
          <w:sz w:val="24"/>
          <w:szCs w:val="24"/>
        </w:rPr>
      </w:pPr>
    </w:p>
    <w:p w14:paraId="2BB71C4C" w14:textId="77777777" w:rsidR="007C59AD" w:rsidRPr="002D5416" w:rsidRDefault="007C59AD" w:rsidP="007C59AD">
      <w:pPr>
        <w:tabs>
          <w:tab w:val="left" w:pos="567"/>
        </w:tabs>
        <w:ind w:left="709"/>
        <w:jc w:val="both"/>
        <w:rPr>
          <w:rFonts w:ascii="Bookman Old Style" w:hAnsi="Bookman Old Style" w:cs="Arial"/>
          <w:color w:val="000000" w:themeColor="text1"/>
        </w:rPr>
      </w:pPr>
      <w:r w:rsidRPr="002D5416">
        <w:rPr>
          <w:rFonts w:ascii="Bookman Old Style" w:hAnsi="Bookman Old Style" w:cs="Arial"/>
          <w:color w:val="000000" w:themeColor="text1"/>
        </w:rPr>
        <w:t xml:space="preserve">Los vendedores y compradores podrán acordar los mecanismos de cobertura para el cumplimiento de las obligaciones derivadas de la subasta. En caso de que no se pongan de acuerdo, los vendedores y los compradores deberán acogerse al mecanismo de cobertura que se expone a continuación: </w:t>
      </w:r>
    </w:p>
    <w:p w14:paraId="2AC560AF"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711AE194"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bookmarkStart w:id="213" w:name="_Ref410812768"/>
      <w:r w:rsidRPr="002D5416">
        <w:rPr>
          <w:rFonts w:ascii="Bookman Old Style" w:hAnsi="Bookman Old Style" w:cs="Arial"/>
          <w:color w:val="000000" w:themeColor="text1"/>
          <w:sz w:val="24"/>
          <w:szCs w:val="24"/>
        </w:rPr>
        <w:t>Sujetos objeto de la constitución de la garantía de cumplimiento:</w:t>
      </w:r>
      <w:bookmarkEnd w:id="213"/>
    </w:p>
    <w:p w14:paraId="2F4CD9F6" w14:textId="77777777" w:rsidR="007C59AD" w:rsidRPr="002D5416" w:rsidRDefault="007C59AD" w:rsidP="00C77185">
      <w:pPr>
        <w:pStyle w:val="ARTICULOS"/>
        <w:numPr>
          <w:ilvl w:val="0"/>
          <w:numId w:val="0"/>
        </w:numPr>
        <w:tabs>
          <w:tab w:val="clear" w:pos="1559"/>
          <w:tab w:val="left" w:pos="1560"/>
        </w:tabs>
        <w:rPr>
          <w:rFonts w:cs="Arial"/>
          <w:color w:val="000000"/>
          <w:lang w:val="es-CO"/>
        </w:rPr>
      </w:pPr>
    </w:p>
    <w:p w14:paraId="58B1177A" w14:textId="32810AA9" w:rsidR="007C59AD" w:rsidRPr="002D5416" w:rsidRDefault="00007017" w:rsidP="002D5416">
      <w:pPr>
        <w:tabs>
          <w:tab w:val="left" w:pos="567"/>
        </w:tabs>
        <w:ind w:left="709"/>
        <w:jc w:val="both"/>
        <w:rPr>
          <w:rFonts w:ascii="Bookman Old Style" w:hAnsi="Bookman Old Style" w:cs="Arial"/>
          <w:color w:val="000000" w:themeColor="text1"/>
        </w:rPr>
      </w:pPr>
      <w:r>
        <w:rPr>
          <w:rFonts w:ascii="Bookman Old Style" w:hAnsi="Bookman Old Style" w:cs="Arial"/>
          <w:color w:val="000000" w:themeColor="text1"/>
        </w:rPr>
        <w:t>Es obligatoria para l</w:t>
      </w:r>
      <w:r w:rsidR="007C59AD" w:rsidRPr="002D5416">
        <w:rPr>
          <w:rFonts w:ascii="Bookman Old Style" w:hAnsi="Bookman Old Style" w:cs="Arial"/>
          <w:color w:val="000000" w:themeColor="text1"/>
        </w:rPr>
        <w:t xml:space="preserve">os vendedores definidos en el artículo </w:t>
      </w:r>
      <w:r w:rsidR="00FB5EC0">
        <w:rPr>
          <w:rFonts w:ascii="Bookman Old Style" w:hAnsi="Bookman Old Style" w:cs="Arial"/>
          <w:color w:val="000000" w:themeColor="text1"/>
        </w:rPr>
        <w:t>16</w:t>
      </w:r>
      <w:r w:rsidR="007C59AD" w:rsidRPr="002D5416">
        <w:rPr>
          <w:rFonts w:ascii="Bookman Old Style" w:hAnsi="Bookman Old Style" w:cs="Arial"/>
          <w:color w:val="000000" w:themeColor="text1"/>
        </w:rPr>
        <w:t xml:space="preserve"> </w:t>
      </w:r>
      <w:r>
        <w:rPr>
          <w:rFonts w:ascii="Bookman Old Style" w:hAnsi="Bookman Old Style" w:cs="Arial"/>
          <w:color w:val="000000" w:themeColor="text1"/>
        </w:rPr>
        <w:t>y los c</w:t>
      </w:r>
      <w:r w:rsidR="007C59AD" w:rsidRPr="002D5416">
        <w:rPr>
          <w:rFonts w:ascii="Bookman Old Style" w:hAnsi="Bookman Old Style" w:cs="Arial"/>
          <w:color w:val="000000" w:themeColor="text1"/>
        </w:rPr>
        <w:t>ompradores definidos en el artículo 1</w:t>
      </w:r>
      <w:r>
        <w:rPr>
          <w:rFonts w:ascii="Bookman Old Style" w:hAnsi="Bookman Old Style" w:cs="Arial"/>
          <w:color w:val="000000" w:themeColor="text1"/>
        </w:rPr>
        <w:t xml:space="preserve">7, ambos </w:t>
      </w:r>
      <w:r w:rsidR="007C59AD" w:rsidRPr="002D5416">
        <w:rPr>
          <w:rFonts w:ascii="Bookman Old Style" w:hAnsi="Bookman Old Style" w:cs="Arial"/>
          <w:color w:val="000000" w:themeColor="text1"/>
        </w:rPr>
        <w:t xml:space="preserve">de la </w:t>
      </w:r>
      <w:r w:rsidR="00FB5EC0">
        <w:rPr>
          <w:rFonts w:ascii="Bookman Old Style" w:hAnsi="Bookman Old Style" w:cs="Arial"/>
          <w:color w:val="000000" w:themeColor="text1"/>
        </w:rPr>
        <w:t>presente r</w:t>
      </w:r>
      <w:r w:rsidR="007C59AD" w:rsidRPr="002D5416">
        <w:rPr>
          <w:rFonts w:ascii="Bookman Old Style" w:hAnsi="Bookman Old Style" w:cs="Arial"/>
          <w:color w:val="000000" w:themeColor="text1"/>
        </w:rPr>
        <w:t>esolución.</w:t>
      </w:r>
    </w:p>
    <w:p w14:paraId="1CDE8614" w14:textId="77777777" w:rsidR="007C59AD" w:rsidRPr="002D5416" w:rsidRDefault="007C59AD" w:rsidP="00C77185">
      <w:pPr>
        <w:pStyle w:val="ARTICULOS"/>
        <w:numPr>
          <w:ilvl w:val="0"/>
          <w:numId w:val="0"/>
        </w:numPr>
        <w:tabs>
          <w:tab w:val="clear" w:pos="1559"/>
          <w:tab w:val="left" w:pos="1560"/>
        </w:tabs>
        <w:rPr>
          <w:rFonts w:cs="Arial"/>
          <w:color w:val="000000"/>
          <w:sz w:val="12"/>
          <w:lang w:val="es-ES"/>
        </w:rPr>
      </w:pPr>
    </w:p>
    <w:p w14:paraId="1FCA702E" w14:textId="40791D1A" w:rsidR="007C59AD" w:rsidRPr="00F503ED"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Beneficiario de la garantía: El beneficiario de la garantía es la fiducia mercantil que </w:t>
      </w:r>
      <w:r w:rsidRPr="00F503ED">
        <w:rPr>
          <w:rFonts w:ascii="Bookman Old Style" w:hAnsi="Bookman Old Style" w:cs="Arial"/>
          <w:color w:val="000000" w:themeColor="text1"/>
          <w:sz w:val="24"/>
          <w:szCs w:val="24"/>
        </w:rPr>
        <w:t xml:space="preserve">para tales efectos constituya el gestor del mercado de gas natural, </w:t>
      </w:r>
      <w:r w:rsidR="00FB5EC0" w:rsidRPr="00F503ED">
        <w:rPr>
          <w:rFonts w:ascii="Bookman Old Style" w:hAnsi="Bookman Old Style" w:cs="Arial"/>
          <w:b/>
          <w:bCs/>
          <w:color w:val="000000" w:themeColor="text1"/>
          <w:sz w:val="24"/>
          <w:szCs w:val="24"/>
        </w:rPr>
        <w:t xml:space="preserve">según lo establecido en el numeral 5.13.1 del Anexo 7 de la presente resolución y </w:t>
      </w:r>
      <w:r w:rsidR="00E821D2" w:rsidRPr="00F503ED">
        <w:rPr>
          <w:rFonts w:ascii="Bookman Old Style" w:hAnsi="Bookman Old Style" w:cs="Arial"/>
          <w:b/>
          <w:bCs/>
          <w:color w:val="000000" w:themeColor="text1"/>
          <w:sz w:val="24"/>
          <w:szCs w:val="24"/>
        </w:rPr>
        <w:t>en el Anexo 9 de la misma</w:t>
      </w:r>
      <w:r w:rsidRPr="00F503ED">
        <w:rPr>
          <w:rFonts w:ascii="Bookman Old Style" w:hAnsi="Bookman Old Style" w:cs="Arial"/>
          <w:color w:val="000000" w:themeColor="text1"/>
          <w:sz w:val="24"/>
          <w:szCs w:val="24"/>
        </w:rPr>
        <w:t>.</w:t>
      </w:r>
    </w:p>
    <w:p w14:paraId="343E500E" w14:textId="77777777" w:rsidR="007C59AD" w:rsidRPr="00F503ED" w:rsidRDefault="007C59AD" w:rsidP="00C77185">
      <w:pPr>
        <w:ind w:left="0"/>
        <w:jc w:val="both"/>
        <w:rPr>
          <w:rFonts w:ascii="Bookman Old Style" w:hAnsi="Bookman Old Style"/>
          <w:color w:val="000000" w:themeColor="text1"/>
          <w:sz w:val="14"/>
          <w:lang w:val="es-CO"/>
        </w:rPr>
      </w:pPr>
    </w:p>
    <w:p w14:paraId="5591FD87"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Beneficiario de los recursos que resulten de la ejecución de la garantía de cumplimiento: Cuando haya lugar a la ejecución de la garantía de </w:t>
      </w:r>
      <w:r w:rsidRPr="00F503ED">
        <w:rPr>
          <w:rFonts w:ascii="Bookman Old Style" w:hAnsi="Bookman Old Style" w:cs="Arial"/>
          <w:color w:val="000000" w:themeColor="text1"/>
          <w:sz w:val="24"/>
          <w:szCs w:val="24"/>
        </w:rPr>
        <w:lastRenderedPageBreak/>
        <w:t>cumplimiento de un vendedor o un comprador los recursos que resulten de la ejecución de la misma serán transferidos</w:t>
      </w:r>
      <w:r w:rsidRPr="002D5416">
        <w:rPr>
          <w:rFonts w:ascii="Bookman Old Style" w:hAnsi="Bookman Old Style" w:cs="Arial"/>
          <w:color w:val="000000" w:themeColor="text1"/>
          <w:sz w:val="24"/>
          <w:szCs w:val="24"/>
        </w:rPr>
        <w:t xml:space="preserve"> a las correspondientes contrapartes, en forma proporcional a su participación, según corresponda.</w:t>
      </w:r>
    </w:p>
    <w:p w14:paraId="5CB81914" w14:textId="77777777" w:rsidR="007C59AD" w:rsidRPr="002D5416" w:rsidRDefault="007C59AD" w:rsidP="002D5416">
      <w:pPr>
        <w:pStyle w:val="Prrafodelista"/>
        <w:tabs>
          <w:tab w:val="left" w:pos="2920"/>
        </w:tabs>
        <w:ind w:left="337"/>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ab/>
      </w:r>
    </w:p>
    <w:p w14:paraId="1DA709D5"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La fiducia mercantil hará las transferencias a los beneficiarios de los recursos que resulten de la ejecución de la garantía, descontando los gastos de transferencias bancarias y GMF.</w:t>
      </w:r>
    </w:p>
    <w:p w14:paraId="2C30E3A2" w14:textId="77777777" w:rsidR="007C59AD" w:rsidRPr="002D5416" w:rsidRDefault="007C59AD" w:rsidP="00C77185">
      <w:pPr>
        <w:ind w:left="0"/>
        <w:jc w:val="both"/>
        <w:rPr>
          <w:rFonts w:ascii="Bookman Old Style" w:hAnsi="Bookman Old Style"/>
          <w:color w:val="000000" w:themeColor="text1"/>
          <w:lang w:val="es-CO"/>
        </w:rPr>
      </w:pPr>
    </w:p>
    <w:p w14:paraId="6A997A9E"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garantía de los vendedores: Los vendedores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 xml:space="preserve"> deben entregar dos (2) garantías de cumplimiento.</w:t>
      </w:r>
    </w:p>
    <w:p w14:paraId="1D01E527"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6CC0D644"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Primera garantía</w:t>
      </w:r>
    </w:p>
    <w:p w14:paraId="3CE8EB62"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14"/>
          <w:szCs w:val="24"/>
        </w:rPr>
      </w:pPr>
    </w:p>
    <w:p w14:paraId="4E9AF208" w14:textId="77777777" w:rsidR="007C59AD" w:rsidRPr="002D5416" w:rsidRDefault="00FB7B28" w:rsidP="002D5416">
      <w:pPr>
        <w:pStyle w:val="Prrafodelista"/>
        <w:tabs>
          <w:tab w:val="left" w:pos="567"/>
        </w:tabs>
        <w:ind w:left="709"/>
        <w:jc w:val="both"/>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VLRLCS</m:t>
              </m:r>
            </m:e>
            <m:sub>
              <m:r>
                <w:rPr>
                  <w:rFonts w:ascii="Cambria Math" w:hAnsi="Cambria Math" w:cs="Arial"/>
                  <w:color w:val="000000" w:themeColor="text1"/>
                  <w:sz w:val="24"/>
                  <w:szCs w:val="24"/>
                </w:rPr>
                <m:t xml:space="preserve">v </m:t>
              </m:r>
            </m:sub>
          </m:sSub>
          <m:r>
            <w:rPr>
              <w:rFonts w:ascii="Cambria Math" w:hAnsi="Cambria Math" w:cs="Arial"/>
              <w:color w:val="000000" w:themeColor="text1"/>
              <w:sz w:val="24"/>
              <w:szCs w:val="24"/>
            </w:rPr>
            <m:t xml:space="preserve">=0,5 ×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×90 ×p ×TRM</m:t>
          </m:r>
        </m:oMath>
      </m:oMathPara>
    </w:p>
    <w:p w14:paraId="2943F82C"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14"/>
          <w:szCs w:val="24"/>
        </w:rPr>
      </w:pPr>
    </w:p>
    <w:p w14:paraId="2F946C9A"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Segunda garantía</w:t>
      </w:r>
    </w:p>
    <w:p w14:paraId="6C1727C2" w14:textId="77777777" w:rsidR="007C59AD" w:rsidRPr="002D5416" w:rsidRDefault="00FB7B28" w:rsidP="002D5416">
      <w:pPr>
        <w:pStyle w:val="Prrafodelista"/>
        <w:tabs>
          <w:tab w:val="left" w:pos="567"/>
        </w:tabs>
        <w:ind w:left="709"/>
        <w:jc w:val="both"/>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VLRLCM</m:t>
              </m:r>
            </m:e>
            <m:sub>
              <m:r>
                <w:rPr>
                  <w:rFonts w:ascii="Cambria Math" w:hAnsi="Cambria Math" w:cs="Arial"/>
                  <w:color w:val="000000" w:themeColor="text1"/>
                  <w:sz w:val="24"/>
                  <w:szCs w:val="24"/>
                </w:rPr>
                <m:t xml:space="preserve">v </m:t>
              </m:r>
            </m:sub>
          </m:sSub>
          <m:r>
            <w:rPr>
              <w:rFonts w:ascii="Cambria Math" w:hAnsi="Cambria Math" w:cs="Arial"/>
              <w:color w:val="000000" w:themeColor="text1"/>
              <w:sz w:val="24"/>
              <w:szCs w:val="24"/>
            </w:rPr>
            <m:t xml:space="preserve">= </m:t>
          </m:r>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 xml:space="preserve"> ×pv</m:t>
          </m:r>
        </m:oMath>
      </m:oMathPara>
    </w:p>
    <w:p w14:paraId="4F5D392F" w14:textId="77777777" w:rsidR="007C59AD" w:rsidRPr="002D5416" w:rsidRDefault="007C59AD" w:rsidP="002D5416">
      <w:pPr>
        <w:tabs>
          <w:tab w:val="left" w:pos="567"/>
        </w:tabs>
        <w:ind w:left="0"/>
        <w:jc w:val="both"/>
        <w:rPr>
          <w:rFonts w:ascii="Bookman Old Style" w:hAnsi="Bookman Old Style" w:cs="Arial"/>
          <w:color w:val="000000" w:themeColor="text1"/>
          <w:sz w:val="2"/>
          <w:lang w:val="es-CO"/>
        </w:rPr>
      </w:pPr>
    </w:p>
    <w:p w14:paraId="466795B8" w14:textId="77777777" w:rsidR="007C59AD" w:rsidRPr="002D5416" w:rsidRDefault="007C59AD" w:rsidP="002D5416">
      <w:pPr>
        <w:tabs>
          <w:tab w:val="left" w:pos="567"/>
        </w:tabs>
        <w:ind w:left="0"/>
        <w:jc w:val="both"/>
        <w:rPr>
          <w:rFonts w:ascii="Bookman Old Style" w:hAnsi="Bookman Old Style" w:cs="Arial"/>
          <w:color w:val="000000" w:themeColor="text1"/>
          <w:sz w:val="14"/>
          <w:lang w:val="es-CO"/>
        </w:rPr>
      </w:pPr>
    </w:p>
    <w:p w14:paraId="0EE77EED"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Donde:</w:t>
      </w:r>
    </w:p>
    <w:p w14:paraId="61FCFDB9" w14:textId="77777777" w:rsidR="007C59AD" w:rsidRPr="002D5416" w:rsidRDefault="007C59AD" w:rsidP="00C77185">
      <w:pPr>
        <w:pStyle w:val="Prrafodelista"/>
        <w:tabs>
          <w:tab w:val="left" w:pos="567"/>
        </w:tabs>
        <w:ind w:left="0"/>
        <w:jc w:val="both"/>
        <w:rPr>
          <w:rFonts w:ascii="Bookman Old Style" w:hAnsi="Bookman Old Style" w:cs="Arial"/>
          <w:color w:val="000000" w:themeColor="text1"/>
          <w:sz w:val="24"/>
          <w:szCs w:val="24"/>
        </w:rPr>
      </w:pPr>
    </w:p>
    <w:tbl>
      <w:tblPr>
        <w:tblStyle w:val="Tablaconcuadrcula"/>
        <w:tblW w:w="0" w:type="auto"/>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6837"/>
      </w:tblGrid>
      <w:tr w:rsidR="007C59AD" w:rsidRPr="00DA5F4E" w14:paraId="3B072799" w14:textId="77777777" w:rsidTr="002D5416">
        <w:tc>
          <w:tcPr>
            <w:tcW w:w="1282" w:type="dxa"/>
          </w:tcPr>
          <w:p w14:paraId="419E81D1" w14:textId="77777777" w:rsidR="007C59AD" w:rsidRPr="002D5416" w:rsidRDefault="00FB7B28">
            <w:pPr>
              <w:pStyle w:val="Prrafodelista"/>
              <w:ind w:left="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VLRLCS</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m:t>
                </m:r>
              </m:oMath>
            </m:oMathPara>
          </w:p>
        </w:tc>
        <w:tc>
          <w:tcPr>
            <w:tcW w:w="6837" w:type="dxa"/>
          </w:tcPr>
          <w:p w14:paraId="78E70012" w14:textId="2DAEA110"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primera garantía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w:t>
            </w:r>
          </w:p>
          <w:p w14:paraId="50FAA7E0" w14:textId="77777777" w:rsidR="007C59AD" w:rsidRPr="002D5416" w:rsidRDefault="007C59AD">
            <w:pPr>
              <w:pStyle w:val="Prrafodelista"/>
              <w:tabs>
                <w:tab w:val="left" w:pos="567"/>
              </w:tabs>
              <w:ind w:left="0"/>
              <w:jc w:val="both"/>
              <w:rPr>
                <w:rFonts w:ascii="Bookman Old Style" w:hAnsi="Bookman Old Style" w:cs="Arial"/>
                <w:color w:val="000000" w:themeColor="text1"/>
                <w:sz w:val="14"/>
                <w:szCs w:val="24"/>
              </w:rPr>
            </w:pPr>
          </w:p>
        </w:tc>
      </w:tr>
      <w:tr w:rsidR="007C59AD" w:rsidRPr="00DA5F4E" w14:paraId="3730C035" w14:textId="77777777" w:rsidTr="002D5416">
        <w:tc>
          <w:tcPr>
            <w:tcW w:w="1282" w:type="dxa"/>
          </w:tcPr>
          <w:p w14:paraId="1C86EFA7" w14:textId="77777777" w:rsidR="007C59AD" w:rsidRPr="002D5416" w:rsidRDefault="00FB7B28">
            <w:pPr>
              <w:pStyle w:val="Prrafodelista"/>
              <w:ind w:left="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VLRLCM</m:t>
                    </m:r>
                  </m:e>
                  <m:sub>
                    <m:r>
                      <w:rPr>
                        <w:rFonts w:ascii="Cambria Math" w:hAnsi="Cambria Math" w:cs="Arial"/>
                        <w:color w:val="000000" w:themeColor="text1"/>
                        <w:sz w:val="24"/>
                        <w:szCs w:val="24"/>
                      </w:rPr>
                      <m:t>v</m:t>
                    </m:r>
                  </m:sub>
                </m:sSub>
                <m:r>
                  <w:rPr>
                    <w:rFonts w:ascii="Cambria Math" w:hAnsi="Cambria Math" w:cs="Arial"/>
                    <w:color w:val="000000" w:themeColor="text1"/>
                    <w:sz w:val="24"/>
                    <w:szCs w:val="24"/>
                  </w:rPr>
                  <m:t>:</m:t>
                </m:r>
              </m:oMath>
            </m:oMathPara>
          </w:p>
        </w:tc>
        <w:tc>
          <w:tcPr>
            <w:tcW w:w="6837" w:type="dxa"/>
          </w:tcPr>
          <w:p w14:paraId="7FA48FB0" w14:textId="3F2BA7C4"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segunda garantía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w:t>
            </w:r>
          </w:p>
          <w:p w14:paraId="672951B7" w14:textId="77777777" w:rsidR="007C59AD" w:rsidRPr="002D5416" w:rsidRDefault="007C59AD">
            <w:pPr>
              <w:pStyle w:val="Prrafodelista"/>
              <w:tabs>
                <w:tab w:val="left" w:pos="567"/>
              </w:tabs>
              <w:ind w:left="0"/>
              <w:jc w:val="both"/>
              <w:rPr>
                <w:rFonts w:ascii="Bookman Old Style" w:hAnsi="Bookman Old Style" w:cs="Arial"/>
                <w:color w:val="000000" w:themeColor="text1"/>
                <w:sz w:val="12"/>
                <w:szCs w:val="24"/>
              </w:rPr>
            </w:pPr>
          </w:p>
        </w:tc>
      </w:tr>
      <w:tr w:rsidR="007C59AD" w:rsidRPr="00DA5F4E" w14:paraId="7E8D661B" w14:textId="77777777" w:rsidTr="002D5416">
        <w:tc>
          <w:tcPr>
            <w:tcW w:w="1282" w:type="dxa"/>
          </w:tcPr>
          <w:p w14:paraId="644A8C37" w14:textId="77777777" w:rsidR="007C59AD" w:rsidRPr="002D5416" w:rsidRDefault="00FB7B28">
            <w:pPr>
              <w:pStyle w:val="Prrafodelista"/>
              <w:ind w:left="0"/>
              <w:rPr>
                <w:rFonts w:ascii="Bookman Old Style" w:hAnsi="Bookman Old Style"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v</m:t>
                  </m:r>
                </m:sub>
              </m:sSub>
            </m:oMath>
            <w:r w:rsidR="007C59AD" w:rsidRPr="002D5416">
              <w:rPr>
                <w:rFonts w:ascii="Bookman Old Style" w:hAnsi="Bookman Old Style" w:cs="Arial"/>
                <w:color w:val="000000" w:themeColor="text1"/>
                <w:sz w:val="24"/>
                <w:szCs w:val="24"/>
              </w:rPr>
              <w:t>:</w:t>
            </w:r>
          </w:p>
        </w:tc>
        <w:tc>
          <w:tcPr>
            <w:tcW w:w="6837" w:type="dxa"/>
          </w:tcPr>
          <w:p w14:paraId="1AF20774"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Asignación de energía del vendedor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 xml:space="preserve"> en MBTUD, en la subasta.</w:t>
            </w:r>
          </w:p>
          <w:p w14:paraId="5214AF14" w14:textId="77777777" w:rsidR="007C59AD" w:rsidRPr="002D5416" w:rsidRDefault="007C59AD">
            <w:pPr>
              <w:pStyle w:val="Prrafodelista"/>
              <w:tabs>
                <w:tab w:val="left" w:pos="567"/>
              </w:tabs>
              <w:ind w:left="0"/>
              <w:jc w:val="both"/>
              <w:rPr>
                <w:rFonts w:ascii="Bookman Old Style" w:hAnsi="Bookman Old Style" w:cs="Arial"/>
                <w:color w:val="000000" w:themeColor="text1"/>
                <w:sz w:val="8"/>
                <w:szCs w:val="24"/>
              </w:rPr>
            </w:pPr>
          </w:p>
        </w:tc>
      </w:tr>
      <w:tr w:rsidR="007C59AD" w:rsidRPr="00DA5F4E" w14:paraId="3B71F401" w14:textId="77777777" w:rsidTr="002D5416">
        <w:tc>
          <w:tcPr>
            <w:tcW w:w="1282" w:type="dxa"/>
          </w:tcPr>
          <w:p w14:paraId="119323D4" w14:textId="77777777" w:rsidR="007C59AD" w:rsidRPr="002D5416" w:rsidRDefault="007C59AD">
            <w:pPr>
              <w:pStyle w:val="Prrafodelista"/>
              <w:ind w:left="0"/>
              <w:rPr>
                <w:color w:val="000000" w:themeColor="text1"/>
                <w:sz w:val="24"/>
                <w:szCs w:val="24"/>
              </w:rPr>
            </w:pPr>
            <m:oMath>
              <m:r>
                <w:rPr>
                  <w:rFonts w:ascii="Cambria Math" w:hAnsi="Cambria Math" w:cs="Arial"/>
                  <w:color w:val="000000" w:themeColor="text1"/>
                  <w:sz w:val="24"/>
                  <w:szCs w:val="24"/>
                </w:rPr>
                <m:t>p</m:t>
              </m:r>
            </m:oMath>
            <w:r w:rsidRPr="002D5416">
              <w:rPr>
                <w:color w:val="000000" w:themeColor="text1"/>
                <w:sz w:val="24"/>
                <w:szCs w:val="24"/>
              </w:rPr>
              <w:t>:</w:t>
            </w:r>
          </w:p>
        </w:tc>
        <w:tc>
          <w:tcPr>
            <w:tcW w:w="6837" w:type="dxa"/>
          </w:tcPr>
          <w:p w14:paraId="54D245F8" w14:textId="77777777"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Precio de cierre de la subasta en dólares de los Estados Unidos de América por MBTU.</w:t>
            </w:r>
          </w:p>
          <w:p w14:paraId="21D31FA6" w14:textId="77777777" w:rsidR="007C59AD" w:rsidRPr="002D5416" w:rsidRDefault="007C59AD">
            <w:pPr>
              <w:pStyle w:val="Prrafodelista"/>
              <w:tabs>
                <w:tab w:val="left" w:pos="567"/>
              </w:tabs>
              <w:ind w:left="0"/>
              <w:jc w:val="both"/>
              <w:rPr>
                <w:rFonts w:ascii="Bookman Old Style" w:hAnsi="Bookman Old Style" w:cs="Arial"/>
                <w:color w:val="000000" w:themeColor="text1"/>
                <w:sz w:val="12"/>
                <w:szCs w:val="24"/>
              </w:rPr>
            </w:pPr>
          </w:p>
        </w:tc>
      </w:tr>
      <w:tr w:rsidR="007C59AD" w:rsidRPr="00DA5F4E" w14:paraId="0BB739E4" w14:textId="77777777" w:rsidTr="002D5416">
        <w:tc>
          <w:tcPr>
            <w:tcW w:w="1282" w:type="dxa"/>
          </w:tcPr>
          <w:p w14:paraId="1DAA95E5"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TRM</m:t>
              </m:r>
            </m:oMath>
            <w:r w:rsidRPr="002D5416">
              <w:rPr>
                <w:rFonts w:ascii="Bookman Old Style" w:hAnsi="Bookman Old Style" w:cs="Arial"/>
                <w:color w:val="000000" w:themeColor="text1"/>
                <w:sz w:val="24"/>
                <w:szCs w:val="24"/>
              </w:rPr>
              <w:t>:</w:t>
            </w:r>
          </w:p>
        </w:tc>
        <w:tc>
          <w:tcPr>
            <w:tcW w:w="6837" w:type="dxa"/>
          </w:tcPr>
          <w:p w14:paraId="34452944" w14:textId="5FC3D239"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Tasa Representativa del Mercado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 por dólar de los Estados Unidos de América, del último día hábil del mes anterior a la estimación de la garantía, certificado por la Superintendencia Financiera de Colombia.</w:t>
            </w:r>
          </w:p>
          <w:p w14:paraId="5C4CDC95" w14:textId="77777777" w:rsidR="007C59AD" w:rsidRPr="002D5416" w:rsidRDefault="007C59AD">
            <w:pPr>
              <w:pStyle w:val="Prrafodelista"/>
              <w:ind w:left="0"/>
              <w:jc w:val="both"/>
              <w:rPr>
                <w:rFonts w:ascii="Bookman Old Style" w:hAnsi="Bookman Old Style" w:cs="Arial"/>
                <w:color w:val="000000" w:themeColor="text1"/>
                <w:sz w:val="6"/>
                <w:szCs w:val="24"/>
              </w:rPr>
            </w:pPr>
          </w:p>
        </w:tc>
      </w:tr>
      <w:tr w:rsidR="007C59AD" w:rsidRPr="00DA5F4E" w14:paraId="60BAA70B" w14:textId="77777777" w:rsidTr="002D5416">
        <w:tc>
          <w:tcPr>
            <w:tcW w:w="1282" w:type="dxa"/>
          </w:tcPr>
          <w:p w14:paraId="0F3499AD"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pv</m:t>
              </m:r>
            </m:oMath>
            <w:r w:rsidRPr="002D5416">
              <w:rPr>
                <w:rFonts w:ascii="Bookman Old Style" w:hAnsi="Bookman Old Style" w:cs="Arial"/>
                <w:color w:val="000000" w:themeColor="text1"/>
                <w:sz w:val="24"/>
                <w:szCs w:val="24"/>
              </w:rPr>
              <w:t>:</w:t>
            </w:r>
          </w:p>
        </w:tc>
        <w:tc>
          <w:tcPr>
            <w:tcW w:w="6837" w:type="dxa"/>
          </w:tcPr>
          <w:p w14:paraId="6FF83E03" w14:textId="2D063B3A"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Precio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 por MBTU calculado con la siguiente expresión:</w:t>
            </w:r>
          </w:p>
          <w:p w14:paraId="216FF3D3" w14:textId="77777777" w:rsidR="007C59AD" w:rsidRPr="002D5416" w:rsidRDefault="007C59AD">
            <w:pPr>
              <w:pStyle w:val="Prrafodelista"/>
              <w:ind w:left="0"/>
              <w:jc w:val="both"/>
              <w:rPr>
                <w:rFonts w:ascii="Bookman Old Style" w:hAnsi="Bookman Old Style" w:cs="Arial"/>
                <w:color w:val="000000" w:themeColor="text1"/>
                <w:sz w:val="24"/>
                <w:szCs w:val="24"/>
              </w:rPr>
            </w:pPr>
          </w:p>
          <w:p w14:paraId="5EE9AD82" w14:textId="77777777" w:rsidR="007C59AD" w:rsidRPr="002D5416" w:rsidRDefault="007C59AD">
            <w:pPr>
              <w:pStyle w:val="Prrafodelista"/>
              <w:ind w:left="0"/>
              <w:jc w:val="both"/>
              <w:rPr>
                <w:rFonts w:ascii="Bookman Old Style" w:hAnsi="Bookman Old Style" w:cs="Arial"/>
                <w:color w:val="000000" w:themeColor="text1"/>
                <w:sz w:val="24"/>
                <w:szCs w:val="24"/>
              </w:rPr>
            </w:pPr>
            <m:oMathPara>
              <m:oMath>
                <m:r>
                  <w:rPr>
                    <w:rFonts w:ascii="Cambria Math" w:hAnsi="Cambria Math" w:cs="Arial"/>
                    <w:sz w:val="24"/>
                    <w:szCs w:val="24"/>
                  </w:rPr>
                  <m:t>pv</m:t>
                </m:r>
                <m:r>
                  <w:rPr>
                    <w:rFonts w:ascii="Cambria Math" w:hAnsi="Cambria Math" w:cs="Arial"/>
                    <w:sz w:val="24"/>
                    <w:szCs w:val="24"/>
                    <w:lang w:val="en-US"/>
                  </w:rPr>
                  <m:t xml:space="preserve"> = </m:t>
                </m:r>
                <m:r>
                  <w:rPr>
                    <w:rFonts w:ascii="Cambria Math" w:hAnsi="Cambria Math" w:cs="Arial"/>
                    <w:sz w:val="24"/>
                    <w:szCs w:val="24"/>
                  </w:rPr>
                  <m:t xml:space="preserve">107914 </m:t>
                </m:r>
                <m:r>
                  <w:rPr>
                    <w:rFonts w:ascii="Cambria Math" w:hAnsi="Cambria Math" w:cs="Arial" w:hint="eastAsia"/>
                    <w:sz w:val="24"/>
                    <w:szCs w:val="24"/>
                    <w:lang w:val="en-US"/>
                  </w:rPr>
                  <m:t>×</m:t>
                </m:r>
                <m:r>
                  <w:rPr>
                    <w:rFonts w:ascii="Cambria Math" w:hAnsi="Cambria Math" w:cs="Arial"/>
                    <w:sz w:val="24"/>
                    <w:szCs w:val="24"/>
                    <w:lang w:val="en-US"/>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IPP</m:t>
                        </m:r>
                      </m:e>
                      <m:sub>
                        <m:r>
                          <w:rPr>
                            <w:rFonts w:ascii="Cambria Math" w:hAnsi="Cambria Math" w:cs="Arial"/>
                            <w:sz w:val="24"/>
                            <w:szCs w:val="24"/>
                          </w:rPr>
                          <m:t>m</m:t>
                        </m:r>
                        <m:r>
                          <w:rPr>
                            <w:rFonts w:ascii="Cambria Math" w:hAnsi="Cambria Math" w:cs="Arial"/>
                            <w:sz w:val="24"/>
                            <w:szCs w:val="24"/>
                            <w:lang w:val="en-US"/>
                          </w:rPr>
                          <m:t>-1</m:t>
                        </m:r>
                      </m:sub>
                    </m:sSub>
                  </m:num>
                  <m:den>
                    <m:sSub>
                      <m:sSubPr>
                        <m:ctrlPr>
                          <w:rPr>
                            <w:rFonts w:ascii="Cambria Math" w:hAnsi="Cambria Math" w:cs="Arial"/>
                            <w:i/>
                            <w:sz w:val="24"/>
                            <w:szCs w:val="24"/>
                          </w:rPr>
                        </m:ctrlPr>
                      </m:sSubPr>
                      <m:e>
                        <m:r>
                          <w:rPr>
                            <w:rFonts w:ascii="Cambria Math" w:hAnsi="Cambria Math" w:cs="Arial"/>
                            <w:sz w:val="24"/>
                            <w:szCs w:val="24"/>
                          </w:rPr>
                          <m:t>IPP</m:t>
                        </m:r>
                      </m:e>
                      <m:sub>
                        <m:r>
                          <w:rPr>
                            <w:rFonts w:ascii="Cambria Math" w:hAnsi="Cambria Math" w:cs="Arial"/>
                            <w:sz w:val="24"/>
                            <w:szCs w:val="24"/>
                          </w:rPr>
                          <m:t>diciembre</m:t>
                        </m:r>
                        <m:r>
                          <w:rPr>
                            <w:rFonts w:ascii="Cambria Math" w:hAnsi="Cambria Math" w:cs="Arial"/>
                            <w:sz w:val="24"/>
                            <w:szCs w:val="24"/>
                            <w:lang w:val="en-US"/>
                          </w:rPr>
                          <m:t xml:space="preserve"> 2014</m:t>
                        </m:r>
                      </m:sub>
                    </m:sSub>
                  </m:den>
                </m:f>
              </m:oMath>
            </m:oMathPara>
          </w:p>
          <w:p w14:paraId="45B2357C"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5D41D66D" w14:textId="77777777" w:rsidTr="002D5416">
        <w:tc>
          <w:tcPr>
            <w:tcW w:w="1282" w:type="dxa"/>
          </w:tcPr>
          <w:p w14:paraId="73A73865"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IPP</m:t>
              </m:r>
            </m:oMath>
            <w:r w:rsidRPr="002D5416">
              <w:rPr>
                <w:rFonts w:ascii="Bookman Old Style" w:hAnsi="Bookman Old Style" w:cs="Arial"/>
                <w:color w:val="000000" w:themeColor="text1"/>
                <w:sz w:val="24"/>
                <w:szCs w:val="24"/>
              </w:rPr>
              <w:t>:</w:t>
            </w:r>
          </w:p>
        </w:tc>
        <w:tc>
          <w:tcPr>
            <w:tcW w:w="6837" w:type="dxa"/>
          </w:tcPr>
          <w:p w14:paraId="712B6E01" w14:textId="77777777"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sz w:val="24"/>
                <w:szCs w:val="24"/>
              </w:rPr>
              <w:t>Índice de Precios de la Oferta Interna reportado por la autoridad competente.</w:t>
            </w:r>
            <w:r w:rsidRPr="002D5416">
              <w:rPr>
                <w:rFonts w:ascii="Bookman Old Style" w:hAnsi="Bookman Old Style" w:cs="Arial"/>
                <w:color w:val="000000" w:themeColor="text1"/>
                <w:sz w:val="24"/>
                <w:szCs w:val="24"/>
              </w:rPr>
              <w:t xml:space="preserve"> </w:t>
            </w:r>
          </w:p>
          <w:p w14:paraId="2A280B2F"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22BB1AAD" w14:textId="77777777" w:rsidTr="002D5416">
        <w:trPr>
          <w:trHeight w:val="60"/>
        </w:trPr>
        <w:tc>
          <w:tcPr>
            <w:tcW w:w="1282" w:type="dxa"/>
          </w:tcPr>
          <w:p w14:paraId="41CBF0F5"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m-1</m:t>
              </m:r>
            </m:oMath>
            <w:r w:rsidRPr="002D5416">
              <w:rPr>
                <w:rFonts w:ascii="Bookman Old Style" w:hAnsi="Bookman Old Style" w:cs="Arial"/>
                <w:color w:val="000000" w:themeColor="text1"/>
                <w:sz w:val="24"/>
                <w:szCs w:val="24"/>
              </w:rPr>
              <w:t>:</w:t>
            </w:r>
          </w:p>
        </w:tc>
        <w:tc>
          <w:tcPr>
            <w:tcW w:w="6837" w:type="dxa"/>
          </w:tcPr>
          <w:p w14:paraId="47E7CD48" w14:textId="77777777" w:rsidR="007C59AD" w:rsidRPr="002D5416" w:rsidRDefault="007C59AD">
            <w:pPr>
              <w:pStyle w:val="Prrafodelista"/>
              <w:ind w:left="0"/>
              <w:jc w:val="both"/>
              <w:rPr>
                <w:rFonts w:ascii="Bookman Old Style" w:hAnsi="Bookman Old Style" w:cs="Arial"/>
                <w:sz w:val="24"/>
                <w:szCs w:val="24"/>
              </w:rPr>
            </w:pPr>
            <w:r w:rsidRPr="002D5416">
              <w:rPr>
                <w:rFonts w:ascii="Bookman Old Style" w:hAnsi="Bookman Old Style" w:cs="Arial"/>
                <w:sz w:val="24"/>
                <w:szCs w:val="24"/>
              </w:rPr>
              <w:t>Mes anterior al mes de la estimación de la garantía.</w:t>
            </w:r>
          </w:p>
        </w:tc>
      </w:tr>
    </w:tbl>
    <w:p w14:paraId="7EFB1850"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01E0C17B"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color w:val="000000" w:themeColor="text1"/>
          <w:sz w:val="24"/>
          <w:szCs w:val="24"/>
        </w:rPr>
        <w:t>Fecha</w:t>
      </w:r>
      <w:r w:rsidRPr="002D5416">
        <w:rPr>
          <w:rFonts w:ascii="Bookman Old Style" w:hAnsi="Bookman Old Style" w:cs="Arial"/>
          <w:sz w:val="24"/>
          <w:szCs w:val="24"/>
        </w:rPr>
        <w:t xml:space="preserve"> de entrega de las garantías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v</m:t>
            </m:r>
          </m:sub>
        </m:sSub>
      </m:oMath>
      <w:r w:rsidRPr="002D5416">
        <w:rPr>
          <w:rFonts w:ascii="Bookman Old Style" w:hAnsi="Bookman Old Style" w:cs="Arial"/>
          <w:sz w:val="24"/>
          <w:szCs w:val="24"/>
        </w:rPr>
        <w:t xml:space="preserve"> de los vendedores: La primera vez a más tardar a las 17:00 horas del último día hábil previo al primer mes de compromiso. Las siguientes garantías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v</m:t>
            </m:r>
          </m:sub>
        </m:sSub>
      </m:oMath>
      <w:r w:rsidRPr="002D5416">
        <w:rPr>
          <w:rFonts w:ascii="Bookman Old Style" w:hAnsi="Bookman Old Style" w:cs="Arial"/>
          <w:sz w:val="24"/>
          <w:szCs w:val="24"/>
        </w:rPr>
        <w:t xml:space="preserve"> se deben entregar hasta las 17:00 horas del quinto día hábil anterior al día en que termina la vigencia de la garantía.</w:t>
      </w:r>
    </w:p>
    <w:p w14:paraId="266B4E72" w14:textId="77777777" w:rsidR="007C59AD" w:rsidRPr="002D5416" w:rsidRDefault="007C59AD" w:rsidP="002D5416">
      <w:pPr>
        <w:pStyle w:val="Prrafodelista"/>
        <w:tabs>
          <w:tab w:val="left" w:pos="567"/>
        </w:tabs>
        <w:ind w:left="709"/>
        <w:jc w:val="both"/>
        <w:rPr>
          <w:rFonts w:ascii="Bookman Old Style" w:hAnsi="Bookman Old Style" w:cs="Arial"/>
          <w:sz w:val="16"/>
          <w:szCs w:val="24"/>
        </w:rPr>
      </w:pPr>
    </w:p>
    <w:p w14:paraId="7DAD3F2F"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sz w:val="24"/>
          <w:szCs w:val="24"/>
        </w:rPr>
        <w:lastRenderedPageBreak/>
        <w:t xml:space="preserve">Fecha de entrega de las garantías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v</m:t>
            </m:r>
          </m:sub>
        </m:sSub>
      </m:oMath>
      <w:r w:rsidRPr="002D5416">
        <w:rPr>
          <w:rFonts w:ascii="Bookman Old Style" w:hAnsi="Bookman Old Style" w:cs="Arial"/>
          <w:sz w:val="24"/>
          <w:szCs w:val="24"/>
        </w:rPr>
        <w:t xml:space="preserve"> de los vendedores: A más tardar a las 17:00 horas del último día hábil previo al mes de compromiso de suministro durante todos los meses de duración del contrato.</w:t>
      </w:r>
    </w:p>
    <w:p w14:paraId="7A5DE1C3" w14:textId="77777777" w:rsidR="007C59AD" w:rsidRPr="002D5416" w:rsidRDefault="007C59AD" w:rsidP="002D5416">
      <w:pPr>
        <w:pStyle w:val="Prrafodelista"/>
        <w:tabs>
          <w:tab w:val="left" w:pos="567"/>
        </w:tabs>
        <w:ind w:left="709"/>
        <w:jc w:val="both"/>
        <w:rPr>
          <w:rFonts w:ascii="Bookman Old Style" w:hAnsi="Bookman Old Style" w:cs="Arial"/>
          <w:sz w:val="16"/>
          <w:szCs w:val="24"/>
        </w:rPr>
      </w:pPr>
    </w:p>
    <w:p w14:paraId="7EAAE10F"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Vigencia</w:t>
      </w:r>
      <w:r w:rsidRPr="002D5416">
        <w:rPr>
          <w:rFonts w:ascii="Bookman Old Style" w:hAnsi="Bookman Old Style" w:cs="Arial"/>
          <w:sz w:val="24"/>
          <w:szCs w:val="24"/>
        </w:rPr>
        <w:t xml:space="preserve"> de la primera garantía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v</m:t>
            </m:r>
          </m:sub>
        </m:sSub>
      </m:oMath>
      <w:r w:rsidRPr="002D5416">
        <w:rPr>
          <w:rFonts w:ascii="Bookman Old Style" w:hAnsi="Bookman Old Style" w:cs="Arial"/>
          <w:sz w:val="24"/>
          <w:szCs w:val="24"/>
        </w:rPr>
        <w:t xml:space="preserve"> de los vendedores: treinta (30) días calendario contados siempre a partir de la entrega de la garantía.</w:t>
      </w:r>
    </w:p>
    <w:p w14:paraId="7C88F9F3" w14:textId="77777777" w:rsidR="007C59AD" w:rsidRPr="002D5416" w:rsidRDefault="007C59AD" w:rsidP="002D5416">
      <w:pPr>
        <w:pStyle w:val="Prrafodelista"/>
        <w:ind w:left="337"/>
        <w:rPr>
          <w:rFonts w:ascii="Bookman Old Style" w:hAnsi="Bookman Old Style" w:cs="Arial"/>
          <w:color w:val="000000" w:themeColor="text1"/>
          <w:sz w:val="14"/>
          <w:szCs w:val="24"/>
        </w:rPr>
      </w:pPr>
    </w:p>
    <w:p w14:paraId="2DE9E912"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Vigencia</w:t>
      </w:r>
      <w:r w:rsidRPr="002D5416">
        <w:rPr>
          <w:rFonts w:ascii="Bookman Old Style" w:hAnsi="Bookman Old Style" w:cs="Arial"/>
          <w:sz w:val="24"/>
          <w:szCs w:val="24"/>
        </w:rPr>
        <w:t xml:space="preserve"> de la segunda garantía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v</m:t>
            </m:r>
          </m:sub>
        </m:sSub>
      </m:oMath>
      <w:r w:rsidRPr="002D5416">
        <w:rPr>
          <w:rFonts w:ascii="Bookman Old Style" w:hAnsi="Bookman Old Style" w:cs="Arial"/>
          <w:sz w:val="24"/>
          <w:szCs w:val="24"/>
        </w:rPr>
        <w:t xml:space="preserve"> de los vendedores: </w:t>
      </w:r>
      <w:r w:rsidRPr="002D5416">
        <w:rPr>
          <w:rFonts w:ascii="Bookman Old Style" w:hAnsi="Bookman Old Style" w:cs="Arial"/>
          <w:color w:val="000000" w:themeColor="text1"/>
          <w:sz w:val="24"/>
          <w:szCs w:val="24"/>
        </w:rPr>
        <w:t>Número de días calendario del mes de suministro a cubrir, más el número de días de plazo para el pago de la factura más 1 día hábil a partir de la entrega de la garantía.</w:t>
      </w:r>
    </w:p>
    <w:p w14:paraId="019F32E1"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18"/>
          <w:szCs w:val="24"/>
        </w:rPr>
      </w:pPr>
    </w:p>
    <w:p w14:paraId="536FA553"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sz w:val="24"/>
          <w:szCs w:val="24"/>
        </w:rPr>
        <w:t xml:space="preserve">Evento que da lugar a la ejecución de la primera garantía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v</m:t>
            </m:r>
          </m:sub>
        </m:sSub>
      </m:oMath>
      <w:r w:rsidRPr="002D5416">
        <w:rPr>
          <w:rFonts w:ascii="Bookman Old Style" w:hAnsi="Bookman Old Style" w:cs="Arial"/>
          <w:sz w:val="24"/>
          <w:szCs w:val="24"/>
        </w:rPr>
        <w:t xml:space="preserve"> para un vendedor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 xml:space="preserve">: El evento que da lugar a la ejecución de la garantía es la terminación anticipada del contrato por condición diferente al mutuo acuerdo entre las partes causada por el vendedor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w:t>
      </w:r>
    </w:p>
    <w:p w14:paraId="7D2634D8" w14:textId="77777777" w:rsidR="007C59AD" w:rsidRPr="002D5416" w:rsidRDefault="007C59AD" w:rsidP="002D5416">
      <w:pPr>
        <w:pStyle w:val="Prrafodelista"/>
        <w:ind w:left="337"/>
        <w:rPr>
          <w:rFonts w:ascii="Bookman Old Style" w:hAnsi="Bookman Old Style" w:cs="Arial"/>
          <w:color w:val="000000" w:themeColor="text1"/>
          <w:sz w:val="12"/>
          <w:szCs w:val="24"/>
        </w:rPr>
      </w:pPr>
    </w:p>
    <w:p w14:paraId="3DC64A04"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color w:val="000000" w:themeColor="text1"/>
          <w:sz w:val="24"/>
          <w:szCs w:val="24"/>
        </w:rPr>
        <w:t xml:space="preserve">Eventos que dan lugar a la ejecución de la garantía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v</m:t>
            </m:r>
          </m:sub>
        </m:sSub>
      </m:oMath>
      <w:r w:rsidRPr="002D5416">
        <w:rPr>
          <w:rFonts w:ascii="Bookman Old Style" w:hAnsi="Bookman Old Style" w:cs="Arial"/>
          <w:color w:val="000000" w:themeColor="text1"/>
          <w:sz w:val="24"/>
          <w:szCs w:val="24"/>
        </w:rPr>
        <w:t xml:space="preserve"> para un vendedor </w:t>
      </w:r>
      <m:oMath>
        <m:r>
          <w:rPr>
            <w:rFonts w:ascii="Cambria Math" w:hAnsi="Cambria Math" w:cs="Arial"/>
            <w:color w:val="000000" w:themeColor="text1"/>
            <w:sz w:val="24"/>
            <w:szCs w:val="24"/>
          </w:rPr>
          <m:t>v</m:t>
        </m:r>
      </m:oMath>
      <w:r w:rsidRPr="002D5416">
        <w:rPr>
          <w:rFonts w:ascii="Bookman Old Style" w:hAnsi="Bookman Old Style" w:cs="Arial"/>
          <w:color w:val="000000" w:themeColor="text1"/>
          <w:sz w:val="24"/>
          <w:szCs w:val="24"/>
        </w:rPr>
        <w:t xml:space="preserve"> : Los eventos que dan lugar a la ejecución de la garantía son el no pago de la factura mensual de las compensaciones o cuando el vendedor no entregue la garantía de cumplimiento del siguiente mes del contrato.</w:t>
      </w:r>
    </w:p>
    <w:p w14:paraId="7B12458E"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lang w:val="es-ES"/>
        </w:rPr>
      </w:pPr>
    </w:p>
    <w:p w14:paraId="07034B15"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garantía de los compradores: Los compradores </w:t>
      </w: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 xml:space="preserve"> deben entregar dos (2) garantías de cumplimiento.</w:t>
      </w:r>
    </w:p>
    <w:p w14:paraId="246406B9"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2C62B37C"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Primera garantía</w:t>
      </w:r>
    </w:p>
    <w:p w14:paraId="618C7270" w14:textId="77777777" w:rsidR="007C59AD" w:rsidRPr="002D5416" w:rsidRDefault="007C59AD" w:rsidP="002D5416">
      <w:pPr>
        <w:tabs>
          <w:tab w:val="left" w:pos="567"/>
        </w:tabs>
        <w:ind w:left="0"/>
        <w:jc w:val="both"/>
        <w:rPr>
          <w:rFonts w:ascii="Bookman Old Style" w:hAnsi="Bookman Old Style" w:cs="Arial"/>
          <w:color w:val="000000" w:themeColor="text1"/>
          <w:lang w:val="es-CO"/>
        </w:rPr>
      </w:pPr>
    </w:p>
    <w:p w14:paraId="640F1D15" w14:textId="77777777" w:rsidR="007C59AD" w:rsidRPr="002D5416" w:rsidRDefault="00FB7B28" w:rsidP="002D5416">
      <w:pPr>
        <w:tabs>
          <w:tab w:val="left" w:pos="567"/>
        </w:tabs>
        <w:ind w:left="0"/>
        <w:jc w:val="both"/>
        <w:rPr>
          <w:rFonts w:ascii="Bookman Old Style" w:hAnsi="Bookman Old Style" w:cs="Arial"/>
          <w:color w:val="000000" w:themeColor="text1"/>
        </w:rPr>
      </w:pPr>
      <m:oMathPara>
        <m:oMath>
          <m:sSub>
            <m:sSubPr>
              <m:ctrlPr>
                <w:rPr>
                  <w:rFonts w:ascii="Cambria Math" w:hAnsi="Cambria Math" w:cs="Arial"/>
                  <w:i/>
                  <w:color w:val="000000" w:themeColor="text1"/>
                  <w:lang w:val="es-CO" w:eastAsia="x-none"/>
                </w:rPr>
              </m:ctrlPr>
            </m:sSubPr>
            <m:e>
              <m:r>
                <w:rPr>
                  <w:rFonts w:ascii="Cambria Math" w:hAnsi="Cambria Math" w:cs="Arial"/>
                  <w:color w:val="000000" w:themeColor="text1"/>
                </w:rPr>
                <m:t>VLRLCS</m:t>
              </m:r>
            </m:e>
            <m:sub>
              <m:r>
                <w:rPr>
                  <w:rFonts w:ascii="Cambria Math" w:hAnsi="Cambria Math" w:cs="Arial"/>
                  <w:color w:val="000000" w:themeColor="text1"/>
                </w:rPr>
                <m:t>c</m:t>
              </m:r>
            </m:sub>
          </m:sSub>
          <m:r>
            <w:rPr>
              <w:rFonts w:ascii="Cambria Math" w:hAnsi="Cambria Math" w:cs="Arial"/>
              <w:color w:val="000000" w:themeColor="text1"/>
            </w:rPr>
            <m:t>=0,5×</m:t>
          </m:r>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Asig</m:t>
              </m:r>
            </m:e>
            <m:sub>
              <m:r>
                <w:rPr>
                  <w:rFonts w:ascii="Cambria Math" w:hAnsi="Cambria Math" w:cs="Arial"/>
                  <w:color w:val="000000" w:themeColor="text1"/>
                </w:rPr>
                <m:t>c</m:t>
              </m:r>
            </m:sub>
          </m:sSub>
          <m:r>
            <w:rPr>
              <w:rFonts w:ascii="Cambria Math" w:hAnsi="Cambria Math" w:cs="Arial"/>
              <w:color w:val="000000" w:themeColor="text1"/>
            </w:rPr>
            <m:t>×90 ×p ×TRM</m:t>
          </m:r>
        </m:oMath>
      </m:oMathPara>
    </w:p>
    <w:p w14:paraId="32DBAC23" w14:textId="77777777" w:rsidR="007C59AD" w:rsidRPr="002D5416" w:rsidRDefault="007C59AD" w:rsidP="002D5416">
      <w:pPr>
        <w:tabs>
          <w:tab w:val="left" w:pos="567"/>
        </w:tabs>
        <w:ind w:left="0"/>
        <w:jc w:val="both"/>
        <w:rPr>
          <w:rFonts w:ascii="Bookman Old Style" w:hAnsi="Bookman Old Style" w:cs="Arial"/>
          <w:color w:val="000000" w:themeColor="text1"/>
          <w:sz w:val="36"/>
        </w:rPr>
      </w:pPr>
    </w:p>
    <w:p w14:paraId="306777B5"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Segunda garantía </w:t>
      </w:r>
    </w:p>
    <w:p w14:paraId="0C682F0D"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13E1C677" w14:textId="77777777" w:rsidR="007C59AD" w:rsidRPr="002D5416" w:rsidRDefault="00FB7B28" w:rsidP="002D5416">
      <w:pPr>
        <w:tabs>
          <w:tab w:val="left" w:pos="567"/>
        </w:tabs>
        <w:ind w:left="0"/>
        <w:jc w:val="both"/>
        <w:rPr>
          <w:rFonts w:ascii="Bookman Old Style" w:hAnsi="Bookman Old Style" w:cs="Arial"/>
          <w:color w:val="000000" w:themeColor="text1"/>
        </w:rPr>
      </w:pPr>
      <m:oMathPara>
        <m:oMath>
          <m:sSub>
            <m:sSubPr>
              <m:ctrlPr>
                <w:rPr>
                  <w:rFonts w:ascii="Cambria Math" w:hAnsi="Cambria Math" w:cs="Arial"/>
                  <w:i/>
                  <w:color w:val="000000" w:themeColor="text1"/>
                  <w:lang w:val="es-CO" w:eastAsia="x-none"/>
                </w:rPr>
              </m:ctrlPr>
            </m:sSubPr>
            <m:e>
              <m:r>
                <w:rPr>
                  <w:rFonts w:ascii="Cambria Math" w:hAnsi="Cambria Math" w:cs="Arial"/>
                  <w:color w:val="000000" w:themeColor="text1"/>
                </w:rPr>
                <m:t>VLRLCM</m:t>
              </m:r>
            </m:e>
            <m:sub>
              <m:r>
                <w:rPr>
                  <w:rFonts w:ascii="Cambria Math" w:hAnsi="Cambria Math" w:cs="Arial"/>
                  <w:color w:val="000000" w:themeColor="text1"/>
                </w:rPr>
                <m:t>c =</m:t>
              </m:r>
            </m:sub>
          </m:sSub>
          <m:r>
            <w:rPr>
              <w:rFonts w:ascii="Cambria Math" w:hAnsi="Cambria Math" w:cs="Arial"/>
              <w:color w:val="000000" w:themeColor="text1"/>
            </w:rPr>
            <m:t xml:space="preserve"> </m:t>
          </m:r>
          <m:sSub>
            <m:sSubPr>
              <m:ctrlPr>
                <w:rPr>
                  <w:rFonts w:ascii="Cambria Math" w:hAnsi="Cambria Math" w:cs="Arial"/>
                  <w:i/>
                  <w:color w:val="000000" w:themeColor="text1"/>
                  <w:lang w:val="es-CO" w:eastAsia="x-none"/>
                </w:rPr>
              </m:ctrlPr>
            </m:sSubPr>
            <m:e>
              <m:r>
                <w:rPr>
                  <w:rFonts w:ascii="Cambria Math" w:hAnsi="Cambria Math" w:cs="Arial"/>
                  <w:color w:val="000000" w:themeColor="text1"/>
                  <w:lang w:val="es-CO" w:eastAsia="x-none"/>
                </w:rPr>
                <m:t>Asig</m:t>
              </m:r>
            </m:e>
            <m:sub>
              <m:r>
                <w:rPr>
                  <w:rFonts w:ascii="Cambria Math" w:hAnsi="Cambria Math" w:cs="Arial"/>
                  <w:color w:val="000000" w:themeColor="text1"/>
                </w:rPr>
                <m:t>c</m:t>
              </m:r>
            </m:sub>
          </m:sSub>
          <m:r>
            <w:rPr>
              <w:rFonts w:ascii="Cambria Math" w:hAnsi="Cambria Math" w:cs="Arial"/>
              <w:color w:val="000000" w:themeColor="text1"/>
            </w:rPr>
            <m:t xml:space="preserve"> ×D×p×TRM</m:t>
          </m:r>
        </m:oMath>
      </m:oMathPara>
    </w:p>
    <w:p w14:paraId="5787744F" w14:textId="77777777" w:rsidR="007C59AD" w:rsidRPr="002D5416" w:rsidRDefault="007C59AD" w:rsidP="002D5416">
      <w:pPr>
        <w:tabs>
          <w:tab w:val="left" w:pos="567"/>
        </w:tabs>
        <w:ind w:left="0"/>
        <w:jc w:val="both"/>
        <w:rPr>
          <w:rFonts w:ascii="Bookman Old Style" w:hAnsi="Bookman Old Style" w:cs="Arial"/>
          <w:color w:val="000000" w:themeColor="text1"/>
          <w:lang w:val="es-CO"/>
        </w:rPr>
      </w:pPr>
    </w:p>
    <w:p w14:paraId="0285D391"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Donde:</w:t>
      </w:r>
    </w:p>
    <w:p w14:paraId="6312257C"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tbl>
      <w:tblPr>
        <w:tblStyle w:val="Tablaconcuadrcula"/>
        <w:tblW w:w="0" w:type="auto"/>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6846"/>
      </w:tblGrid>
      <w:tr w:rsidR="007C59AD" w:rsidRPr="00DA5F4E" w14:paraId="0C62A77E" w14:textId="77777777" w:rsidTr="002D5416">
        <w:tc>
          <w:tcPr>
            <w:tcW w:w="1273" w:type="dxa"/>
          </w:tcPr>
          <w:p w14:paraId="4A34EEA6" w14:textId="77777777" w:rsidR="007C59AD" w:rsidRPr="002D5416" w:rsidRDefault="00FB7B28">
            <w:pPr>
              <w:pStyle w:val="Prrafodelista"/>
              <w:ind w:left="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VLRLCS</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m:t>
                </m:r>
              </m:oMath>
            </m:oMathPara>
          </w:p>
        </w:tc>
        <w:tc>
          <w:tcPr>
            <w:tcW w:w="6846" w:type="dxa"/>
          </w:tcPr>
          <w:p w14:paraId="6BB436A9" w14:textId="64768BCB"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primera garantía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w:t>
            </w:r>
          </w:p>
          <w:p w14:paraId="7BA1E1DC"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p>
        </w:tc>
      </w:tr>
      <w:tr w:rsidR="007C59AD" w:rsidRPr="00DA5F4E" w14:paraId="75E65F3D" w14:textId="77777777" w:rsidTr="002D5416">
        <w:tc>
          <w:tcPr>
            <w:tcW w:w="1273" w:type="dxa"/>
          </w:tcPr>
          <w:p w14:paraId="4BE0FAC5" w14:textId="77777777" w:rsidR="007C59AD" w:rsidRPr="002D5416" w:rsidRDefault="00FB7B28">
            <w:pPr>
              <w:pStyle w:val="Prrafodelista"/>
              <w:ind w:left="0"/>
              <w:rPr>
                <w:rFonts w:ascii="Bookman Old Style" w:hAnsi="Bookman Old Style" w:cs="Arial"/>
                <w:color w:val="000000" w:themeColor="text1"/>
                <w:sz w:val="24"/>
                <w:szCs w:val="24"/>
              </w:rPr>
            </w:pPr>
            <m:oMathPara>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VLRLCM</m:t>
                    </m:r>
                  </m:e>
                  <m:sub>
                    <m:r>
                      <w:rPr>
                        <w:rFonts w:ascii="Cambria Math" w:hAnsi="Cambria Math" w:cs="Arial"/>
                        <w:color w:val="000000" w:themeColor="text1"/>
                        <w:sz w:val="24"/>
                        <w:szCs w:val="24"/>
                      </w:rPr>
                      <m:t>c</m:t>
                    </m:r>
                  </m:sub>
                </m:sSub>
                <m:r>
                  <w:rPr>
                    <w:rFonts w:ascii="Cambria Math" w:hAnsi="Cambria Math" w:cs="Arial"/>
                    <w:color w:val="000000" w:themeColor="text1"/>
                    <w:sz w:val="24"/>
                    <w:szCs w:val="24"/>
                  </w:rPr>
                  <m:t>:</m:t>
                </m:r>
              </m:oMath>
            </m:oMathPara>
          </w:p>
        </w:tc>
        <w:tc>
          <w:tcPr>
            <w:tcW w:w="6846" w:type="dxa"/>
          </w:tcPr>
          <w:p w14:paraId="74BD40DE" w14:textId="7274D391"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segunda garantía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w:t>
            </w:r>
          </w:p>
          <w:p w14:paraId="1B6E6A07"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p>
        </w:tc>
      </w:tr>
      <w:tr w:rsidR="007C59AD" w:rsidRPr="00DA5F4E" w14:paraId="5A0851B0" w14:textId="77777777" w:rsidTr="002D5416">
        <w:tc>
          <w:tcPr>
            <w:tcW w:w="1273" w:type="dxa"/>
          </w:tcPr>
          <w:p w14:paraId="21E0990E" w14:textId="77777777" w:rsidR="007C59AD" w:rsidRPr="002D5416" w:rsidRDefault="00FB7B28">
            <w:pPr>
              <w:pStyle w:val="Prrafodelista"/>
              <w:ind w:left="0"/>
              <w:rPr>
                <w:rFonts w:ascii="Bookman Old Style" w:hAnsi="Bookman Old Style" w:cs="Arial"/>
                <w:color w:val="000000" w:themeColor="text1"/>
                <w:sz w:val="24"/>
                <w:szCs w:val="24"/>
              </w:rPr>
            </w:pP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Asig</m:t>
                  </m:r>
                </m:e>
                <m:sub>
                  <m:r>
                    <w:rPr>
                      <w:rFonts w:ascii="Cambria Math" w:hAnsi="Cambria Math" w:cs="Arial"/>
                      <w:color w:val="000000" w:themeColor="text1"/>
                      <w:sz w:val="24"/>
                      <w:szCs w:val="24"/>
                    </w:rPr>
                    <m:t>c</m:t>
                  </m:r>
                </m:sub>
              </m:sSub>
            </m:oMath>
            <w:r w:rsidR="007C59AD" w:rsidRPr="002D5416">
              <w:rPr>
                <w:rFonts w:ascii="Bookman Old Style" w:hAnsi="Bookman Old Style" w:cs="Arial"/>
                <w:color w:val="000000" w:themeColor="text1"/>
                <w:sz w:val="24"/>
                <w:szCs w:val="24"/>
              </w:rPr>
              <w:t>:</w:t>
            </w:r>
          </w:p>
        </w:tc>
        <w:tc>
          <w:tcPr>
            <w:tcW w:w="6846" w:type="dxa"/>
          </w:tcPr>
          <w:p w14:paraId="405C6529"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Asignación de energía del comprador </w:t>
            </w: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 xml:space="preserve"> en la subasta en MBTUD.</w:t>
            </w:r>
          </w:p>
          <w:p w14:paraId="33A19CC7"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p>
        </w:tc>
      </w:tr>
      <w:tr w:rsidR="007C59AD" w:rsidRPr="00DA5F4E" w14:paraId="07D196BA" w14:textId="77777777" w:rsidTr="002D5416">
        <w:tc>
          <w:tcPr>
            <w:tcW w:w="1273" w:type="dxa"/>
          </w:tcPr>
          <w:p w14:paraId="0C32AD26"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p</m:t>
              </m:r>
            </m:oMath>
            <w:r w:rsidRPr="002D5416">
              <w:rPr>
                <w:rFonts w:ascii="Bookman Old Style" w:hAnsi="Bookman Old Style" w:cs="Arial"/>
                <w:color w:val="000000" w:themeColor="text1"/>
                <w:sz w:val="24"/>
                <w:szCs w:val="24"/>
              </w:rPr>
              <w:t>:</w:t>
            </w:r>
          </w:p>
        </w:tc>
        <w:tc>
          <w:tcPr>
            <w:tcW w:w="6846" w:type="dxa"/>
          </w:tcPr>
          <w:p w14:paraId="0F2946FA" w14:textId="77777777"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Precio de cierre de la subasta en dólares de los Estados Unidos de América por MBTU.</w:t>
            </w:r>
          </w:p>
          <w:p w14:paraId="3D9492D4"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2A43AF32" w14:textId="77777777" w:rsidTr="002D5416">
        <w:tc>
          <w:tcPr>
            <w:tcW w:w="1273" w:type="dxa"/>
          </w:tcPr>
          <w:p w14:paraId="0E900A88" w14:textId="77777777" w:rsidR="007C59AD" w:rsidRPr="002D5416" w:rsidRDefault="007C59AD">
            <w:pPr>
              <w:pStyle w:val="Prrafodelista"/>
              <w:ind w:left="0"/>
              <w:rPr>
                <w:rFonts w:ascii="Bookman Old Style" w:hAnsi="Bookman Old Style" w:cs="Arial"/>
                <w:color w:val="000000" w:themeColor="text1"/>
                <w:sz w:val="24"/>
                <w:szCs w:val="24"/>
              </w:rPr>
            </w:pPr>
            <m:oMath>
              <m:r>
                <w:rPr>
                  <w:rFonts w:ascii="Cambria Math" w:hAnsi="Cambria Math" w:cs="Arial"/>
                  <w:color w:val="000000" w:themeColor="text1"/>
                  <w:sz w:val="24"/>
                  <w:szCs w:val="24"/>
                </w:rPr>
                <m:t>TRM</m:t>
              </m:r>
            </m:oMath>
            <w:r w:rsidRPr="002D5416">
              <w:rPr>
                <w:rFonts w:ascii="Bookman Old Style" w:hAnsi="Bookman Old Style" w:cs="Arial"/>
                <w:color w:val="000000" w:themeColor="text1"/>
                <w:sz w:val="24"/>
                <w:szCs w:val="24"/>
              </w:rPr>
              <w:t>:</w:t>
            </w:r>
          </w:p>
        </w:tc>
        <w:tc>
          <w:tcPr>
            <w:tcW w:w="6846" w:type="dxa"/>
          </w:tcPr>
          <w:p w14:paraId="46F0B648" w14:textId="13B1ADA3" w:rsidR="007C59AD" w:rsidRPr="002D5416" w:rsidRDefault="007C59AD">
            <w:pPr>
              <w:pStyle w:val="Prrafodelista"/>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 xml:space="preserve">Valor de la Tasa Representativa del Mercado en pesos </w:t>
            </w:r>
            <w:r w:rsidR="00B32781">
              <w:rPr>
                <w:rFonts w:ascii="Bookman Old Style" w:hAnsi="Bookman Old Style" w:cs="Arial"/>
                <w:color w:val="000000" w:themeColor="text1"/>
                <w:sz w:val="24"/>
                <w:szCs w:val="24"/>
              </w:rPr>
              <w:t>c</w:t>
            </w:r>
            <w:r w:rsidRPr="002D5416">
              <w:rPr>
                <w:rFonts w:ascii="Bookman Old Style" w:hAnsi="Bookman Old Style" w:cs="Arial"/>
                <w:color w:val="000000" w:themeColor="text1"/>
                <w:sz w:val="24"/>
                <w:szCs w:val="24"/>
              </w:rPr>
              <w:t>olombianos por dólar de los Estados Unidos de América, del último día hábil del mes anterior a la estimación de la garantía, certificado por la Superintendencia Financiera de Colombia.</w:t>
            </w:r>
          </w:p>
          <w:p w14:paraId="1B8DCED0" w14:textId="77777777" w:rsidR="007C59AD" w:rsidRPr="002D5416" w:rsidRDefault="007C59AD">
            <w:pPr>
              <w:pStyle w:val="Prrafodelista"/>
              <w:ind w:left="0"/>
              <w:jc w:val="both"/>
              <w:rPr>
                <w:rFonts w:ascii="Bookman Old Style" w:hAnsi="Bookman Old Style" w:cs="Arial"/>
                <w:color w:val="000000" w:themeColor="text1"/>
                <w:sz w:val="24"/>
                <w:szCs w:val="24"/>
              </w:rPr>
            </w:pPr>
          </w:p>
        </w:tc>
      </w:tr>
      <w:tr w:rsidR="007C59AD" w:rsidRPr="00DA5F4E" w14:paraId="3CED24FB" w14:textId="77777777" w:rsidTr="002D5416">
        <w:tc>
          <w:tcPr>
            <w:tcW w:w="1273" w:type="dxa"/>
          </w:tcPr>
          <w:p w14:paraId="01A4DC65" w14:textId="77777777" w:rsidR="007C59AD" w:rsidRPr="002D5416" w:rsidRDefault="007C59AD">
            <w:pPr>
              <w:pStyle w:val="Prrafodelista"/>
              <w:ind w:left="0"/>
              <w:rPr>
                <w:color w:val="000000" w:themeColor="text1"/>
                <w:sz w:val="24"/>
                <w:szCs w:val="24"/>
              </w:rPr>
            </w:pPr>
            <m:oMath>
              <m:r>
                <w:rPr>
                  <w:rFonts w:ascii="Cambria Math" w:hAnsi="Cambria Math"/>
                  <w:color w:val="000000" w:themeColor="text1"/>
                  <w:sz w:val="24"/>
                  <w:szCs w:val="24"/>
                </w:rPr>
                <w:lastRenderedPageBreak/>
                <m:t>D</m:t>
              </m:r>
            </m:oMath>
            <w:r w:rsidRPr="002D5416">
              <w:rPr>
                <w:color w:val="000000" w:themeColor="text1"/>
                <w:sz w:val="24"/>
                <w:szCs w:val="24"/>
              </w:rPr>
              <w:t>:</w:t>
            </w:r>
          </w:p>
        </w:tc>
        <w:tc>
          <w:tcPr>
            <w:tcW w:w="6846" w:type="dxa"/>
          </w:tcPr>
          <w:p w14:paraId="2CA7D041" w14:textId="77777777" w:rsidR="007C59AD" w:rsidRPr="002D5416" w:rsidRDefault="007C59AD">
            <w:pPr>
              <w:pStyle w:val="Prrafodelista"/>
              <w:tabs>
                <w:tab w:val="left" w:pos="567"/>
              </w:tabs>
              <w:ind w:left="0"/>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Número de días calendario del mes a cubrir.</w:t>
            </w:r>
          </w:p>
        </w:tc>
      </w:tr>
    </w:tbl>
    <w:p w14:paraId="70B08E94" w14:textId="77777777" w:rsidR="007C59AD" w:rsidRPr="002D5416" w:rsidRDefault="007C59AD" w:rsidP="002D5416">
      <w:pPr>
        <w:pStyle w:val="Prrafodelista"/>
        <w:tabs>
          <w:tab w:val="left" w:pos="567"/>
        </w:tabs>
        <w:ind w:left="709"/>
        <w:jc w:val="both"/>
        <w:rPr>
          <w:rFonts w:ascii="Bookman Old Style" w:hAnsi="Bookman Old Style" w:cs="Arial"/>
          <w:sz w:val="24"/>
          <w:szCs w:val="24"/>
        </w:rPr>
      </w:pPr>
    </w:p>
    <w:p w14:paraId="405AC0BF"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color w:val="000000" w:themeColor="text1"/>
          <w:sz w:val="24"/>
          <w:szCs w:val="24"/>
        </w:rPr>
        <w:t>Fecha</w:t>
      </w:r>
      <w:r w:rsidRPr="002D5416">
        <w:rPr>
          <w:rFonts w:ascii="Bookman Old Style" w:hAnsi="Bookman Old Style" w:cs="Arial"/>
          <w:sz w:val="24"/>
          <w:szCs w:val="24"/>
        </w:rPr>
        <w:t xml:space="preserve"> de entrega de las garantías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c</m:t>
            </m:r>
          </m:sub>
        </m:sSub>
      </m:oMath>
      <w:r w:rsidRPr="002D5416">
        <w:rPr>
          <w:rFonts w:ascii="Bookman Old Style" w:hAnsi="Bookman Old Style" w:cs="Arial"/>
          <w:sz w:val="24"/>
          <w:szCs w:val="24"/>
        </w:rPr>
        <w:t xml:space="preserve"> de los compradores: La primera vez a más tardar a las 17:00 horas del último día hábil previo al primer mes de compromiso. Las siguientes garantías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c</m:t>
            </m:r>
          </m:sub>
        </m:sSub>
      </m:oMath>
      <w:r w:rsidRPr="002D5416">
        <w:rPr>
          <w:rFonts w:ascii="Bookman Old Style" w:hAnsi="Bookman Old Style" w:cs="Arial"/>
          <w:sz w:val="24"/>
          <w:szCs w:val="24"/>
        </w:rPr>
        <w:t xml:space="preserve"> se deben entregar hasta las 17:00 horas del quinto día hábil anterior al día en que termina la vigencia de la garantía.</w:t>
      </w:r>
    </w:p>
    <w:p w14:paraId="74A13853" w14:textId="77777777" w:rsidR="007C59AD" w:rsidRPr="002D5416" w:rsidRDefault="007C59AD" w:rsidP="002D5416">
      <w:pPr>
        <w:pStyle w:val="Prrafodelista"/>
        <w:tabs>
          <w:tab w:val="left" w:pos="567"/>
        </w:tabs>
        <w:ind w:left="709"/>
        <w:jc w:val="both"/>
        <w:rPr>
          <w:rFonts w:ascii="Bookman Old Style" w:hAnsi="Bookman Old Style" w:cs="Arial"/>
          <w:sz w:val="24"/>
          <w:szCs w:val="24"/>
        </w:rPr>
      </w:pPr>
    </w:p>
    <w:p w14:paraId="67FAB94B"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sz w:val="24"/>
          <w:szCs w:val="24"/>
        </w:rPr>
        <w:t xml:space="preserve">Fecha de entrega de las garantías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c</m:t>
            </m:r>
          </m:sub>
        </m:sSub>
      </m:oMath>
      <w:r w:rsidRPr="002D5416">
        <w:rPr>
          <w:rFonts w:ascii="Bookman Old Style" w:hAnsi="Bookman Old Style" w:cs="Arial"/>
          <w:sz w:val="24"/>
          <w:szCs w:val="24"/>
        </w:rPr>
        <w:t xml:space="preserve"> de los compradores: A más tardar a las 17:00 horas del último día hábil previo al mes de compromiso de suministro durante todos los meses de duración del contrato.</w:t>
      </w:r>
    </w:p>
    <w:p w14:paraId="35EC88FA" w14:textId="77777777" w:rsidR="00B32781" w:rsidRDefault="00B32781" w:rsidP="002D5416">
      <w:pPr>
        <w:pStyle w:val="Prrafodelista"/>
        <w:rPr>
          <w:rFonts w:ascii="Bookman Old Style" w:hAnsi="Bookman Old Style" w:cs="Arial"/>
          <w:sz w:val="24"/>
          <w:szCs w:val="24"/>
        </w:rPr>
      </w:pPr>
    </w:p>
    <w:p w14:paraId="18A356E1" w14:textId="77777777" w:rsidR="007C59AD" w:rsidRPr="002D5416" w:rsidRDefault="007C59AD" w:rsidP="002D5416">
      <w:pPr>
        <w:pStyle w:val="Prrafodelista"/>
        <w:tabs>
          <w:tab w:val="left" w:pos="567"/>
        </w:tabs>
        <w:ind w:left="709"/>
        <w:jc w:val="both"/>
        <w:rPr>
          <w:rFonts w:ascii="Bookman Old Style" w:hAnsi="Bookman Old Style" w:cs="Arial"/>
          <w:sz w:val="24"/>
          <w:szCs w:val="24"/>
        </w:rPr>
      </w:pPr>
    </w:p>
    <w:p w14:paraId="4D48A70A" w14:textId="4D1AAC67" w:rsidR="007C59AD" w:rsidRPr="002D5416" w:rsidRDefault="007C59AD" w:rsidP="00C77185">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Vigencia</w:t>
      </w:r>
      <w:r w:rsidRPr="002D5416">
        <w:rPr>
          <w:rFonts w:ascii="Bookman Old Style" w:hAnsi="Bookman Old Style" w:cs="Arial"/>
          <w:sz w:val="24"/>
          <w:szCs w:val="24"/>
        </w:rPr>
        <w:t xml:space="preserve"> de la primera garantía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c</m:t>
            </m:r>
          </m:sub>
        </m:sSub>
      </m:oMath>
      <w:r w:rsidRPr="002D5416">
        <w:rPr>
          <w:rFonts w:ascii="Bookman Old Style" w:hAnsi="Bookman Old Style" w:cs="Arial"/>
          <w:sz w:val="24"/>
          <w:szCs w:val="24"/>
        </w:rPr>
        <w:t xml:space="preserve"> de los compradores: treinta (30) días calendario contados siempre a partir de la entrega de la garantía.</w:t>
      </w:r>
    </w:p>
    <w:p w14:paraId="4E4FB5A9" w14:textId="77777777" w:rsidR="00B32781" w:rsidRPr="002D5416" w:rsidRDefault="00B32781" w:rsidP="002D5416">
      <w:pPr>
        <w:pStyle w:val="Prrafodelista"/>
        <w:rPr>
          <w:rFonts w:ascii="Bookman Old Style" w:hAnsi="Bookman Old Style" w:cs="Arial"/>
          <w:color w:val="000000" w:themeColor="text1"/>
          <w:sz w:val="24"/>
          <w:szCs w:val="24"/>
        </w:rPr>
      </w:pPr>
    </w:p>
    <w:p w14:paraId="773D1866"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color w:val="000000" w:themeColor="text1"/>
          <w:sz w:val="24"/>
          <w:szCs w:val="24"/>
        </w:rPr>
      </w:pPr>
      <w:r w:rsidRPr="002D5416">
        <w:rPr>
          <w:rFonts w:ascii="Bookman Old Style" w:hAnsi="Bookman Old Style" w:cs="Arial"/>
          <w:color w:val="000000" w:themeColor="text1"/>
          <w:sz w:val="24"/>
          <w:szCs w:val="24"/>
        </w:rPr>
        <w:t>Vigencia</w:t>
      </w:r>
      <w:r w:rsidRPr="002D5416">
        <w:rPr>
          <w:rFonts w:ascii="Bookman Old Style" w:hAnsi="Bookman Old Style" w:cs="Arial"/>
          <w:sz w:val="24"/>
          <w:szCs w:val="24"/>
        </w:rPr>
        <w:t xml:space="preserve"> de la segunda garantía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c</m:t>
            </m:r>
          </m:sub>
        </m:sSub>
      </m:oMath>
      <w:r w:rsidRPr="002D5416">
        <w:rPr>
          <w:rFonts w:ascii="Bookman Old Style" w:hAnsi="Bookman Old Style" w:cs="Arial"/>
          <w:sz w:val="24"/>
          <w:szCs w:val="24"/>
        </w:rPr>
        <w:t xml:space="preserve"> de los compradores: </w:t>
      </w:r>
      <w:r w:rsidRPr="002D5416">
        <w:rPr>
          <w:rFonts w:ascii="Bookman Old Style" w:hAnsi="Bookman Old Style" w:cs="Arial"/>
          <w:color w:val="000000" w:themeColor="text1"/>
          <w:sz w:val="24"/>
          <w:szCs w:val="24"/>
        </w:rPr>
        <w:t>Número de días calendario del mes de suministro a cubrir, más el número de días de plazo para el pago de la factura más 1 día hábil a partir de la entrega de la garantía.</w:t>
      </w:r>
    </w:p>
    <w:p w14:paraId="7DDE053A" w14:textId="77777777" w:rsidR="007C59AD" w:rsidRPr="002D5416" w:rsidRDefault="007C59AD" w:rsidP="002D5416">
      <w:pPr>
        <w:pStyle w:val="Prrafodelista"/>
        <w:tabs>
          <w:tab w:val="left" w:pos="567"/>
        </w:tabs>
        <w:ind w:left="709"/>
        <w:jc w:val="both"/>
        <w:rPr>
          <w:rFonts w:ascii="Bookman Old Style" w:hAnsi="Bookman Old Style" w:cs="Arial"/>
          <w:color w:val="000000" w:themeColor="text1"/>
          <w:sz w:val="24"/>
          <w:szCs w:val="24"/>
        </w:rPr>
      </w:pPr>
    </w:p>
    <w:p w14:paraId="497B6BCB" w14:textId="30FCE26A"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sz w:val="24"/>
          <w:szCs w:val="24"/>
        </w:rPr>
        <w:t xml:space="preserve">Evento que da lugar a la ejecución de la primera garantía </w:t>
      </w:r>
      <m:oMath>
        <m:sSub>
          <m:sSubPr>
            <m:ctrlPr>
              <w:rPr>
                <w:rFonts w:ascii="Cambria Math" w:hAnsi="Cambria Math" w:cs="Arial"/>
                <w:i/>
                <w:sz w:val="24"/>
                <w:szCs w:val="24"/>
              </w:rPr>
            </m:ctrlPr>
          </m:sSubPr>
          <m:e>
            <m:r>
              <w:rPr>
                <w:rFonts w:ascii="Cambria Math" w:hAnsi="Cambria Math" w:cs="Arial"/>
                <w:sz w:val="24"/>
                <w:szCs w:val="24"/>
              </w:rPr>
              <m:t>VLRLCS</m:t>
            </m:r>
          </m:e>
          <m:sub>
            <m:r>
              <w:rPr>
                <w:rFonts w:ascii="Cambria Math" w:hAnsi="Cambria Math" w:cs="Arial"/>
                <w:sz w:val="24"/>
                <w:szCs w:val="24"/>
              </w:rPr>
              <m:t>c</m:t>
            </m:r>
          </m:sub>
        </m:sSub>
      </m:oMath>
      <w:r w:rsidRPr="002D5416">
        <w:rPr>
          <w:rFonts w:ascii="Bookman Old Style" w:hAnsi="Bookman Old Style" w:cs="Arial"/>
          <w:sz w:val="24"/>
          <w:szCs w:val="24"/>
        </w:rPr>
        <w:t xml:space="preserve"> para un comprador </w:t>
      </w: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 xml:space="preserve">: El evento que da lugar a la ejecución de la garantía es la terminación anticipada del contrato por condición diferente al mutuo acuerdo entre las partes causada por el comprador </w:t>
      </w: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w:t>
      </w:r>
    </w:p>
    <w:p w14:paraId="1EE32FFA" w14:textId="77777777" w:rsidR="007C59AD" w:rsidRPr="002D5416" w:rsidRDefault="007C59AD" w:rsidP="002D5416">
      <w:pPr>
        <w:pStyle w:val="Prrafodelista"/>
        <w:ind w:left="337"/>
        <w:rPr>
          <w:rFonts w:ascii="Bookman Old Style" w:hAnsi="Bookman Old Style" w:cs="Arial"/>
          <w:color w:val="000000" w:themeColor="text1"/>
          <w:sz w:val="24"/>
          <w:szCs w:val="24"/>
        </w:rPr>
      </w:pPr>
    </w:p>
    <w:p w14:paraId="0CB44C83" w14:textId="77777777" w:rsidR="007C59AD" w:rsidRPr="002D5416" w:rsidRDefault="007C59AD" w:rsidP="002D5416">
      <w:pPr>
        <w:pStyle w:val="Prrafodelista"/>
        <w:numPr>
          <w:ilvl w:val="2"/>
          <w:numId w:val="258"/>
        </w:numPr>
        <w:tabs>
          <w:tab w:val="left" w:pos="567"/>
        </w:tabs>
        <w:ind w:left="709"/>
        <w:jc w:val="both"/>
        <w:rPr>
          <w:rFonts w:ascii="Bookman Old Style" w:hAnsi="Bookman Old Style" w:cs="Arial"/>
          <w:sz w:val="24"/>
          <w:szCs w:val="24"/>
        </w:rPr>
      </w:pPr>
      <w:r w:rsidRPr="002D5416">
        <w:rPr>
          <w:rFonts w:ascii="Bookman Old Style" w:hAnsi="Bookman Old Style" w:cs="Arial"/>
          <w:color w:val="000000" w:themeColor="text1"/>
          <w:sz w:val="24"/>
          <w:szCs w:val="24"/>
        </w:rPr>
        <w:t xml:space="preserve">Eventos que dan lugar a la ejecución de la garantía </w:t>
      </w:r>
      <m:oMath>
        <m:sSub>
          <m:sSubPr>
            <m:ctrlPr>
              <w:rPr>
                <w:rFonts w:ascii="Cambria Math" w:hAnsi="Cambria Math" w:cs="Arial"/>
                <w:i/>
                <w:sz w:val="24"/>
                <w:szCs w:val="24"/>
              </w:rPr>
            </m:ctrlPr>
          </m:sSubPr>
          <m:e>
            <m:r>
              <w:rPr>
                <w:rFonts w:ascii="Cambria Math" w:hAnsi="Cambria Math" w:cs="Arial"/>
                <w:sz w:val="24"/>
                <w:szCs w:val="24"/>
              </w:rPr>
              <m:t>VLRLCM</m:t>
            </m:r>
          </m:e>
          <m:sub>
            <m:r>
              <w:rPr>
                <w:rFonts w:ascii="Cambria Math" w:hAnsi="Cambria Math" w:cs="Arial"/>
                <w:sz w:val="24"/>
                <w:szCs w:val="24"/>
              </w:rPr>
              <m:t>c</m:t>
            </m:r>
          </m:sub>
        </m:sSub>
      </m:oMath>
      <w:r w:rsidRPr="002D5416">
        <w:rPr>
          <w:rFonts w:ascii="Bookman Old Style" w:hAnsi="Bookman Old Style" w:cs="Arial"/>
          <w:color w:val="000000" w:themeColor="text1"/>
          <w:sz w:val="24"/>
          <w:szCs w:val="24"/>
        </w:rPr>
        <w:t xml:space="preserve"> para un comprador </w:t>
      </w:r>
      <m:oMath>
        <m:r>
          <w:rPr>
            <w:rFonts w:ascii="Cambria Math" w:hAnsi="Cambria Math" w:cs="Arial"/>
            <w:color w:val="000000" w:themeColor="text1"/>
            <w:sz w:val="24"/>
            <w:szCs w:val="24"/>
          </w:rPr>
          <m:t>c</m:t>
        </m:r>
      </m:oMath>
      <w:r w:rsidRPr="002D5416">
        <w:rPr>
          <w:rFonts w:ascii="Bookman Old Style" w:hAnsi="Bookman Old Style" w:cs="Arial"/>
          <w:color w:val="000000" w:themeColor="text1"/>
          <w:sz w:val="24"/>
          <w:szCs w:val="24"/>
        </w:rPr>
        <w:t xml:space="preserve"> : Los eventos que dan lugar a la ejecución de la garantía son el no pago de la factura mensual o cuando el comprador no entregue la garantía de cumplimiento del siguiente mes del contrato.</w:t>
      </w:r>
    </w:p>
    <w:p w14:paraId="7BE7E406" w14:textId="77777777" w:rsidR="007C59AD" w:rsidRPr="002D5416" w:rsidRDefault="007C59AD" w:rsidP="007C59AD">
      <w:pPr>
        <w:pStyle w:val="Prrafodelista"/>
        <w:tabs>
          <w:tab w:val="left" w:pos="567"/>
        </w:tabs>
        <w:ind w:left="1080"/>
        <w:jc w:val="both"/>
        <w:rPr>
          <w:rFonts w:ascii="Bookman Old Style" w:hAnsi="Bookman Old Style" w:cs="Arial"/>
          <w:sz w:val="18"/>
          <w:szCs w:val="24"/>
        </w:rPr>
      </w:pPr>
    </w:p>
    <w:p w14:paraId="0A23C15B" w14:textId="77777777" w:rsidR="007C59AD" w:rsidRPr="002D5416" w:rsidRDefault="007C59AD" w:rsidP="007C59AD">
      <w:pPr>
        <w:tabs>
          <w:tab w:val="left" w:pos="1478"/>
        </w:tabs>
        <w:ind w:left="0"/>
        <w:jc w:val="both"/>
        <w:rPr>
          <w:rFonts w:ascii="Bookman Old Style" w:hAnsi="Bookman Old Style" w:cs="Arial"/>
          <w:color w:val="000000" w:themeColor="text1"/>
        </w:rPr>
      </w:pPr>
      <w:r w:rsidRPr="002D5416">
        <w:rPr>
          <w:rFonts w:ascii="Bookman Old Style" w:hAnsi="Bookman Old Style" w:cs="Arial"/>
          <w:b/>
          <w:color w:val="000000" w:themeColor="text1"/>
        </w:rPr>
        <w:t xml:space="preserve">Parágrafo 1. </w:t>
      </w:r>
      <w:r w:rsidRPr="002D5416">
        <w:rPr>
          <w:rFonts w:ascii="Bookman Old Style" w:hAnsi="Bookman Old Style" w:cs="Arial"/>
          <w:color w:val="000000" w:themeColor="text1"/>
        </w:rPr>
        <w:t>En las garantías de participación, e</w:t>
      </w:r>
      <w:r w:rsidRPr="002D5416">
        <w:rPr>
          <w:rFonts w:ascii="Bookman Old Style" w:hAnsi="Bookman Old Style" w:cs="Arial"/>
          <w:color w:val="000000" w:themeColor="text1"/>
          <w:lang w:eastAsia="es-CO"/>
        </w:rPr>
        <w:t xml:space="preserve">n los casos en donde los valores finales de las garantías resulten inferiores a los valores iniciales, el gestor del mercado de gas natural, a través de la fiducia mercantil que para tales efectos constituya, adoptará los mecanismos para que efectivamente los agentes puedan realizar los correspondientes ajustes. Esta y otras disposiciones que se consideren </w:t>
      </w:r>
      <w:proofErr w:type="gramStart"/>
      <w:r w:rsidRPr="002D5416">
        <w:rPr>
          <w:rFonts w:ascii="Bookman Old Style" w:hAnsi="Bookman Old Style" w:cs="Arial"/>
          <w:color w:val="000000" w:themeColor="text1"/>
          <w:lang w:eastAsia="es-CO"/>
        </w:rPr>
        <w:t>necesarias,</w:t>
      </w:r>
      <w:proofErr w:type="gramEnd"/>
      <w:r w:rsidRPr="002D5416">
        <w:rPr>
          <w:rFonts w:ascii="Bookman Old Style" w:hAnsi="Bookman Old Style" w:cs="Arial"/>
          <w:color w:val="000000" w:themeColor="text1"/>
          <w:lang w:eastAsia="es-CO"/>
        </w:rPr>
        <w:t xml:space="preserve"> deberán ser explícitas en el reglamento que rija la operación de la fiducia mercantil.</w:t>
      </w:r>
    </w:p>
    <w:p w14:paraId="18BD6740" w14:textId="77777777" w:rsidR="007C59AD" w:rsidRPr="002D5416" w:rsidRDefault="007C59AD" w:rsidP="007C59AD">
      <w:pPr>
        <w:tabs>
          <w:tab w:val="left" w:pos="1478"/>
        </w:tabs>
        <w:ind w:left="0"/>
        <w:jc w:val="both"/>
        <w:rPr>
          <w:rFonts w:ascii="Bookman Old Style" w:hAnsi="Bookman Old Style" w:cs="Arial"/>
          <w:color w:val="000000" w:themeColor="text1"/>
          <w:lang w:eastAsia="es-CO"/>
        </w:rPr>
      </w:pPr>
    </w:p>
    <w:p w14:paraId="352EB5A7" w14:textId="4E44BE5D" w:rsidR="007C59AD" w:rsidRDefault="007C59AD" w:rsidP="007C59AD">
      <w:pPr>
        <w:tabs>
          <w:tab w:val="left" w:pos="1478"/>
        </w:tabs>
        <w:ind w:left="0"/>
        <w:jc w:val="both"/>
        <w:rPr>
          <w:rFonts w:ascii="Bookman Old Style" w:hAnsi="Bookman Old Style" w:cs="Arial"/>
          <w:color w:val="000000" w:themeColor="text1"/>
          <w:lang w:eastAsia="es-CO"/>
        </w:rPr>
      </w:pPr>
      <w:r w:rsidRPr="002D5416">
        <w:rPr>
          <w:rFonts w:ascii="Bookman Old Style" w:hAnsi="Bookman Old Style" w:cs="Arial"/>
          <w:b/>
          <w:color w:val="000000" w:themeColor="text1"/>
        </w:rPr>
        <w:t xml:space="preserve">Parágrafo 2. </w:t>
      </w:r>
      <w:r w:rsidRPr="002D5416">
        <w:rPr>
          <w:rFonts w:ascii="Bookman Old Style" w:hAnsi="Bookman Old Style" w:cs="Arial"/>
          <w:color w:val="000000" w:themeColor="text1"/>
        </w:rPr>
        <w:t>E</w:t>
      </w:r>
      <w:r w:rsidRPr="002D5416">
        <w:rPr>
          <w:rFonts w:ascii="Bookman Old Style" w:hAnsi="Bookman Old Style" w:cs="Arial"/>
          <w:color w:val="000000" w:themeColor="text1"/>
          <w:lang w:eastAsia="es-CO"/>
        </w:rPr>
        <w:t xml:space="preserve">l gestor del mercado de gas natural, a través de la fiducia mercantil que para tales efectos constituya, adoptará los mecanismos para que a los participantes que no resulten las asignaciones se les regresen las garantías de participación. Esta y otras disposiciones que se consideren </w:t>
      </w:r>
      <w:proofErr w:type="gramStart"/>
      <w:r w:rsidRPr="002D5416">
        <w:rPr>
          <w:rFonts w:ascii="Bookman Old Style" w:hAnsi="Bookman Old Style" w:cs="Arial"/>
          <w:color w:val="000000" w:themeColor="text1"/>
          <w:lang w:eastAsia="es-CO"/>
        </w:rPr>
        <w:t>necesarias,</w:t>
      </w:r>
      <w:proofErr w:type="gramEnd"/>
      <w:r w:rsidRPr="002D5416">
        <w:rPr>
          <w:rFonts w:ascii="Bookman Old Style" w:hAnsi="Bookman Old Style" w:cs="Arial"/>
          <w:color w:val="000000" w:themeColor="text1"/>
          <w:lang w:eastAsia="es-CO"/>
        </w:rPr>
        <w:t xml:space="preserve"> deberán ser explícitas en el reglamento que rija la operación de la fiducia mercantil.</w:t>
      </w:r>
    </w:p>
    <w:p w14:paraId="3E47E73A" w14:textId="0609A09F" w:rsidR="001D4E01" w:rsidRDefault="001D4E01" w:rsidP="007C59AD">
      <w:pPr>
        <w:tabs>
          <w:tab w:val="left" w:pos="1478"/>
        </w:tabs>
        <w:ind w:left="0"/>
        <w:jc w:val="both"/>
        <w:rPr>
          <w:rFonts w:ascii="Bookman Old Style" w:hAnsi="Bookman Old Style" w:cs="Arial"/>
          <w:color w:val="000000" w:themeColor="text1"/>
          <w:lang w:eastAsia="es-CO"/>
        </w:rPr>
      </w:pPr>
    </w:p>
    <w:p w14:paraId="75A356F0" w14:textId="77777777" w:rsidR="001D4E01" w:rsidRDefault="001D4E01" w:rsidP="007C59AD">
      <w:pPr>
        <w:tabs>
          <w:tab w:val="left" w:pos="1478"/>
        </w:tabs>
        <w:ind w:left="0"/>
        <w:jc w:val="both"/>
        <w:rPr>
          <w:rFonts w:ascii="Bookman Old Style" w:hAnsi="Bookman Old Style" w:cs="Arial"/>
          <w:color w:val="000000" w:themeColor="text1"/>
        </w:rPr>
        <w:sectPr w:rsidR="001D4E01" w:rsidSect="00606DD5">
          <w:pgSz w:w="12247" w:h="18705" w:code="121"/>
          <w:pgMar w:top="2342" w:right="1185" w:bottom="1758" w:left="1701" w:header="709" w:footer="709" w:gutter="0"/>
          <w:cols w:space="708"/>
          <w:titlePg/>
          <w:docGrid w:linePitch="360"/>
        </w:sectPr>
      </w:pPr>
    </w:p>
    <w:p w14:paraId="12333389" w14:textId="257B15A3" w:rsidR="001D4E01" w:rsidRPr="00483BFD" w:rsidRDefault="001D4E01" w:rsidP="001D4E01">
      <w:pPr>
        <w:pStyle w:val="Ttulo1"/>
        <w:ind w:left="0"/>
        <w:rPr>
          <w:rFonts w:ascii="Bookman Old Style" w:hAnsi="Bookman Old Style"/>
          <w:color w:val="000000" w:themeColor="text1"/>
          <w:szCs w:val="24"/>
        </w:rPr>
      </w:pPr>
      <w:r w:rsidRPr="00483BFD">
        <w:rPr>
          <w:rFonts w:ascii="Bookman Old Style" w:hAnsi="Bookman Old Style"/>
          <w:color w:val="000000" w:themeColor="text1"/>
          <w:szCs w:val="24"/>
        </w:rPr>
        <w:lastRenderedPageBreak/>
        <w:t xml:space="preserve">Anexo </w:t>
      </w:r>
      <w:r>
        <w:rPr>
          <w:rFonts w:ascii="Bookman Old Style" w:hAnsi="Bookman Old Style"/>
          <w:color w:val="000000" w:themeColor="text1"/>
          <w:szCs w:val="24"/>
        </w:rPr>
        <w:t>9</w:t>
      </w:r>
    </w:p>
    <w:p w14:paraId="6C2172DD" w14:textId="5077DE7E" w:rsidR="00277A0F" w:rsidRDefault="001D4E01" w:rsidP="0006302B">
      <w:pPr>
        <w:pStyle w:val="NormalWeb"/>
        <w:spacing w:before="0" w:beforeAutospacing="0" w:after="0" w:afterAutospacing="0"/>
        <w:jc w:val="center"/>
        <w:rPr>
          <w:rFonts w:ascii="Bookman Old Style" w:hAnsi="Bookman Old Style"/>
          <w:b/>
          <w:bCs/>
          <w:color w:val="000000" w:themeColor="text1"/>
          <w:lang w:eastAsia="x-none"/>
        </w:rPr>
      </w:pPr>
      <w:r>
        <w:rPr>
          <w:rFonts w:ascii="Bookman Old Style" w:hAnsi="Bookman Old Style"/>
          <w:b/>
          <w:bCs/>
          <w:color w:val="000000" w:themeColor="text1"/>
          <w:lang w:eastAsia="x-none"/>
        </w:rPr>
        <w:t>C</w:t>
      </w:r>
      <w:r w:rsidRPr="001D4E01">
        <w:rPr>
          <w:rFonts w:ascii="Bookman Old Style" w:hAnsi="Bookman Old Style"/>
          <w:b/>
          <w:bCs/>
          <w:color w:val="000000" w:themeColor="text1"/>
          <w:lang w:eastAsia="x-none"/>
        </w:rPr>
        <w:t xml:space="preserve">onstitución de los instrumentos fiduciarios a cargo del </w:t>
      </w:r>
      <w:r>
        <w:rPr>
          <w:rFonts w:ascii="Bookman Old Style" w:hAnsi="Bookman Old Style"/>
          <w:b/>
          <w:bCs/>
          <w:color w:val="000000" w:themeColor="text1"/>
          <w:lang w:eastAsia="x-none"/>
        </w:rPr>
        <w:t>G</w:t>
      </w:r>
      <w:r w:rsidRPr="001D4E01">
        <w:rPr>
          <w:rFonts w:ascii="Bookman Old Style" w:hAnsi="Bookman Old Style"/>
          <w:b/>
          <w:bCs/>
          <w:color w:val="000000" w:themeColor="text1"/>
          <w:lang w:eastAsia="x-none"/>
        </w:rPr>
        <w:t xml:space="preserve">estor del </w:t>
      </w:r>
      <w:r>
        <w:rPr>
          <w:rFonts w:ascii="Bookman Old Style" w:hAnsi="Bookman Old Style"/>
          <w:b/>
          <w:bCs/>
          <w:color w:val="000000" w:themeColor="text1"/>
          <w:lang w:eastAsia="x-none"/>
        </w:rPr>
        <w:t>M</w:t>
      </w:r>
      <w:r w:rsidRPr="001D4E01">
        <w:rPr>
          <w:rFonts w:ascii="Bookman Old Style" w:hAnsi="Bookman Old Style"/>
          <w:b/>
          <w:bCs/>
          <w:color w:val="000000" w:themeColor="text1"/>
          <w:lang w:eastAsia="x-none"/>
        </w:rPr>
        <w:t>ercado</w:t>
      </w:r>
    </w:p>
    <w:p w14:paraId="219F6489" w14:textId="0F2158DC" w:rsidR="001D4E01" w:rsidRDefault="001D4E01" w:rsidP="0006302B">
      <w:pPr>
        <w:pStyle w:val="NormalWeb"/>
        <w:spacing w:before="0" w:beforeAutospacing="0" w:after="0" w:afterAutospacing="0"/>
        <w:jc w:val="center"/>
        <w:rPr>
          <w:rFonts w:ascii="Bookman Old Style" w:hAnsi="Bookman Old Style"/>
          <w:b/>
          <w:bCs/>
          <w:color w:val="000000" w:themeColor="text1"/>
          <w:lang w:eastAsia="x-none"/>
        </w:rPr>
      </w:pPr>
    </w:p>
    <w:p w14:paraId="35C624D9" w14:textId="77777777" w:rsidR="001D4E01" w:rsidRDefault="001D4E01" w:rsidP="001D4E01">
      <w:pPr>
        <w:pStyle w:val="Prrafodelista"/>
        <w:tabs>
          <w:tab w:val="left" w:pos="567"/>
        </w:tabs>
        <w:ind w:left="0"/>
        <w:jc w:val="both"/>
        <w:rPr>
          <w:rFonts w:ascii="Bookman Old Style" w:hAnsi="Bookman Old Style" w:cs="Arial"/>
          <w:b/>
          <w:color w:val="000000" w:themeColor="text1"/>
          <w:sz w:val="24"/>
          <w:szCs w:val="24"/>
        </w:rPr>
      </w:pPr>
      <w:bookmarkStart w:id="214" w:name="_Ref390416550"/>
    </w:p>
    <w:p w14:paraId="0D806D21" w14:textId="77777777" w:rsidR="001D4E01" w:rsidRDefault="001D4E01" w:rsidP="002D5416">
      <w:pPr>
        <w:pStyle w:val="Prrafodelista"/>
        <w:numPr>
          <w:ilvl w:val="0"/>
          <w:numId w:val="260"/>
        </w:numPr>
        <w:tabs>
          <w:tab w:val="left" w:pos="567"/>
        </w:tabs>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Forma de instrumento fiduciario</w:t>
      </w:r>
    </w:p>
    <w:p w14:paraId="12E74BBB" w14:textId="77777777" w:rsidR="001D4E01" w:rsidRDefault="001D4E01" w:rsidP="001D4E01">
      <w:pPr>
        <w:pStyle w:val="Prrafodelista"/>
        <w:tabs>
          <w:tab w:val="left" w:pos="567"/>
        </w:tabs>
        <w:ind w:left="0"/>
        <w:jc w:val="both"/>
        <w:rPr>
          <w:rFonts w:ascii="Bookman Old Style" w:hAnsi="Bookman Old Style" w:cs="Arial"/>
          <w:b/>
          <w:color w:val="000000" w:themeColor="text1"/>
          <w:sz w:val="24"/>
          <w:szCs w:val="24"/>
        </w:rPr>
      </w:pPr>
    </w:p>
    <w:p w14:paraId="4E50F603" w14:textId="2A29F0F5" w:rsidR="001D4E01" w:rsidRDefault="001D4E01" w:rsidP="001D4E01">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En cada uno de los casos establecidos en </w:t>
      </w:r>
      <w:r w:rsidR="00BB3004">
        <w:rPr>
          <w:rFonts w:ascii="Bookman Old Style" w:hAnsi="Bookman Old Style" w:cs="Arial"/>
          <w:color w:val="000000" w:themeColor="text1"/>
          <w:sz w:val="24"/>
          <w:szCs w:val="24"/>
        </w:rPr>
        <w:t>la presente resolución</w:t>
      </w:r>
      <w:r>
        <w:rPr>
          <w:rFonts w:ascii="Bookman Old Style" w:hAnsi="Bookman Old Style" w:cs="Arial"/>
          <w:color w:val="000000" w:themeColor="text1"/>
          <w:sz w:val="24"/>
          <w:szCs w:val="24"/>
        </w:rPr>
        <w:t xml:space="preserve">, el </w:t>
      </w:r>
      <w:r w:rsidR="00BB3004">
        <w:rPr>
          <w:rFonts w:ascii="Bookman Old Style" w:hAnsi="Bookman Old Style" w:cs="Arial"/>
          <w:color w:val="000000" w:themeColor="text1"/>
          <w:sz w:val="24"/>
          <w:szCs w:val="24"/>
        </w:rPr>
        <w:t>G</w:t>
      </w:r>
      <w:r>
        <w:rPr>
          <w:rFonts w:ascii="Bookman Old Style" w:hAnsi="Bookman Old Style" w:cs="Arial"/>
          <w:color w:val="000000" w:themeColor="text1"/>
          <w:sz w:val="24"/>
          <w:szCs w:val="24"/>
        </w:rPr>
        <w:t xml:space="preserve">estor del </w:t>
      </w:r>
      <w:r w:rsidR="00BB3004">
        <w:rPr>
          <w:rFonts w:ascii="Bookman Old Style" w:hAnsi="Bookman Old Style" w:cs="Arial"/>
          <w:color w:val="000000" w:themeColor="text1"/>
          <w:sz w:val="24"/>
          <w:szCs w:val="24"/>
        </w:rPr>
        <w:t>M</w:t>
      </w:r>
      <w:r>
        <w:rPr>
          <w:rFonts w:ascii="Bookman Old Style" w:hAnsi="Bookman Old Style" w:cs="Arial"/>
          <w:color w:val="000000" w:themeColor="text1"/>
          <w:sz w:val="24"/>
          <w:szCs w:val="24"/>
        </w:rPr>
        <w:t>ercado de gas natural constituirá por cada uno de ellos un fideicomiso o patrimonio autónomo a través de una sociedad fiduciaria legalmente establecida en Colombia.</w:t>
      </w:r>
    </w:p>
    <w:p w14:paraId="12FAA9F5" w14:textId="77777777" w:rsidR="001D4E01" w:rsidRDefault="001D4E01" w:rsidP="001D4E01">
      <w:pPr>
        <w:pStyle w:val="Prrafodelista"/>
        <w:tabs>
          <w:tab w:val="left" w:pos="567"/>
        </w:tabs>
        <w:ind w:left="0"/>
        <w:jc w:val="both"/>
        <w:rPr>
          <w:rFonts w:ascii="Bookman Old Style" w:hAnsi="Bookman Old Style" w:cs="Arial"/>
          <w:color w:val="000000" w:themeColor="text1"/>
          <w:sz w:val="24"/>
          <w:szCs w:val="24"/>
        </w:rPr>
      </w:pPr>
    </w:p>
    <w:p w14:paraId="3556DFD1" w14:textId="77777777" w:rsidR="001D4E01" w:rsidRPr="00804B6F" w:rsidRDefault="001D4E01" w:rsidP="001D4E01">
      <w:pPr>
        <w:pStyle w:val="Prrafodelista"/>
        <w:tabs>
          <w:tab w:val="left" w:pos="567"/>
        </w:tabs>
        <w:ind w:left="0"/>
        <w:jc w:val="both"/>
        <w:rPr>
          <w:rFonts w:ascii="Bookman Old Style" w:hAnsi="Bookman Old Style" w:cs="Arial"/>
          <w:color w:val="000000" w:themeColor="text1"/>
          <w:sz w:val="24"/>
          <w:szCs w:val="24"/>
        </w:rPr>
      </w:pPr>
      <w:r w:rsidRPr="00804B6F">
        <w:rPr>
          <w:rFonts w:ascii="Bookman Old Style" w:hAnsi="Bookman Old Style" w:cs="Arial"/>
          <w:color w:val="000000" w:themeColor="text1"/>
          <w:sz w:val="24"/>
          <w:szCs w:val="24"/>
        </w:rPr>
        <w:t>Esta disposición se refiere a la utilización de fiducias mercantiles en los términos del artículo 1126 y siguientes del Código de Comercio.</w:t>
      </w:r>
    </w:p>
    <w:p w14:paraId="60D51729" w14:textId="77777777" w:rsidR="001D4E01" w:rsidRDefault="001D4E01" w:rsidP="001D4E01">
      <w:pPr>
        <w:pStyle w:val="Prrafodelista"/>
        <w:tabs>
          <w:tab w:val="left" w:pos="567"/>
        </w:tabs>
        <w:ind w:left="0"/>
        <w:jc w:val="both"/>
        <w:rPr>
          <w:rFonts w:ascii="Bookman Old Style" w:hAnsi="Bookman Old Style" w:cs="Arial"/>
          <w:b/>
          <w:color w:val="000000" w:themeColor="text1"/>
          <w:sz w:val="24"/>
          <w:szCs w:val="24"/>
        </w:rPr>
      </w:pPr>
    </w:p>
    <w:p w14:paraId="69E66F9C" w14:textId="398F8CD7" w:rsidR="001D4E01" w:rsidRDefault="001D4E01" w:rsidP="002D5416">
      <w:pPr>
        <w:pStyle w:val="Prrafodelista"/>
        <w:numPr>
          <w:ilvl w:val="0"/>
          <w:numId w:val="260"/>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Objeto de los fideicomisos o patrimonios autónomos que deba constituir el gestor del mercado de gas natural.</w:t>
      </w:r>
    </w:p>
    <w:p w14:paraId="4854AD35" w14:textId="77777777" w:rsidR="001D4E01" w:rsidRDefault="001D4E01" w:rsidP="001D4E01">
      <w:pPr>
        <w:tabs>
          <w:tab w:val="left" w:pos="567"/>
        </w:tabs>
        <w:ind w:left="0"/>
        <w:jc w:val="both"/>
        <w:rPr>
          <w:rFonts w:ascii="Bookman Old Style" w:hAnsi="Bookman Old Style" w:cs="Arial"/>
          <w:b/>
          <w:color w:val="000000" w:themeColor="text1"/>
        </w:rPr>
      </w:pPr>
    </w:p>
    <w:p w14:paraId="7385958E" w14:textId="6C6FF2B6" w:rsidR="001D4E01" w:rsidRPr="004B3B4B" w:rsidRDefault="001D4E01" w:rsidP="001D4E01">
      <w:pPr>
        <w:pStyle w:val="ARTICULOS"/>
        <w:numPr>
          <w:ilvl w:val="0"/>
          <w:numId w:val="0"/>
        </w:numPr>
        <w:tabs>
          <w:tab w:val="clear" w:pos="1559"/>
          <w:tab w:val="left" w:pos="1560"/>
        </w:tabs>
        <w:rPr>
          <w:rFonts w:cs="Arial"/>
          <w:color w:val="000000"/>
          <w:lang w:val="es-CO"/>
        </w:rPr>
      </w:pPr>
      <w:r>
        <w:rPr>
          <w:rFonts w:cs="Arial"/>
          <w:color w:val="000000"/>
          <w:lang w:val="es-CO"/>
        </w:rPr>
        <w:t>El</w:t>
      </w:r>
      <w:r w:rsidRPr="004B3B4B">
        <w:rPr>
          <w:rFonts w:cs="Arial"/>
          <w:color w:val="000000"/>
          <w:lang w:val="es-CO"/>
        </w:rPr>
        <w:t xml:space="preserve"> </w:t>
      </w:r>
      <w:r w:rsidR="00BB3004">
        <w:rPr>
          <w:rFonts w:cs="Arial"/>
          <w:color w:val="000000"/>
          <w:lang w:val="es-CO"/>
        </w:rPr>
        <w:t>G</w:t>
      </w:r>
      <w:r w:rsidRPr="004B3B4B">
        <w:rPr>
          <w:rFonts w:cs="Arial"/>
          <w:color w:val="000000"/>
          <w:lang w:val="es-CO"/>
        </w:rPr>
        <w:t xml:space="preserve">estor del </w:t>
      </w:r>
      <w:r w:rsidR="00BB3004">
        <w:rPr>
          <w:rFonts w:cs="Arial"/>
          <w:color w:val="000000"/>
          <w:lang w:val="es-CO"/>
        </w:rPr>
        <w:t>M</w:t>
      </w:r>
      <w:r w:rsidRPr="004B3B4B">
        <w:rPr>
          <w:rFonts w:cs="Arial"/>
          <w:color w:val="000000"/>
          <w:lang w:val="es-CO"/>
        </w:rPr>
        <w:t xml:space="preserve">ercado </w:t>
      </w:r>
      <w:r>
        <w:rPr>
          <w:rFonts w:cs="Arial"/>
          <w:color w:val="000000"/>
          <w:lang w:val="es-CO"/>
        </w:rPr>
        <w:t>de gas natural constituirá en cada uno de los siguientes casos un fideicomiso o patrimonio autónomo individual con el siguiente objeto:</w:t>
      </w:r>
    </w:p>
    <w:p w14:paraId="66C7577A" w14:textId="77777777" w:rsidR="001D4E01" w:rsidRPr="004B3B4B" w:rsidRDefault="001D4E01" w:rsidP="001D4E01">
      <w:pPr>
        <w:pStyle w:val="ARTICULOS"/>
        <w:numPr>
          <w:ilvl w:val="0"/>
          <w:numId w:val="0"/>
        </w:numPr>
        <w:tabs>
          <w:tab w:val="clear" w:pos="1559"/>
          <w:tab w:val="left" w:pos="1560"/>
        </w:tabs>
        <w:rPr>
          <w:rFonts w:cs="Arial"/>
          <w:color w:val="000000"/>
          <w:lang w:val="es-CO"/>
        </w:rPr>
      </w:pPr>
    </w:p>
    <w:p w14:paraId="0873DCEF" w14:textId="0210E611" w:rsidR="001D4E01" w:rsidRPr="00F503ED" w:rsidRDefault="001D4E01" w:rsidP="002D5416">
      <w:pPr>
        <w:pStyle w:val="Prrafodelista"/>
        <w:numPr>
          <w:ilvl w:val="1"/>
          <w:numId w:val="260"/>
        </w:numPr>
        <w:tabs>
          <w:tab w:val="left" w:pos="567"/>
        </w:tabs>
        <w:ind w:left="567" w:hanging="567"/>
        <w:jc w:val="both"/>
        <w:rPr>
          <w:rFonts w:ascii="Bookman Old Style" w:hAnsi="Bookman Old Style" w:cs="Arial"/>
          <w:color w:val="000000" w:themeColor="text1"/>
          <w:sz w:val="24"/>
          <w:szCs w:val="24"/>
        </w:rPr>
      </w:pPr>
      <w:bookmarkStart w:id="215" w:name="_Ref403050558"/>
      <w:r w:rsidRPr="002F3ADE">
        <w:rPr>
          <w:rFonts w:ascii="Bookman Old Style" w:hAnsi="Bookman Old Style" w:cs="Arial"/>
          <w:color w:val="000000" w:themeColor="text1"/>
          <w:sz w:val="24"/>
          <w:szCs w:val="24"/>
        </w:rPr>
        <w:t xml:space="preserve">Constitución de un fideicomiso o patrimonio autónomo con el objeto exclusivo de </w:t>
      </w:r>
      <w:r w:rsidRPr="00F503ED">
        <w:rPr>
          <w:rFonts w:ascii="Bookman Old Style" w:hAnsi="Bookman Old Style" w:cs="Arial"/>
          <w:color w:val="000000" w:themeColor="text1"/>
          <w:sz w:val="24"/>
          <w:szCs w:val="24"/>
        </w:rPr>
        <w:t>administrar los mecanismos de cubrimiento para participar en la subasta de gas natural</w:t>
      </w:r>
      <w:r w:rsidR="00BB3004" w:rsidRPr="00F503ED">
        <w:rPr>
          <w:rFonts w:ascii="Bookman Old Style" w:hAnsi="Bookman Old Style" w:cs="Arial"/>
          <w:color w:val="000000" w:themeColor="text1"/>
          <w:sz w:val="24"/>
          <w:szCs w:val="24"/>
        </w:rPr>
        <w:t xml:space="preserve"> y de</w:t>
      </w:r>
      <w:r w:rsidR="00BB3004" w:rsidRPr="00F503ED">
        <w:rPr>
          <w:rFonts w:ascii="Bookman Old Style" w:hAnsi="Bookman Old Style" w:cs="Arial"/>
          <w:b/>
          <w:bCs/>
          <w:color w:val="000000" w:themeColor="text1"/>
          <w:sz w:val="24"/>
          <w:szCs w:val="24"/>
        </w:rPr>
        <w:t xml:space="preserve"> </w:t>
      </w:r>
      <w:r w:rsidRPr="00F503ED">
        <w:rPr>
          <w:rFonts w:ascii="Bookman Old Style" w:hAnsi="Bookman Old Style" w:cs="Arial"/>
          <w:color w:val="000000" w:themeColor="text1"/>
          <w:sz w:val="24"/>
          <w:szCs w:val="24"/>
        </w:rPr>
        <w:t xml:space="preserve">cumplimiento, de acuerdo con lo </w:t>
      </w:r>
      <w:r w:rsidR="00BB3004" w:rsidRPr="00F503ED">
        <w:rPr>
          <w:rFonts w:ascii="Bookman Old Style" w:hAnsi="Bookman Old Style" w:cs="Arial"/>
          <w:color w:val="000000" w:themeColor="text1"/>
          <w:sz w:val="24"/>
          <w:szCs w:val="24"/>
        </w:rPr>
        <w:t xml:space="preserve">establecido </w:t>
      </w:r>
      <w:r w:rsidR="00BB3004" w:rsidRPr="00F503ED">
        <w:rPr>
          <w:rFonts w:ascii="Bookman Old Style" w:hAnsi="Bookman Old Style" w:cs="Arial"/>
          <w:b/>
          <w:bCs/>
          <w:color w:val="000000" w:themeColor="text1"/>
          <w:sz w:val="24"/>
          <w:szCs w:val="24"/>
        </w:rPr>
        <w:t>en el Anexo 7 de la presente resolución</w:t>
      </w:r>
      <w:r w:rsidRPr="00F503ED">
        <w:rPr>
          <w:rFonts w:ascii="Bookman Old Style" w:hAnsi="Bookman Old Style" w:cs="Arial"/>
          <w:color w:val="000000" w:themeColor="text1"/>
          <w:sz w:val="24"/>
          <w:szCs w:val="24"/>
        </w:rPr>
        <w:t>.</w:t>
      </w:r>
    </w:p>
    <w:p w14:paraId="5FEF68BB"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p>
    <w:p w14:paraId="7E91B8B4"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El beneficiario de los mecanismos de cubrimiento será el fideicomiso o patrimonio autónomo que para tales efectos se constituya.</w:t>
      </w:r>
    </w:p>
    <w:p w14:paraId="3767CB60"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p>
    <w:p w14:paraId="23F1F0A0"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En caso de que se ejerza alguno de los mecanismos de cubrimiento los beneficiarios de los recursos que se obtengan serán los que se determinen regulatoriamente.</w:t>
      </w:r>
    </w:p>
    <w:p w14:paraId="13A9004C"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p>
    <w:p w14:paraId="28137438" w14:textId="5C68863D" w:rsidR="001D4E01" w:rsidRPr="00F503ED" w:rsidRDefault="001D4E01" w:rsidP="002D5416">
      <w:pPr>
        <w:pStyle w:val="Prrafodelista"/>
        <w:numPr>
          <w:ilvl w:val="1"/>
          <w:numId w:val="260"/>
        </w:numPr>
        <w:tabs>
          <w:tab w:val="left" w:pos="567"/>
        </w:tabs>
        <w:ind w:left="567" w:hanging="567"/>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Constitución de un fideicomiso o patrimonio autónomo </w:t>
      </w:r>
      <w:bookmarkEnd w:id="214"/>
      <w:r w:rsidRPr="00F503ED">
        <w:rPr>
          <w:rFonts w:ascii="Bookman Old Style" w:hAnsi="Bookman Old Style" w:cs="Arial"/>
          <w:color w:val="000000" w:themeColor="text1"/>
          <w:sz w:val="24"/>
          <w:szCs w:val="24"/>
        </w:rPr>
        <w:t xml:space="preserve">con el objeto exclusivo de implementar el mecanismo de prepago del proceso úselo o véndalo de corto plazo para gas natural, de acuerdo con lo ordenado en el </w:t>
      </w:r>
      <w:r w:rsidRPr="00F503ED">
        <w:rPr>
          <w:rFonts w:ascii="Bookman Old Style" w:hAnsi="Bookman Old Style" w:cs="Arial"/>
          <w:b/>
          <w:bCs/>
          <w:color w:val="000000" w:themeColor="text1"/>
          <w:sz w:val="24"/>
          <w:szCs w:val="24"/>
        </w:rPr>
        <w:t xml:space="preserve">artículo </w:t>
      </w:r>
      <w:r w:rsidR="001F7499" w:rsidRPr="00F503ED">
        <w:rPr>
          <w:rFonts w:ascii="Bookman Old Style" w:hAnsi="Bookman Old Style" w:cs="Arial"/>
          <w:b/>
          <w:bCs/>
          <w:color w:val="000000" w:themeColor="text1"/>
          <w:sz w:val="24"/>
          <w:szCs w:val="24"/>
        </w:rPr>
        <w:t xml:space="preserve">36 </w:t>
      </w:r>
      <w:r w:rsidRPr="00F503ED">
        <w:rPr>
          <w:rFonts w:ascii="Bookman Old Style" w:hAnsi="Bookman Old Style" w:cs="Arial"/>
          <w:b/>
          <w:bCs/>
          <w:color w:val="000000" w:themeColor="text1"/>
          <w:sz w:val="24"/>
          <w:szCs w:val="24"/>
        </w:rPr>
        <w:t xml:space="preserve">de la </w:t>
      </w:r>
      <w:r w:rsidR="001F7499" w:rsidRPr="00F503ED">
        <w:rPr>
          <w:rFonts w:ascii="Bookman Old Style" w:hAnsi="Bookman Old Style" w:cs="Arial"/>
          <w:b/>
          <w:bCs/>
          <w:color w:val="000000" w:themeColor="text1"/>
          <w:sz w:val="24"/>
          <w:szCs w:val="24"/>
        </w:rPr>
        <w:t>presente resolución</w:t>
      </w:r>
      <w:r w:rsidRPr="00F503ED">
        <w:rPr>
          <w:rFonts w:ascii="Bookman Old Style" w:hAnsi="Bookman Old Style" w:cs="Arial"/>
          <w:color w:val="000000" w:themeColor="text1"/>
          <w:sz w:val="24"/>
          <w:szCs w:val="24"/>
        </w:rPr>
        <w:t>.</w:t>
      </w:r>
      <w:bookmarkEnd w:id="215"/>
    </w:p>
    <w:p w14:paraId="0D5E4F14"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p>
    <w:p w14:paraId="760C77B9" w14:textId="7FAA384A"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El beneficiario de los prepago</w:t>
      </w:r>
      <w:r w:rsidR="00111383">
        <w:rPr>
          <w:rFonts w:ascii="Bookman Old Style" w:hAnsi="Bookman Old Style" w:cs="Arial"/>
          <w:color w:val="000000" w:themeColor="text1"/>
          <w:sz w:val="24"/>
          <w:szCs w:val="24"/>
        </w:rPr>
        <w:t>s</w:t>
      </w:r>
      <w:r w:rsidRPr="00F503ED">
        <w:rPr>
          <w:rFonts w:ascii="Bookman Old Style" w:hAnsi="Bookman Old Style" w:cs="Arial"/>
          <w:color w:val="000000" w:themeColor="text1"/>
          <w:sz w:val="24"/>
          <w:szCs w:val="24"/>
        </w:rPr>
        <w:t xml:space="preserve"> será el fideicomiso o patrimonio autónomo que para tales efectos se constituya.</w:t>
      </w:r>
    </w:p>
    <w:p w14:paraId="5759DCA8" w14:textId="77777777"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p>
    <w:p w14:paraId="2D72FAF7" w14:textId="689ECD51" w:rsidR="001D4E01" w:rsidRPr="00F503ED" w:rsidRDefault="001D4E01" w:rsidP="001D4E01">
      <w:pPr>
        <w:pStyle w:val="Prrafodelista"/>
        <w:tabs>
          <w:tab w:val="left" w:pos="567"/>
        </w:tabs>
        <w:ind w:left="567"/>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Los beneficiarios de los recursos de prepago serán los que se dictan en el parágrafo 2 del </w:t>
      </w:r>
      <w:r w:rsidRPr="00F503ED">
        <w:rPr>
          <w:rFonts w:ascii="Bookman Old Style" w:hAnsi="Bookman Old Style" w:cs="Arial"/>
          <w:b/>
          <w:bCs/>
          <w:color w:val="000000" w:themeColor="text1"/>
          <w:sz w:val="24"/>
          <w:szCs w:val="24"/>
        </w:rPr>
        <w:t xml:space="preserve">artículo </w:t>
      </w:r>
      <w:r w:rsidR="001F7499" w:rsidRPr="00F503ED">
        <w:rPr>
          <w:rFonts w:ascii="Bookman Old Style" w:hAnsi="Bookman Old Style" w:cs="Arial"/>
          <w:b/>
          <w:bCs/>
          <w:color w:val="000000" w:themeColor="text1"/>
          <w:sz w:val="24"/>
          <w:szCs w:val="24"/>
        </w:rPr>
        <w:t>3</w:t>
      </w:r>
      <w:r w:rsidR="00FD0889" w:rsidRPr="00F503ED">
        <w:rPr>
          <w:rFonts w:ascii="Bookman Old Style" w:hAnsi="Bookman Old Style" w:cs="Arial"/>
          <w:b/>
          <w:bCs/>
          <w:color w:val="000000" w:themeColor="text1"/>
          <w:sz w:val="24"/>
          <w:szCs w:val="24"/>
        </w:rPr>
        <w:t>6</w:t>
      </w:r>
      <w:r w:rsidR="001F7499" w:rsidRPr="00F503ED">
        <w:rPr>
          <w:rFonts w:ascii="Bookman Old Style" w:hAnsi="Bookman Old Style" w:cs="Arial"/>
          <w:b/>
          <w:bCs/>
          <w:color w:val="000000" w:themeColor="text1"/>
          <w:sz w:val="24"/>
          <w:szCs w:val="24"/>
        </w:rPr>
        <w:t xml:space="preserve"> de la presente resolución</w:t>
      </w:r>
      <w:r w:rsidRPr="00F503ED">
        <w:rPr>
          <w:rFonts w:ascii="Bookman Old Style" w:hAnsi="Bookman Old Style" w:cs="Arial"/>
          <w:color w:val="000000" w:themeColor="text1"/>
          <w:sz w:val="24"/>
          <w:szCs w:val="24"/>
        </w:rPr>
        <w:t>.</w:t>
      </w:r>
    </w:p>
    <w:p w14:paraId="2F1298B8" w14:textId="77777777" w:rsidR="001D4E01" w:rsidRPr="00F503ED" w:rsidRDefault="001D4E01" w:rsidP="001D4E01">
      <w:pPr>
        <w:pStyle w:val="Prrafodelista"/>
        <w:tabs>
          <w:tab w:val="left" w:pos="567"/>
        </w:tabs>
        <w:ind w:left="720"/>
        <w:jc w:val="both"/>
        <w:rPr>
          <w:rFonts w:ascii="Bookman Old Style" w:hAnsi="Bookman Old Style" w:cs="Arial"/>
          <w:color w:val="000000" w:themeColor="text1"/>
          <w:sz w:val="24"/>
          <w:szCs w:val="24"/>
        </w:rPr>
      </w:pPr>
    </w:p>
    <w:p w14:paraId="61445EA8" w14:textId="77777777" w:rsidR="001D4E01" w:rsidRPr="00F503ED" w:rsidRDefault="001D4E01" w:rsidP="001D4E01">
      <w:pPr>
        <w:pStyle w:val="Prrafodelista"/>
        <w:jc w:val="center"/>
        <w:rPr>
          <w:rFonts w:ascii="Bookman Old Style" w:hAnsi="Bookman Old Style" w:cs="Arial"/>
          <w:b/>
          <w:color w:val="000000" w:themeColor="text1"/>
          <w:sz w:val="24"/>
          <w:szCs w:val="24"/>
        </w:rPr>
      </w:pPr>
    </w:p>
    <w:p w14:paraId="16F047FF" w14:textId="77777777" w:rsidR="001D4E01" w:rsidRPr="00F503ED" w:rsidRDefault="001D4E01" w:rsidP="002D5416">
      <w:pPr>
        <w:pStyle w:val="Prrafodelista"/>
        <w:numPr>
          <w:ilvl w:val="0"/>
          <w:numId w:val="260"/>
        </w:numPr>
        <w:tabs>
          <w:tab w:val="left" w:pos="567"/>
        </w:tabs>
        <w:ind w:left="0" w:firstLine="0"/>
        <w:jc w:val="both"/>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t>Principios en la constitución de los fideicomisos o patrimonios autónomos</w:t>
      </w:r>
    </w:p>
    <w:p w14:paraId="1B06C9DF" w14:textId="77777777" w:rsidR="001D4E01" w:rsidRPr="00F503ED" w:rsidRDefault="001D4E01" w:rsidP="001D4E01">
      <w:pPr>
        <w:pStyle w:val="Prrafodelista"/>
        <w:tabs>
          <w:tab w:val="left" w:pos="567"/>
        </w:tabs>
        <w:ind w:left="0"/>
        <w:jc w:val="both"/>
        <w:rPr>
          <w:rFonts w:ascii="Bookman Old Style" w:hAnsi="Bookman Old Style" w:cs="Arial"/>
          <w:b/>
          <w:color w:val="000000" w:themeColor="text1"/>
          <w:sz w:val="24"/>
          <w:szCs w:val="24"/>
        </w:rPr>
      </w:pPr>
    </w:p>
    <w:tbl>
      <w:tblPr>
        <w:tblStyle w:val="Tablaconcuadrcula"/>
        <w:tblW w:w="0" w:type="auto"/>
        <w:tblLook w:val="04A0" w:firstRow="1" w:lastRow="0" w:firstColumn="1" w:lastColumn="0" w:noHBand="0" w:noVBand="1"/>
      </w:tblPr>
      <w:tblGrid>
        <w:gridCol w:w="2367"/>
        <w:gridCol w:w="6984"/>
      </w:tblGrid>
      <w:tr w:rsidR="001D4E01" w:rsidRPr="00F503ED" w14:paraId="4F47357B" w14:textId="77777777">
        <w:tc>
          <w:tcPr>
            <w:tcW w:w="2376" w:type="dxa"/>
          </w:tcPr>
          <w:p w14:paraId="6E7B2762" w14:textId="77777777" w:rsidR="001D4E01" w:rsidRPr="00F503ED" w:rsidRDefault="001D4E01">
            <w:pPr>
              <w:pStyle w:val="Prrafodelista"/>
              <w:tabs>
                <w:tab w:val="left" w:pos="567"/>
              </w:tabs>
              <w:ind w:left="0"/>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t>Objeto exclusivo:</w:t>
            </w:r>
          </w:p>
        </w:tc>
        <w:tc>
          <w:tcPr>
            <w:tcW w:w="7125" w:type="dxa"/>
          </w:tcPr>
          <w:p w14:paraId="05A2BD5C" w14:textId="7AD889D2"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Cada uno de los fideicomisos o patrimonios autónomos que se constituyan deben tener como objeto exclusivo lo </w:t>
            </w:r>
            <w:r w:rsidRPr="00F503ED">
              <w:rPr>
                <w:rFonts w:ascii="Bookman Old Style" w:hAnsi="Bookman Old Style" w:cs="Arial"/>
                <w:color w:val="000000" w:themeColor="text1"/>
                <w:sz w:val="24"/>
                <w:szCs w:val="24"/>
              </w:rPr>
              <w:lastRenderedPageBreak/>
              <w:t xml:space="preserve">contemplado en las disposiciones mencionadas en </w:t>
            </w:r>
            <w:r w:rsidR="00FF75B5" w:rsidRPr="00F503ED">
              <w:rPr>
                <w:rFonts w:ascii="Bookman Old Style" w:hAnsi="Bookman Old Style" w:cs="Arial"/>
                <w:b/>
                <w:bCs/>
                <w:color w:val="000000" w:themeColor="text1"/>
                <w:sz w:val="24"/>
                <w:szCs w:val="24"/>
              </w:rPr>
              <w:t>la presente resolución</w:t>
            </w:r>
            <w:r w:rsidRPr="00F503ED">
              <w:rPr>
                <w:rFonts w:ascii="Bookman Old Style" w:hAnsi="Bookman Old Style" w:cs="Arial"/>
                <w:color w:val="000000" w:themeColor="text1"/>
                <w:sz w:val="24"/>
                <w:szCs w:val="24"/>
              </w:rPr>
              <w:t>.</w:t>
            </w:r>
          </w:p>
        </w:tc>
      </w:tr>
      <w:tr w:rsidR="001D4E01" w:rsidRPr="00F503ED" w14:paraId="2ABFD358" w14:textId="77777777">
        <w:tc>
          <w:tcPr>
            <w:tcW w:w="2376" w:type="dxa"/>
          </w:tcPr>
          <w:p w14:paraId="79DB9F53" w14:textId="77777777" w:rsidR="001D4E01" w:rsidRPr="00F503ED" w:rsidRDefault="001D4E01">
            <w:pPr>
              <w:pStyle w:val="Prrafodelista"/>
              <w:tabs>
                <w:tab w:val="left" w:pos="567"/>
              </w:tabs>
              <w:ind w:left="0"/>
              <w:jc w:val="both"/>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lastRenderedPageBreak/>
              <w:t>Continuidad:</w:t>
            </w:r>
          </w:p>
        </w:tc>
        <w:tc>
          <w:tcPr>
            <w:tcW w:w="7125" w:type="dxa"/>
          </w:tcPr>
          <w:p w14:paraId="797C25B7" w14:textId="04A7524B"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El gestor del mercado de gas natural garantizará que los fideicomisos o patrimonios autónomos de que trata esta resolución estarán disponibles cuando se requieran. </w:t>
            </w:r>
          </w:p>
        </w:tc>
      </w:tr>
      <w:tr w:rsidR="001D4E01" w:rsidRPr="00F503ED" w14:paraId="237D75EE" w14:textId="77777777">
        <w:tc>
          <w:tcPr>
            <w:tcW w:w="2376" w:type="dxa"/>
          </w:tcPr>
          <w:p w14:paraId="1C1BA62C" w14:textId="77777777" w:rsidR="001D4E01" w:rsidRPr="00F503ED" w:rsidRDefault="001D4E01">
            <w:pPr>
              <w:pStyle w:val="Prrafodelista"/>
              <w:tabs>
                <w:tab w:val="left" w:pos="567"/>
              </w:tabs>
              <w:ind w:left="0"/>
              <w:jc w:val="both"/>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t>Oportunidad:</w:t>
            </w:r>
          </w:p>
        </w:tc>
        <w:tc>
          <w:tcPr>
            <w:tcW w:w="7125" w:type="dxa"/>
          </w:tcPr>
          <w:p w14:paraId="6BC2993C" w14:textId="37587DBA"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 xml:space="preserve">El </w:t>
            </w:r>
            <w:r w:rsidR="00FF75B5" w:rsidRPr="00F503ED">
              <w:rPr>
                <w:rFonts w:ascii="Bookman Old Style" w:hAnsi="Bookman Old Style" w:cs="Arial"/>
                <w:color w:val="000000" w:themeColor="text1"/>
                <w:sz w:val="24"/>
                <w:szCs w:val="24"/>
              </w:rPr>
              <w:t>G</w:t>
            </w:r>
            <w:r w:rsidRPr="00F503ED">
              <w:rPr>
                <w:rFonts w:ascii="Bookman Old Style" w:hAnsi="Bookman Old Style" w:cs="Arial"/>
                <w:color w:val="000000" w:themeColor="text1"/>
                <w:sz w:val="24"/>
                <w:szCs w:val="24"/>
              </w:rPr>
              <w:t xml:space="preserve">estor del </w:t>
            </w:r>
            <w:r w:rsidR="00FF75B5" w:rsidRPr="00F503ED">
              <w:rPr>
                <w:rFonts w:ascii="Bookman Old Style" w:hAnsi="Bookman Old Style" w:cs="Arial"/>
                <w:color w:val="000000" w:themeColor="text1"/>
                <w:sz w:val="24"/>
                <w:szCs w:val="24"/>
              </w:rPr>
              <w:t>Me</w:t>
            </w:r>
            <w:r w:rsidRPr="00F503ED">
              <w:rPr>
                <w:rFonts w:ascii="Bookman Old Style" w:hAnsi="Bookman Old Style" w:cs="Arial"/>
                <w:color w:val="000000" w:themeColor="text1"/>
                <w:sz w:val="24"/>
                <w:szCs w:val="24"/>
              </w:rPr>
              <w:t xml:space="preserve">rcado de gas natural constituirá </w:t>
            </w:r>
            <w:r w:rsidRPr="00F503ED">
              <w:rPr>
                <w:rFonts w:ascii="Bookman Old Style" w:hAnsi="Bookman Old Style" w:cs="Arial"/>
                <w:sz w:val="24"/>
                <w:szCs w:val="24"/>
              </w:rPr>
              <w:t xml:space="preserve">oportunamente el </w:t>
            </w:r>
            <w:r w:rsidRPr="00F503ED">
              <w:rPr>
                <w:rFonts w:ascii="Bookman Old Style" w:hAnsi="Bookman Old Style" w:cs="Arial"/>
                <w:color w:val="000000" w:themeColor="text1"/>
                <w:sz w:val="24"/>
                <w:szCs w:val="24"/>
              </w:rPr>
              <w:t xml:space="preserve">fideicomiso o patrimonio autónomo. </w:t>
            </w:r>
          </w:p>
        </w:tc>
      </w:tr>
      <w:tr w:rsidR="001D4E01" w:rsidRPr="00F503ED" w14:paraId="34BFD41D" w14:textId="77777777">
        <w:tc>
          <w:tcPr>
            <w:tcW w:w="2376" w:type="dxa"/>
          </w:tcPr>
          <w:p w14:paraId="1F21EAED" w14:textId="77777777" w:rsidR="001D4E01" w:rsidRPr="00F503ED" w:rsidRDefault="001D4E01">
            <w:pPr>
              <w:pStyle w:val="Prrafodelista"/>
              <w:tabs>
                <w:tab w:val="left" w:pos="567"/>
              </w:tabs>
              <w:ind w:left="0"/>
              <w:jc w:val="both"/>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t>Publicidad</w:t>
            </w:r>
          </w:p>
        </w:tc>
        <w:tc>
          <w:tcPr>
            <w:tcW w:w="7125" w:type="dxa"/>
          </w:tcPr>
          <w:p w14:paraId="733E5A2A" w14:textId="77777777"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El gestor del mercado de gas natural hará público en su sitio de internet, en cada caso y con la debida anticipación, el reglamento que rige cada uno de los fideicomisos o patrimonios autónomos.</w:t>
            </w:r>
          </w:p>
          <w:p w14:paraId="3A15F5D1" w14:textId="77777777"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p>
          <w:p w14:paraId="778436CD" w14:textId="77777777"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Para los agentes deberán ser claros y transparentes los mecanismos mediante el cual cada uno de los fideicomisos o patrimonios autónomos dará cumplimiento a su finalidad.</w:t>
            </w:r>
          </w:p>
          <w:p w14:paraId="26375B8C" w14:textId="77777777"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p>
        </w:tc>
      </w:tr>
      <w:tr w:rsidR="001D4E01" w:rsidRPr="00F503ED" w14:paraId="2A585BEC" w14:textId="77777777">
        <w:tc>
          <w:tcPr>
            <w:tcW w:w="2376" w:type="dxa"/>
          </w:tcPr>
          <w:p w14:paraId="3E393699" w14:textId="77777777" w:rsidR="001D4E01" w:rsidRPr="00F503ED" w:rsidDel="005B2D56" w:rsidRDefault="001D4E01">
            <w:pPr>
              <w:pStyle w:val="Prrafodelista"/>
              <w:tabs>
                <w:tab w:val="left" w:pos="567"/>
              </w:tabs>
              <w:ind w:left="0"/>
              <w:jc w:val="both"/>
              <w:rPr>
                <w:rFonts w:ascii="Bookman Old Style" w:hAnsi="Bookman Old Style" w:cs="Arial"/>
                <w:b/>
                <w:color w:val="000000" w:themeColor="text1"/>
                <w:sz w:val="24"/>
                <w:szCs w:val="24"/>
              </w:rPr>
            </w:pPr>
            <w:r w:rsidRPr="00F503ED">
              <w:rPr>
                <w:rFonts w:ascii="Bookman Old Style" w:hAnsi="Bookman Old Style" w:cs="Arial"/>
                <w:b/>
                <w:color w:val="000000" w:themeColor="text1"/>
                <w:sz w:val="24"/>
                <w:szCs w:val="24"/>
              </w:rPr>
              <w:t>Diligencia</w:t>
            </w:r>
          </w:p>
        </w:tc>
        <w:tc>
          <w:tcPr>
            <w:tcW w:w="7125" w:type="dxa"/>
          </w:tcPr>
          <w:p w14:paraId="33F07229" w14:textId="77777777" w:rsidR="001D4E01" w:rsidRPr="00F503ED" w:rsidRDefault="001D4E01">
            <w:pPr>
              <w:pStyle w:val="Prrafodelista"/>
              <w:tabs>
                <w:tab w:val="left" w:pos="567"/>
              </w:tabs>
              <w:ind w:left="0"/>
              <w:jc w:val="both"/>
              <w:rPr>
                <w:rFonts w:ascii="Bookman Old Style" w:hAnsi="Bookman Old Style" w:cs="Arial"/>
                <w:color w:val="000000" w:themeColor="text1"/>
                <w:sz w:val="24"/>
                <w:szCs w:val="24"/>
              </w:rPr>
            </w:pPr>
            <w:r w:rsidRPr="00F503ED">
              <w:rPr>
                <w:rFonts w:ascii="Bookman Old Style" w:hAnsi="Bookman Old Style" w:cs="Arial"/>
                <w:color w:val="000000" w:themeColor="text1"/>
                <w:sz w:val="24"/>
                <w:szCs w:val="24"/>
              </w:rPr>
              <w:t>El fideicomiso o patrimonio autónomo deberá realizar diligentemente todos los actos necesarios para la consecución de la finalidad que en cada caso aplique.</w:t>
            </w:r>
          </w:p>
        </w:tc>
      </w:tr>
      <w:tr w:rsidR="001D4E01" w14:paraId="2AB4949A" w14:textId="77777777">
        <w:tc>
          <w:tcPr>
            <w:tcW w:w="2376" w:type="dxa"/>
          </w:tcPr>
          <w:p w14:paraId="1ACB3C16" w14:textId="77777777" w:rsidR="001D4E01" w:rsidRDefault="001D4E01">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Independencia</w:t>
            </w:r>
          </w:p>
        </w:tc>
        <w:tc>
          <w:tcPr>
            <w:tcW w:w="7125" w:type="dxa"/>
          </w:tcPr>
          <w:p w14:paraId="01CCD92F" w14:textId="77777777" w:rsidR="001D4E01" w:rsidRDefault="001D4E01">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fideicomiso o patrimonio autónomo mantendrá los bienes objeto de la fiducia (i.e. prepagos, mecanismos de cubrimiento) separados de los suyos y de los que correspondan a otros negocios fiduciarios.</w:t>
            </w:r>
          </w:p>
        </w:tc>
      </w:tr>
      <w:tr w:rsidR="001D4E01" w14:paraId="30810327" w14:textId="77777777">
        <w:tc>
          <w:tcPr>
            <w:tcW w:w="2376" w:type="dxa"/>
          </w:tcPr>
          <w:p w14:paraId="6CB59815" w14:textId="77777777" w:rsidR="001D4E01" w:rsidRDefault="001D4E01">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Eficiencia</w:t>
            </w:r>
          </w:p>
        </w:tc>
        <w:tc>
          <w:tcPr>
            <w:tcW w:w="7125" w:type="dxa"/>
          </w:tcPr>
          <w:p w14:paraId="0D98610E" w14:textId="77777777" w:rsidR="001D4E01" w:rsidRDefault="001D4E01">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fideicomiso o patrimonio autónomo se regirá por procesos eficientes que aseguren a las partes procesos óptimos en el recibo y revelación de información, recibo de garantías y transferencia de recursos, entre los más relevantes.</w:t>
            </w:r>
          </w:p>
          <w:p w14:paraId="29D020A4" w14:textId="77777777" w:rsidR="001D4E01" w:rsidRDefault="001D4E01">
            <w:pPr>
              <w:pStyle w:val="Prrafodelista"/>
              <w:tabs>
                <w:tab w:val="left" w:pos="567"/>
              </w:tabs>
              <w:ind w:left="0"/>
              <w:jc w:val="both"/>
              <w:rPr>
                <w:rFonts w:ascii="Bookman Old Style" w:hAnsi="Bookman Old Style" w:cs="Arial"/>
                <w:color w:val="000000" w:themeColor="text1"/>
                <w:sz w:val="24"/>
                <w:szCs w:val="24"/>
              </w:rPr>
            </w:pPr>
          </w:p>
        </w:tc>
      </w:tr>
    </w:tbl>
    <w:p w14:paraId="6062C542" w14:textId="77777777" w:rsidR="001D4E01" w:rsidRDefault="001D4E01" w:rsidP="001D4E01">
      <w:pPr>
        <w:pStyle w:val="Prrafodelista"/>
        <w:tabs>
          <w:tab w:val="left" w:pos="567"/>
        </w:tabs>
        <w:ind w:left="0"/>
        <w:jc w:val="both"/>
        <w:rPr>
          <w:rFonts w:ascii="Bookman Old Style" w:hAnsi="Bookman Old Style" w:cs="Arial"/>
          <w:b/>
          <w:color w:val="000000" w:themeColor="text1"/>
          <w:sz w:val="24"/>
          <w:szCs w:val="24"/>
        </w:rPr>
      </w:pPr>
    </w:p>
    <w:p w14:paraId="483669DD" w14:textId="77777777" w:rsidR="001D4E01" w:rsidRPr="004B3B4B" w:rsidRDefault="001D4E01" w:rsidP="001D4E01">
      <w:pPr>
        <w:ind w:left="0"/>
        <w:jc w:val="both"/>
        <w:rPr>
          <w:rFonts w:ascii="Bookman Old Style" w:hAnsi="Bookman Old Style"/>
        </w:rPr>
      </w:pPr>
    </w:p>
    <w:p w14:paraId="6A882AE9" w14:textId="77777777" w:rsidR="001D4E01" w:rsidRPr="004B3B4B" w:rsidRDefault="001D4E01" w:rsidP="002D5416">
      <w:pPr>
        <w:pStyle w:val="Prrafodelista"/>
        <w:numPr>
          <w:ilvl w:val="0"/>
          <w:numId w:val="260"/>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Calidades de la sociedad fiduciaria que se utilice la para la constitución del fideicomiso o patrimonio autónomo que se constituya</w:t>
      </w:r>
    </w:p>
    <w:p w14:paraId="04E30E81" w14:textId="77777777" w:rsidR="001D4E01" w:rsidRPr="00F145B9" w:rsidRDefault="001D4E01" w:rsidP="001D4E01">
      <w:pPr>
        <w:pStyle w:val="ARTICULOS"/>
        <w:numPr>
          <w:ilvl w:val="0"/>
          <w:numId w:val="0"/>
        </w:numPr>
        <w:tabs>
          <w:tab w:val="clear" w:pos="1559"/>
          <w:tab w:val="left" w:pos="1560"/>
        </w:tabs>
        <w:rPr>
          <w:rFonts w:cs="Arial"/>
          <w:color w:val="000000"/>
          <w:lang w:val="es-CO"/>
        </w:rPr>
      </w:pPr>
    </w:p>
    <w:p w14:paraId="15B026E2" w14:textId="77777777" w:rsidR="001D4E01" w:rsidRPr="004B3B4B" w:rsidRDefault="001D4E01" w:rsidP="001D4E01">
      <w:pPr>
        <w:pStyle w:val="ARTICULOS"/>
        <w:numPr>
          <w:ilvl w:val="0"/>
          <w:numId w:val="0"/>
        </w:numPr>
        <w:tabs>
          <w:tab w:val="clear" w:pos="1559"/>
          <w:tab w:val="left" w:pos="1560"/>
        </w:tabs>
        <w:rPr>
          <w:rFonts w:cs="Arial"/>
          <w:color w:val="000000"/>
          <w:lang w:val="es-CO"/>
        </w:rPr>
      </w:pPr>
      <w:r w:rsidRPr="004B3B4B">
        <w:rPr>
          <w:rFonts w:cs="Arial"/>
          <w:color w:val="000000"/>
          <w:lang w:val="es-CO"/>
        </w:rPr>
        <w:t>La sociedad fiduciaria</w:t>
      </w:r>
      <w:r>
        <w:rPr>
          <w:rFonts w:cs="Arial"/>
          <w:color w:val="000000"/>
          <w:lang w:val="es-CO"/>
        </w:rPr>
        <w:t xml:space="preserve"> o las sociedades fiduciarias</w:t>
      </w:r>
      <w:r w:rsidRPr="004B3B4B">
        <w:rPr>
          <w:rFonts w:cs="Arial"/>
          <w:color w:val="000000"/>
          <w:lang w:val="es-CO"/>
        </w:rPr>
        <w:t xml:space="preserve"> que escoja </w:t>
      </w:r>
      <w:r>
        <w:rPr>
          <w:rFonts w:cs="Arial"/>
          <w:color w:val="000000"/>
          <w:lang w:val="es-CO"/>
        </w:rPr>
        <w:t>el gestor del mercado de gas natural</w:t>
      </w:r>
      <w:r w:rsidRPr="004B3B4B">
        <w:rPr>
          <w:rFonts w:cs="Arial"/>
          <w:color w:val="000000"/>
          <w:lang w:val="es-CO"/>
        </w:rPr>
        <w:t xml:space="preserve"> deberá</w:t>
      </w:r>
      <w:r>
        <w:rPr>
          <w:rFonts w:cs="Arial"/>
          <w:color w:val="000000"/>
          <w:lang w:val="es-CO"/>
        </w:rPr>
        <w:t>(n)</w:t>
      </w:r>
      <w:r w:rsidRPr="004B3B4B">
        <w:rPr>
          <w:rFonts w:cs="Arial"/>
          <w:color w:val="000000"/>
          <w:lang w:val="es-CO"/>
        </w:rPr>
        <w:t xml:space="preserve"> estar autorizada</w:t>
      </w:r>
      <w:r>
        <w:rPr>
          <w:rFonts w:cs="Arial"/>
          <w:color w:val="000000"/>
          <w:lang w:val="es-CO"/>
        </w:rPr>
        <w:t>(s)</w:t>
      </w:r>
      <w:r w:rsidRPr="004B3B4B">
        <w:rPr>
          <w:rFonts w:cs="Arial"/>
          <w:color w:val="000000"/>
          <w:lang w:val="es-CO"/>
        </w:rPr>
        <w:t xml:space="preserve"> por la Superintendencia Financiera de Colombia</w:t>
      </w:r>
      <w:r>
        <w:rPr>
          <w:rFonts w:cs="Arial"/>
          <w:color w:val="000000"/>
          <w:lang w:val="es-CO"/>
        </w:rPr>
        <w:t>, aspecto que deberá ser acreditado mediante el certificado de existencia y representación legal que para el efecto se expide</w:t>
      </w:r>
      <w:r w:rsidRPr="004B3B4B">
        <w:rPr>
          <w:rFonts w:cs="Arial"/>
          <w:color w:val="000000"/>
          <w:lang w:val="es-CO"/>
        </w:rPr>
        <w:t xml:space="preserve"> y deberá</w:t>
      </w:r>
      <w:r>
        <w:rPr>
          <w:rFonts w:cs="Arial"/>
          <w:color w:val="000000"/>
          <w:lang w:val="es-CO"/>
        </w:rPr>
        <w:t>(n)</w:t>
      </w:r>
      <w:r w:rsidRPr="004B3B4B">
        <w:rPr>
          <w:rFonts w:cs="Arial"/>
          <w:color w:val="000000"/>
          <w:lang w:val="es-CO"/>
        </w:rPr>
        <w:t xml:space="preserve"> comprometerse por escrito a actuar conforme a todas las disposiciones contenidas en la regulación vigente.</w:t>
      </w:r>
    </w:p>
    <w:p w14:paraId="0D5AB9F4" w14:textId="77777777" w:rsidR="001D4E01" w:rsidRPr="00606DD5" w:rsidRDefault="001D4E01" w:rsidP="0006302B">
      <w:pPr>
        <w:pStyle w:val="NormalWeb"/>
        <w:spacing w:before="0" w:beforeAutospacing="0" w:after="0" w:afterAutospacing="0"/>
        <w:jc w:val="center"/>
        <w:rPr>
          <w:rFonts w:ascii="Bookman Old Style" w:hAnsi="Bookman Old Style" w:cs="Arial"/>
          <w:b/>
          <w:bCs/>
          <w:color w:val="000000" w:themeColor="text1"/>
          <w:highlight w:val="green"/>
          <w:u w:val="single"/>
        </w:rPr>
      </w:pPr>
    </w:p>
    <w:sectPr w:rsidR="001D4E01" w:rsidRPr="00606DD5" w:rsidSect="00606DD5">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39C6" w14:textId="77777777" w:rsidR="009F11F6" w:rsidRDefault="009F11F6">
      <w:r>
        <w:separator/>
      </w:r>
    </w:p>
  </w:endnote>
  <w:endnote w:type="continuationSeparator" w:id="0">
    <w:p w14:paraId="05828942" w14:textId="77777777" w:rsidR="009F11F6" w:rsidRDefault="009F11F6">
      <w:r>
        <w:continuationSeparator/>
      </w:r>
    </w:p>
  </w:endnote>
  <w:endnote w:type="continuationNotice" w:id="1">
    <w:p w14:paraId="374E3514" w14:textId="77777777" w:rsidR="009F11F6" w:rsidRDefault="009F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7E8D" w14:textId="77777777" w:rsidR="009F11F6" w:rsidRDefault="009F11F6">
      <w:r>
        <w:separator/>
      </w:r>
    </w:p>
  </w:footnote>
  <w:footnote w:type="continuationSeparator" w:id="0">
    <w:p w14:paraId="44A1FF7A" w14:textId="77777777" w:rsidR="009F11F6" w:rsidRDefault="009F11F6">
      <w:r>
        <w:continuationSeparator/>
      </w:r>
    </w:p>
  </w:footnote>
  <w:footnote w:type="continuationNotice" w:id="1">
    <w:p w14:paraId="5291DFAD" w14:textId="77777777" w:rsidR="009F11F6" w:rsidRDefault="009F1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D04D" w14:textId="77777777" w:rsidR="004D7CFD" w:rsidRDefault="004D7CFD" w:rsidP="00951F79">
    <w:pPr>
      <w:pStyle w:val="Ttulo1"/>
      <w:ind w:right="6"/>
      <w:jc w:val="left"/>
      <w:rPr>
        <w:rFonts w:ascii="Bookman Old Style" w:hAnsi="Bookman Old Style" w:cs="Arial"/>
        <w:b w:val="0"/>
        <w:sz w:val="22"/>
        <w:szCs w:val="22"/>
      </w:rPr>
    </w:pPr>
  </w:p>
  <w:p w14:paraId="69BADC95" w14:textId="3EE7DFF1" w:rsidR="004D7CFD" w:rsidRPr="004A3987" w:rsidRDefault="00BA07D6" w:rsidP="009F4BEC">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PROYE</w:t>
    </w:r>
    <w:r w:rsidR="003F4646">
      <w:rPr>
        <w:rFonts w:ascii="Bookman Old Style" w:hAnsi="Bookman Old Style" w:cs="Arial"/>
        <w:b w:val="0"/>
        <w:sz w:val="22"/>
        <w:szCs w:val="22"/>
      </w:rPr>
      <w:t>C</w:t>
    </w:r>
    <w:r>
      <w:rPr>
        <w:rFonts w:ascii="Bookman Old Style" w:hAnsi="Bookman Old Style" w:cs="Arial"/>
        <w:b w:val="0"/>
        <w:sz w:val="22"/>
        <w:szCs w:val="22"/>
      </w:rPr>
      <w:t xml:space="preserve">TO DE </w:t>
    </w:r>
    <w:r w:rsidR="004D7CFD" w:rsidRPr="004A3987">
      <w:rPr>
        <w:rFonts w:ascii="Bookman Old Style" w:hAnsi="Bookman Old Style" w:cs="Arial"/>
        <w:b w:val="0"/>
        <w:sz w:val="22"/>
        <w:szCs w:val="22"/>
      </w:rPr>
      <w:t xml:space="preserve">RESOLUCIÓN No. </w:t>
    </w:r>
    <w:r w:rsidR="001621F7" w:rsidRPr="009132EF">
      <w:rPr>
        <w:rFonts w:ascii="Bookman Old Style" w:hAnsi="Bookman Old Style" w:cs="Arial"/>
        <w:bCs/>
        <w:szCs w:val="24"/>
        <w:u w:val="single"/>
      </w:rPr>
      <w:t>702 0</w:t>
    </w:r>
    <w:r w:rsidR="009132EF" w:rsidRPr="009132EF">
      <w:rPr>
        <w:rFonts w:ascii="Bookman Old Style" w:hAnsi="Bookman Old Style" w:cs="Arial"/>
        <w:bCs/>
        <w:szCs w:val="24"/>
        <w:u w:val="single"/>
      </w:rPr>
      <w:t>03</w:t>
    </w:r>
    <w:r w:rsidR="00744595" w:rsidRPr="005F7DB9">
      <w:rPr>
        <w:rFonts w:ascii="Bookman Old Style" w:hAnsi="Bookman Old Style" w:cs="Arial"/>
        <w:bCs/>
        <w:szCs w:val="24"/>
        <w:u w:val="single"/>
      </w:rPr>
      <w:t xml:space="preserve"> </w:t>
    </w:r>
    <w:r w:rsidR="004D7CFD" w:rsidRPr="004A3987">
      <w:rPr>
        <w:rFonts w:ascii="Bookman Old Style" w:hAnsi="Bookman Old Style" w:cs="Arial"/>
        <w:b w:val="0"/>
        <w:sz w:val="22"/>
        <w:szCs w:val="22"/>
      </w:rPr>
      <w:t>DE</w:t>
    </w:r>
    <w:r w:rsidR="00B82E72">
      <w:rPr>
        <w:rFonts w:ascii="Bookman Old Style" w:hAnsi="Bookman Old Style" w:cs="Arial"/>
        <w:b w:val="0"/>
        <w:sz w:val="22"/>
        <w:szCs w:val="22"/>
      </w:rPr>
      <w:t xml:space="preserve">  </w:t>
    </w:r>
    <w:r w:rsidR="004D7CFD" w:rsidRPr="004A3987">
      <w:rPr>
        <w:rFonts w:ascii="Bookman Old Style" w:hAnsi="Bookman Old Style" w:cs="Arial"/>
        <w:b w:val="0"/>
        <w:sz w:val="22"/>
        <w:szCs w:val="22"/>
      </w:rPr>
      <w:t xml:space="preserve"> </w:t>
    </w:r>
    <w:r w:rsidR="001621F7" w:rsidRPr="00996A90">
      <w:rPr>
        <w:rFonts w:ascii="Bookman Old Style" w:hAnsi="Bookman Old Style" w:cs="Arial"/>
        <w:bCs/>
        <w:caps/>
        <w:sz w:val="22"/>
        <w:szCs w:val="22"/>
        <w:u w:val="single"/>
      </w:rPr>
      <w:t>21 abr</w:t>
    </w:r>
    <w:r w:rsidR="001621F7" w:rsidRPr="00996A90">
      <w:rPr>
        <w:rFonts w:ascii="Bookman Old Style" w:hAnsi="Bookman Old Style" w:cs="Arial"/>
        <w:b w:val="0"/>
        <w:sz w:val="22"/>
        <w:szCs w:val="22"/>
        <w:u w:val="single"/>
      </w:rPr>
      <w:t>.</w:t>
    </w:r>
    <w:r w:rsidR="001621F7">
      <w:rPr>
        <w:rFonts w:ascii="Bookman Old Style" w:hAnsi="Bookman Old Style" w:cs="Arial"/>
        <w:b w:val="0"/>
        <w:sz w:val="22"/>
        <w:szCs w:val="22"/>
      </w:rPr>
      <w:t xml:space="preserve"> </w:t>
    </w:r>
    <w:r w:rsidR="00F65796" w:rsidRPr="00B82E72">
      <w:rPr>
        <w:rFonts w:ascii="Bookman Old Style" w:hAnsi="Bookman Old Style" w:cs="Arial"/>
        <w:bCs/>
        <w:sz w:val="22"/>
        <w:szCs w:val="22"/>
        <w:u w:val="single"/>
      </w:rPr>
      <w:t>2023</w:t>
    </w:r>
    <w:r w:rsidR="00F65796" w:rsidRPr="00B82E72">
      <w:rPr>
        <w:rFonts w:ascii="Bookman Old Style" w:hAnsi="Bookman Old Style" w:cs="Arial"/>
        <w:b w:val="0"/>
        <w:sz w:val="22"/>
        <w:szCs w:val="22"/>
      </w:rPr>
      <w:t xml:space="preserve"> </w:t>
    </w:r>
    <w:r w:rsidR="00B82E72">
      <w:rPr>
        <w:rFonts w:ascii="Bookman Old Style" w:hAnsi="Bookman Old Style" w:cs="Arial"/>
        <w:b w:val="0"/>
        <w:sz w:val="22"/>
        <w:szCs w:val="22"/>
      </w:rPr>
      <w:t xml:space="preserve">  </w:t>
    </w:r>
    <w:r w:rsidR="004D7CFD" w:rsidRPr="00B82E72">
      <w:rPr>
        <w:rFonts w:ascii="Bookman Old Style" w:hAnsi="Bookman Old Style" w:cs="Arial"/>
        <w:b w:val="0"/>
        <w:sz w:val="22"/>
        <w:szCs w:val="22"/>
      </w:rPr>
      <w:t xml:space="preserve">HOJA No. </w:t>
    </w:r>
    <w:r w:rsidR="004D7CFD" w:rsidRPr="00B82E72">
      <w:rPr>
        <w:rFonts w:ascii="Bookman Old Style" w:hAnsi="Bookman Old Style" w:cs="Arial"/>
        <w:b w:val="0"/>
        <w:sz w:val="22"/>
        <w:szCs w:val="22"/>
      </w:rPr>
      <w:fldChar w:fldCharType="begin"/>
    </w:r>
    <w:r w:rsidR="004D7CFD" w:rsidRPr="00B82E72">
      <w:rPr>
        <w:rFonts w:ascii="Bookman Old Style" w:hAnsi="Bookman Old Style" w:cs="Arial"/>
        <w:b w:val="0"/>
        <w:sz w:val="22"/>
        <w:szCs w:val="22"/>
      </w:rPr>
      <w:instrText xml:space="preserve"> PAGE   \* MERGEFORMAT </w:instrText>
    </w:r>
    <w:r w:rsidR="004D7CFD" w:rsidRPr="00B82E72">
      <w:rPr>
        <w:rFonts w:ascii="Bookman Old Style" w:hAnsi="Bookman Old Style" w:cs="Arial"/>
        <w:b w:val="0"/>
        <w:sz w:val="22"/>
        <w:szCs w:val="22"/>
      </w:rPr>
      <w:fldChar w:fldCharType="separate"/>
    </w:r>
    <w:r w:rsidR="004D7CFD" w:rsidRPr="00B82E72">
      <w:rPr>
        <w:rFonts w:ascii="Bookman Old Style" w:hAnsi="Bookman Old Style" w:cs="Arial"/>
        <w:b w:val="0"/>
        <w:noProof/>
        <w:sz w:val="22"/>
        <w:szCs w:val="22"/>
      </w:rPr>
      <w:t>49</w:t>
    </w:r>
    <w:r w:rsidR="004D7CFD" w:rsidRPr="00B82E72">
      <w:rPr>
        <w:rFonts w:ascii="Bookman Old Style" w:hAnsi="Bookman Old Style" w:cs="Arial"/>
        <w:b w:val="0"/>
        <w:sz w:val="22"/>
        <w:szCs w:val="22"/>
      </w:rPr>
      <w:fldChar w:fldCharType="end"/>
    </w:r>
    <w:r w:rsidR="004D7CFD" w:rsidRPr="00B82E72">
      <w:rPr>
        <w:rFonts w:ascii="Bookman Old Style" w:hAnsi="Bookman Old Style" w:cs="Arial"/>
        <w:b w:val="0"/>
        <w:sz w:val="22"/>
        <w:szCs w:val="22"/>
      </w:rPr>
      <w:t>/</w:t>
    </w:r>
    <w:r w:rsidR="004D7CFD" w:rsidRPr="00B82E72">
      <w:rPr>
        <w:rFonts w:ascii="Bookman Old Style" w:hAnsi="Bookman Old Style"/>
        <w:b w:val="0"/>
        <w:sz w:val="22"/>
        <w:szCs w:val="22"/>
      </w:rPr>
      <w:fldChar w:fldCharType="begin"/>
    </w:r>
    <w:r w:rsidR="004D7CFD" w:rsidRPr="00B82E72">
      <w:rPr>
        <w:rFonts w:ascii="Bookman Old Style" w:hAnsi="Bookman Old Style"/>
        <w:b w:val="0"/>
        <w:sz w:val="22"/>
        <w:szCs w:val="22"/>
      </w:rPr>
      <w:instrText xml:space="preserve"> NUMPAGES  \* MERGEFORMAT </w:instrText>
    </w:r>
    <w:r w:rsidR="004D7CFD" w:rsidRPr="00B82E72">
      <w:rPr>
        <w:rFonts w:ascii="Bookman Old Style" w:hAnsi="Bookman Old Style"/>
        <w:b w:val="0"/>
        <w:sz w:val="22"/>
        <w:szCs w:val="22"/>
      </w:rPr>
      <w:fldChar w:fldCharType="separate"/>
    </w:r>
    <w:r w:rsidR="004D7CFD" w:rsidRPr="00B82E72">
      <w:rPr>
        <w:rFonts w:ascii="Bookman Old Style" w:hAnsi="Bookman Old Style"/>
        <w:b w:val="0"/>
        <w:noProof/>
        <w:sz w:val="22"/>
        <w:szCs w:val="22"/>
      </w:rPr>
      <w:t>159</w:t>
    </w:r>
    <w:r w:rsidR="004D7CFD" w:rsidRPr="00B82E72">
      <w:rPr>
        <w:rFonts w:ascii="Bookman Old Style" w:hAnsi="Bookman Old Style"/>
        <w:b w:val="0"/>
        <w:noProof/>
        <w:sz w:val="22"/>
        <w:szCs w:val="22"/>
      </w:rPr>
      <w:fldChar w:fldCharType="end"/>
    </w:r>
  </w:p>
  <w:p w14:paraId="40AD2C53" w14:textId="4ED348C0" w:rsidR="004D7CFD" w:rsidRDefault="00C06C0D" w:rsidP="00AD01E4">
    <w:pPr>
      <w:ind w:left="142" w:right="148"/>
      <w:rPr>
        <w:rFonts w:ascii="Bookman Old Style" w:hAnsi="Bookman Old Style" w:cs="Arial"/>
      </w:rPr>
    </w:pPr>
    <w:r>
      <w:rPr>
        <w:noProof/>
      </w:rPr>
      <mc:AlternateContent>
        <mc:Choice Requires="wps">
          <w:drawing>
            <wp:anchor distT="0" distB="0" distL="114300" distR="114300" simplePos="0" relativeHeight="251658241" behindDoc="0" locked="0" layoutInCell="1" allowOverlap="1" wp14:anchorId="4D5B55A3" wp14:editId="591D29A3">
              <wp:simplePos x="0" y="0"/>
              <wp:positionH relativeFrom="column">
                <wp:posOffset>-175260</wp:posOffset>
              </wp:positionH>
              <wp:positionV relativeFrom="paragraph">
                <wp:posOffset>139065</wp:posOffset>
              </wp:positionV>
              <wp:extent cx="6267450" cy="9900920"/>
              <wp:effectExtent l="0" t="0" r="0" b="508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C7774DF" id="Rectángulo 5" o:spid="_x0000_s1026" style="position:absolute;margin-left:-13.8pt;margin-top:10.95pt;width:493.5pt;height:77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3815994" w14:textId="4244F6D9" w:rsidR="000B44BD" w:rsidRPr="003B095B" w:rsidRDefault="000B44BD" w:rsidP="00B82E72">
    <w:pPr>
      <w:pBdr>
        <w:bottom w:val="single" w:sz="4" w:space="9" w:color="auto"/>
      </w:pBdr>
      <w:spacing w:after="120"/>
      <w:ind w:left="0" w:right="51"/>
      <w:jc w:val="both"/>
      <w:rPr>
        <w:rFonts w:ascii="Bookman Old Style" w:hAnsi="Bookman Old Style"/>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F33F" w14:textId="69AF1096" w:rsidR="004D7CFD" w:rsidRDefault="00C06C0D" w:rsidP="00996A90">
    <w:pPr>
      <w:pStyle w:val="Encabezado"/>
      <w:ind w:left="0"/>
      <w:jc w:val="center"/>
    </w:pPr>
    <w:r>
      <w:rPr>
        <w:noProof/>
      </w:rPr>
      <mc:AlternateContent>
        <mc:Choice Requires="wps">
          <w:drawing>
            <wp:anchor distT="0" distB="0" distL="114300" distR="114300" simplePos="0" relativeHeight="251658240" behindDoc="0" locked="0" layoutInCell="1" allowOverlap="1" wp14:anchorId="2B3E9A2B" wp14:editId="5E4C2154">
              <wp:simplePos x="0" y="0"/>
              <wp:positionH relativeFrom="column">
                <wp:posOffset>-213360</wp:posOffset>
              </wp:positionH>
              <wp:positionV relativeFrom="paragraph">
                <wp:posOffset>377190</wp:posOffset>
              </wp:positionV>
              <wp:extent cx="6343650" cy="9839325"/>
              <wp:effectExtent l="0" t="0" r="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E0AA510" id="Rectángulo 4"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416DA4"/>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2" w15:restartNumberingAfterBreak="0">
    <w:nsid w:val="012176FB"/>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3" w15:restartNumberingAfterBreak="0">
    <w:nsid w:val="01721C3B"/>
    <w:multiLevelType w:val="hybridMultilevel"/>
    <w:tmpl w:val="F63AD2C0"/>
    <w:lvl w:ilvl="0" w:tplc="376C9D24">
      <w:numFmt w:val="bullet"/>
      <w:lvlText w:val="-"/>
      <w:lvlJc w:val="left"/>
      <w:pPr>
        <w:ind w:left="1647" w:hanging="360"/>
      </w:pPr>
      <w:rPr>
        <w:rFonts w:ascii="Bookman Old Style" w:eastAsia="Times New Roman" w:hAnsi="Bookman Old Style" w:cs="Times New Roman"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4" w15:restartNumberingAfterBreak="0">
    <w:nsid w:val="01887C6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2C14C75"/>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6" w15:restartNumberingAfterBreak="0">
    <w:nsid w:val="02DB479E"/>
    <w:multiLevelType w:val="hybridMultilevel"/>
    <w:tmpl w:val="70DE72F6"/>
    <w:lvl w:ilvl="0" w:tplc="4F12E0E0">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2F93DA8"/>
    <w:multiLevelType w:val="hybridMultilevel"/>
    <w:tmpl w:val="F11C5CC0"/>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8" w15:restartNumberingAfterBreak="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3D1126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3D411A8"/>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049B70F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 w15:restartNumberingAfterBreak="0">
    <w:nsid w:val="05414442"/>
    <w:multiLevelType w:val="hybridMultilevel"/>
    <w:tmpl w:val="BB7629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6A34C72"/>
    <w:multiLevelType w:val="hybridMultilevel"/>
    <w:tmpl w:val="3996AFB2"/>
    <w:lvl w:ilvl="0" w:tplc="CFC40B9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7514CDE"/>
    <w:multiLevelType w:val="hybridMultilevel"/>
    <w:tmpl w:val="B1129F34"/>
    <w:lvl w:ilvl="0" w:tplc="081EC7B2">
      <w:start w:val="1"/>
      <w:numFmt w:val="lowerRoman"/>
      <w:lvlText w:val="%1."/>
      <w:lvlJc w:val="left"/>
      <w:pPr>
        <w:ind w:left="1713" w:hanging="360"/>
      </w:pPr>
      <w:rPr>
        <w:rFonts w:hint="default"/>
        <w:b w:val="0"/>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 w15:restartNumberingAfterBreak="0">
    <w:nsid w:val="077130FE"/>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08031B01"/>
    <w:multiLevelType w:val="hybridMultilevel"/>
    <w:tmpl w:val="71EAB970"/>
    <w:lvl w:ilvl="0" w:tplc="92BA9678">
      <w:start w:val="1"/>
      <w:numFmt w:val="lowerLetter"/>
      <w:lvlText w:val="%1)"/>
      <w:lvlJc w:val="left"/>
      <w:pPr>
        <w:ind w:left="1068"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92164E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092D224E"/>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0A43677D"/>
    <w:multiLevelType w:val="hybridMultilevel"/>
    <w:tmpl w:val="D14251A6"/>
    <w:lvl w:ilvl="0" w:tplc="6DC815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A9C35D2"/>
    <w:multiLevelType w:val="hybridMultilevel"/>
    <w:tmpl w:val="5DC2779C"/>
    <w:lvl w:ilvl="0" w:tplc="110EB126">
      <w:start w:val="1"/>
      <w:numFmt w:val="lowerLetter"/>
      <w:lvlText w:val="%1)"/>
      <w:lvlJc w:val="left"/>
      <w:pPr>
        <w:ind w:left="1068" w:hanging="360"/>
      </w:pPr>
      <w:rPr>
        <w:rFonts w:ascii="Bookman Old Style" w:hAnsi="Bookman Old Style" w:cs="Arial" w:hint="default"/>
        <w:b w:val="0"/>
        <w:sz w:val="22"/>
        <w:szCs w:val="22"/>
      </w:rPr>
    </w:lvl>
    <w:lvl w:ilvl="1" w:tplc="0C0A0003" w:tentative="1">
      <w:start w:val="1"/>
      <w:numFmt w:val="lowerLetter"/>
      <w:lvlText w:val="%2."/>
      <w:lvlJc w:val="left"/>
      <w:pPr>
        <w:ind w:left="1788" w:hanging="360"/>
      </w:pPr>
    </w:lvl>
    <w:lvl w:ilvl="2" w:tplc="0C0A0005" w:tentative="1">
      <w:start w:val="1"/>
      <w:numFmt w:val="lowerRoman"/>
      <w:lvlText w:val="%3."/>
      <w:lvlJc w:val="right"/>
      <w:pPr>
        <w:ind w:left="2508" w:hanging="180"/>
      </w:pPr>
    </w:lvl>
    <w:lvl w:ilvl="3" w:tplc="0C0A0001" w:tentative="1">
      <w:start w:val="1"/>
      <w:numFmt w:val="decimal"/>
      <w:lvlText w:val="%4."/>
      <w:lvlJc w:val="left"/>
      <w:pPr>
        <w:ind w:left="3228" w:hanging="360"/>
      </w:pPr>
    </w:lvl>
    <w:lvl w:ilvl="4" w:tplc="0C0A0003" w:tentative="1">
      <w:start w:val="1"/>
      <w:numFmt w:val="lowerLetter"/>
      <w:lvlText w:val="%5."/>
      <w:lvlJc w:val="left"/>
      <w:pPr>
        <w:ind w:left="3948" w:hanging="360"/>
      </w:pPr>
    </w:lvl>
    <w:lvl w:ilvl="5" w:tplc="0C0A0005" w:tentative="1">
      <w:start w:val="1"/>
      <w:numFmt w:val="lowerRoman"/>
      <w:lvlText w:val="%6."/>
      <w:lvlJc w:val="right"/>
      <w:pPr>
        <w:ind w:left="4668" w:hanging="180"/>
      </w:pPr>
    </w:lvl>
    <w:lvl w:ilvl="6" w:tplc="0C0A0001" w:tentative="1">
      <w:start w:val="1"/>
      <w:numFmt w:val="decimal"/>
      <w:lvlText w:val="%7."/>
      <w:lvlJc w:val="left"/>
      <w:pPr>
        <w:ind w:left="5388" w:hanging="360"/>
      </w:pPr>
    </w:lvl>
    <w:lvl w:ilvl="7" w:tplc="0C0A0003" w:tentative="1">
      <w:start w:val="1"/>
      <w:numFmt w:val="lowerLetter"/>
      <w:lvlText w:val="%8."/>
      <w:lvlJc w:val="left"/>
      <w:pPr>
        <w:ind w:left="6108" w:hanging="360"/>
      </w:pPr>
    </w:lvl>
    <w:lvl w:ilvl="8" w:tplc="0C0A0005" w:tentative="1">
      <w:start w:val="1"/>
      <w:numFmt w:val="lowerRoman"/>
      <w:lvlText w:val="%9."/>
      <w:lvlJc w:val="right"/>
      <w:pPr>
        <w:ind w:left="6828" w:hanging="180"/>
      </w:pPr>
    </w:lvl>
  </w:abstractNum>
  <w:abstractNum w:abstractNumId="21" w15:restartNumberingAfterBreak="0">
    <w:nsid w:val="0B24056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0BA908B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0BF60A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4" w15:restartNumberingAfterBreak="0">
    <w:nsid w:val="0C596CBC"/>
    <w:multiLevelType w:val="hybridMultilevel"/>
    <w:tmpl w:val="4FB8BC0E"/>
    <w:lvl w:ilvl="0" w:tplc="DE5AB592">
      <w:start w:val="1"/>
      <w:numFmt w:val="lowerLetter"/>
      <w:lvlText w:val="%1)"/>
      <w:lvlJc w:val="left"/>
      <w:pPr>
        <w:ind w:left="502" w:hanging="360"/>
      </w:pPr>
      <w:rPr>
        <w:rFonts w:ascii="Bookman Old Style" w:hAnsi="Bookman Old Style" w:cs="Arial" w:hint="default"/>
        <w:b w:val="0"/>
        <w:sz w:val="22"/>
        <w:szCs w:val="22"/>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5" w15:restartNumberingAfterBreak="0">
    <w:nsid w:val="0C607AF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C8B64D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0C926F98"/>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0CC765B5"/>
    <w:multiLevelType w:val="hybridMultilevel"/>
    <w:tmpl w:val="339AF4D2"/>
    <w:lvl w:ilvl="0" w:tplc="DD687C5A">
      <w:start w:val="1"/>
      <w:numFmt w:val="lowerRoman"/>
      <w:lvlText w:val="%1."/>
      <w:lvlJc w:val="left"/>
      <w:pPr>
        <w:ind w:left="2277" w:hanging="360"/>
      </w:pPr>
      <w:rPr>
        <w:rFonts w:hint="default"/>
      </w:rPr>
    </w:lvl>
    <w:lvl w:ilvl="1" w:tplc="580A0019" w:tentative="1">
      <w:start w:val="1"/>
      <w:numFmt w:val="lowerLetter"/>
      <w:lvlText w:val="%2."/>
      <w:lvlJc w:val="left"/>
      <w:pPr>
        <w:ind w:left="2004" w:hanging="360"/>
      </w:pPr>
    </w:lvl>
    <w:lvl w:ilvl="2" w:tplc="580A001B" w:tentative="1">
      <w:start w:val="1"/>
      <w:numFmt w:val="lowerRoman"/>
      <w:lvlText w:val="%3."/>
      <w:lvlJc w:val="right"/>
      <w:pPr>
        <w:ind w:left="2724" w:hanging="180"/>
      </w:pPr>
    </w:lvl>
    <w:lvl w:ilvl="3" w:tplc="580A000F" w:tentative="1">
      <w:start w:val="1"/>
      <w:numFmt w:val="decimal"/>
      <w:lvlText w:val="%4."/>
      <w:lvlJc w:val="left"/>
      <w:pPr>
        <w:ind w:left="3444" w:hanging="360"/>
      </w:pPr>
    </w:lvl>
    <w:lvl w:ilvl="4" w:tplc="580A0019" w:tentative="1">
      <w:start w:val="1"/>
      <w:numFmt w:val="lowerLetter"/>
      <w:lvlText w:val="%5."/>
      <w:lvlJc w:val="left"/>
      <w:pPr>
        <w:ind w:left="4164" w:hanging="360"/>
      </w:pPr>
    </w:lvl>
    <w:lvl w:ilvl="5" w:tplc="580A001B" w:tentative="1">
      <w:start w:val="1"/>
      <w:numFmt w:val="lowerRoman"/>
      <w:lvlText w:val="%6."/>
      <w:lvlJc w:val="right"/>
      <w:pPr>
        <w:ind w:left="4884" w:hanging="180"/>
      </w:pPr>
    </w:lvl>
    <w:lvl w:ilvl="6" w:tplc="580A000F" w:tentative="1">
      <w:start w:val="1"/>
      <w:numFmt w:val="decimal"/>
      <w:lvlText w:val="%7."/>
      <w:lvlJc w:val="left"/>
      <w:pPr>
        <w:ind w:left="5604" w:hanging="360"/>
      </w:pPr>
    </w:lvl>
    <w:lvl w:ilvl="7" w:tplc="580A0019" w:tentative="1">
      <w:start w:val="1"/>
      <w:numFmt w:val="lowerLetter"/>
      <w:lvlText w:val="%8."/>
      <w:lvlJc w:val="left"/>
      <w:pPr>
        <w:ind w:left="6324" w:hanging="360"/>
      </w:pPr>
    </w:lvl>
    <w:lvl w:ilvl="8" w:tplc="580A001B" w:tentative="1">
      <w:start w:val="1"/>
      <w:numFmt w:val="lowerRoman"/>
      <w:lvlText w:val="%9."/>
      <w:lvlJc w:val="right"/>
      <w:pPr>
        <w:ind w:left="7044" w:hanging="180"/>
      </w:pPr>
    </w:lvl>
  </w:abstractNum>
  <w:abstractNum w:abstractNumId="29" w15:restartNumberingAfterBreak="0">
    <w:nsid w:val="0D0A6233"/>
    <w:multiLevelType w:val="hybridMultilevel"/>
    <w:tmpl w:val="A26EDD4E"/>
    <w:lvl w:ilvl="0" w:tplc="7784650A">
      <w:start w:val="7"/>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0D970DA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15:restartNumberingAfterBreak="0">
    <w:nsid w:val="0E9924DF"/>
    <w:multiLevelType w:val="hybridMultilevel"/>
    <w:tmpl w:val="59E4E3DC"/>
    <w:lvl w:ilvl="0" w:tplc="00EA6CFA">
      <w:start w:val="5"/>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0F956CCA"/>
    <w:multiLevelType w:val="hybridMultilevel"/>
    <w:tmpl w:val="3996AFB2"/>
    <w:lvl w:ilvl="0" w:tplc="CFC40B98">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FD8777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100842A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15:restartNumberingAfterBreak="0">
    <w:nsid w:val="106B1E61"/>
    <w:multiLevelType w:val="hybridMultilevel"/>
    <w:tmpl w:val="D8306BB4"/>
    <w:lvl w:ilvl="0" w:tplc="104EFEAA">
      <w:start w:val="1"/>
      <w:numFmt w:val="lowerRoman"/>
      <w:lvlText w:val="%1."/>
      <w:lvlJc w:val="left"/>
      <w:pPr>
        <w:ind w:left="1495" w:hanging="360"/>
      </w:pPr>
      <w:rPr>
        <w:rFonts w:hint="default"/>
      </w:rPr>
    </w:lvl>
    <w:lvl w:ilvl="1" w:tplc="240A0001">
      <w:start w:val="1"/>
      <w:numFmt w:val="bullet"/>
      <w:lvlText w:val=""/>
      <w:lvlJc w:val="left"/>
      <w:pPr>
        <w:ind w:left="2215" w:hanging="360"/>
      </w:pPr>
      <w:rPr>
        <w:rFonts w:ascii="Symbol" w:hAnsi="Symbol" w:hint="default"/>
      </w:r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36" w15:restartNumberingAfterBreak="0">
    <w:nsid w:val="10ED7EC6"/>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1122799E"/>
    <w:multiLevelType w:val="hybridMultilevel"/>
    <w:tmpl w:val="1C58C3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115D4673"/>
    <w:multiLevelType w:val="hybridMultilevel"/>
    <w:tmpl w:val="14544990"/>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11D5400D"/>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128C432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12A4495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2" w15:restartNumberingAfterBreak="0">
    <w:nsid w:val="12B30AE3"/>
    <w:multiLevelType w:val="hybridMultilevel"/>
    <w:tmpl w:val="E3C83616"/>
    <w:lvl w:ilvl="0" w:tplc="5EB23BF6">
      <w:start w:val="1"/>
      <w:numFmt w:val="decimal"/>
      <w:lvlText w:val="%1."/>
      <w:lvlJc w:val="left"/>
      <w:pPr>
        <w:ind w:left="360" w:hanging="360"/>
      </w:pPr>
      <w:rPr>
        <w:rFonts w:ascii="Bookman Old Style" w:hAnsi="Bookman Old Style"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131A6DC2"/>
    <w:multiLevelType w:val="hybridMultilevel"/>
    <w:tmpl w:val="DB06FEC4"/>
    <w:lvl w:ilvl="0" w:tplc="026ADEBA">
      <w:start w:val="11"/>
      <w:numFmt w:val="lowerRoman"/>
      <w:lvlText w:val="%1."/>
      <w:lvlJc w:val="left"/>
      <w:pPr>
        <w:ind w:left="171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138B623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5" w15:restartNumberingAfterBreak="0">
    <w:nsid w:val="144F517A"/>
    <w:multiLevelType w:val="hybridMultilevel"/>
    <w:tmpl w:val="0C545B54"/>
    <w:lvl w:ilvl="0" w:tplc="F0F6D7B6">
      <w:start w:val="1"/>
      <w:numFmt w:val="decimal"/>
      <w:lvlText w:val="%1."/>
      <w:lvlJc w:val="left"/>
      <w:pPr>
        <w:ind w:left="0" w:firstLine="0"/>
      </w:pPr>
      <w:rPr>
        <w:rFonts w:ascii="Bookman Old Style" w:hAnsi="Bookman Old Style" w:hint="default"/>
        <w:b/>
        <w:i w:val="0"/>
        <w:sz w:val="24"/>
      </w:rPr>
    </w:lvl>
    <w:lvl w:ilvl="1" w:tplc="88686A40">
      <w:start w:val="1"/>
      <w:numFmt w:val="lowerLetter"/>
      <w:lvlText w:val="%2."/>
      <w:lvlJc w:val="left"/>
      <w:pPr>
        <w:ind w:left="1440" w:hanging="360"/>
      </w:pPr>
      <w:rPr>
        <w:rFonts w:ascii="Bookman Old Style" w:hAnsi="Bookman Old Style" w:hint="default"/>
        <w:sz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14966A66"/>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47" w15:restartNumberingAfterBreak="0">
    <w:nsid w:val="14C74742"/>
    <w:multiLevelType w:val="hybridMultilevel"/>
    <w:tmpl w:val="3C142D54"/>
    <w:lvl w:ilvl="0" w:tplc="240A0017">
      <w:start w:val="1"/>
      <w:numFmt w:val="lowerLetter"/>
      <w:lvlText w:val="%1)"/>
      <w:lvlJc w:val="left"/>
      <w:pPr>
        <w:ind w:left="1068" w:hanging="360"/>
      </w:pPr>
      <w:rPr>
        <w:rFonts w:hint="default"/>
        <w:b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8" w15:restartNumberingAfterBreak="0">
    <w:nsid w:val="16987B7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176A7317"/>
    <w:multiLevelType w:val="hybridMultilevel"/>
    <w:tmpl w:val="994A24C2"/>
    <w:lvl w:ilvl="0" w:tplc="D736B124">
      <w:start w:val="1"/>
      <w:numFmt w:val="decimal"/>
      <w:lvlText w:val="%1."/>
      <w:lvlJc w:val="left"/>
      <w:rPr>
        <w:rFonts w:ascii="Bookman Old Style" w:hAnsi="Bookman Old Style" w:hint="default"/>
        <w:b/>
        <w:i w:val="0"/>
        <w:sz w:val="24"/>
      </w:rPr>
    </w:lvl>
    <w:lvl w:ilvl="1" w:tplc="240A0019">
      <w:start w:val="1"/>
      <w:numFmt w:val="lowerLetter"/>
      <w:lvlText w:val="%2."/>
      <w:lvlJc w:val="left"/>
      <w:pPr>
        <w:ind w:left="1789" w:hanging="360"/>
      </w:pPr>
    </w:lvl>
    <w:lvl w:ilvl="2" w:tplc="5C5233F0">
      <w:start w:val="1"/>
      <w:numFmt w:val="lowerRoman"/>
      <w:lvlText w:val="%3."/>
      <w:lvlJc w:val="right"/>
      <w:pPr>
        <w:ind w:left="2509" w:hanging="180"/>
      </w:pPr>
      <w:rPr>
        <w:rFonts w:ascii="Bookman Old Style" w:hAnsi="Bookman Old Style" w:hint="default"/>
        <w:strike w:val="0"/>
        <w:dstrike w:val="0"/>
        <w:sz w:val="24"/>
        <w:szCs w:val="24"/>
      </w:rPr>
    </w:lvl>
    <w:lvl w:ilvl="3" w:tplc="1A00B52E">
      <w:start w:val="10"/>
      <w:numFmt w:val="lowerRoman"/>
      <w:lvlText w:val="%4)"/>
      <w:lvlJc w:val="left"/>
      <w:pPr>
        <w:ind w:left="3589" w:hanging="720"/>
      </w:pPr>
      <w:rPr>
        <w:rFonts w:hint="default"/>
      </w:rPr>
    </w:lvl>
    <w:lvl w:ilvl="4" w:tplc="8894F55E">
      <w:start w:val="1"/>
      <w:numFmt w:val="lowerLetter"/>
      <w:lvlText w:val="%5.)"/>
      <w:lvlJc w:val="left"/>
      <w:pPr>
        <w:ind w:left="4024" w:hanging="435"/>
      </w:pPr>
      <w:rPr>
        <w:rFonts w:hint="default"/>
      </w:r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0" w15:restartNumberingAfterBreak="0">
    <w:nsid w:val="18150025"/>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51" w15:restartNumberingAfterBreak="0">
    <w:nsid w:val="187E3F7C"/>
    <w:multiLevelType w:val="hybridMultilevel"/>
    <w:tmpl w:val="700299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18AD5E3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3" w15:restartNumberingAfterBreak="0">
    <w:nsid w:val="1A76491B"/>
    <w:multiLevelType w:val="multilevel"/>
    <w:tmpl w:val="AD0C1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1ACB083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5" w15:restartNumberingAfterBreak="0">
    <w:nsid w:val="1AD061E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6" w15:restartNumberingAfterBreak="0">
    <w:nsid w:val="1BCE6C2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57" w15:restartNumberingAfterBreak="0">
    <w:nsid w:val="1BDA2EF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1C8E1C44"/>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9" w15:restartNumberingAfterBreak="0">
    <w:nsid w:val="1C97738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0" w15:restartNumberingAfterBreak="0">
    <w:nsid w:val="1D79750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1" w15:restartNumberingAfterBreak="0">
    <w:nsid w:val="1DA4483B"/>
    <w:multiLevelType w:val="hybridMultilevel"/>
    <w:tmpl w:val="AB661868"/>
    <w:lvl w:ilvl="0" w:tplc="376C9D24">
      <w:numFmt w:val="bullet"/>
      <w:lvlText w:val="-"/>
      <w:lvlJc w:val="left"/>
      <w:pPr>
        <w:ind w:left="2367" w:hanging="360"/>
      </w:pPr>
      <w:rPr>
        <w:rFonts w:ascii="Bookman Old Style" w:eastAsia="Times New Roman" w:hAnsi="Bookman Old Style" w:cs="Times New Roman" w:hint="default"/>
      </w:rPr>
    </w:lvl>
    <w:lvl w:ilvl="1" w:tplc="580A0003" w:tentative="1">
      <w:start w:val="1"/>
      <w:numFmt w:val="bullet"/>
      <w:lvlText w:val="o"/>
      <w:lvlJc w:val="left"/>
      <w:pPr>
        <w:ind w:left="3087" w:hanging="360"/>
      </w:pPr>
      <w:rPr>
        <w:rFonts w:ascii="Courier New" w:hAnsi="Courier New" w:cs="Courier New" w:hint="default"/>
      </w:rPr>
    </w:lvl>
    <w:lvl w:ilvl="2" w:tplc="580A0005" w:tentative="1">
      <w:start w:val="1"/>
      <w:numFmt w:val="bullet"/>
      <w:lvlText w:val=""/>
      <w:lvlJc w:val="left"/>
      <w:pPr>
        <w:ind w:left="3807" w:hanging="360"/>
      </w:pPr>
      <w:rPr>
        <w:rFonts w:ascii="Wingdings" w:hAnsi="Wingdings" w:hint="default"/>
      </w:rPr>
    </w:lvl>
    <w:lvl w:ilvl="3" w:tplc="580A0001" w:tentative="1">
      <w:start w:val="1"/>
      <w:numFmt w:val="bullet"/>
      <w:lvlText w:val=""/>
      <w:lvlJc w:val="left"/>
      <w:pPr>
        <w:ind w:left="4527" w:hanging="360"/>
      </w:pPr>
      <w:rPr>
        <w:rFonts w:ascii="Symbol" w:hAnsi="Symbol" w:hint="default"/>
      </w:rPr>
    </w:lvl>
    <w:lvl w:ilvl="4" w:tplc="580A0003" w:tentative="1">
      <w:start w:val="1"/>
      <w:numFmt w:val="bullet"/>
      <w:lvlText w:val="o"/>
      <w:lvlJc w:val="left"/>
      <w:pPr>
        <w:ind w:left="5247" w:hanging="360"/>
      </w:pPr>
      <w:rPr>
        <w:rFonts w:ascii="Courier New" w:hAnsi="Courier New" w:cs="Courier New" w:hint="default"/>
      </w:rPr>
    </w:lvl>
    <w:lvl w:ilvl="5" w:tplc="580A0005" w:tentative="1">
      <w:start w:val="1"/>
      <w:numFmt w:val="bullet"/>
      <w:lvlText w:val=""/>
      <w:lvlJc w:val="left"/>
      <w:pPr>
        <w:ind w:left="5967" w:hanging="360"/>
      </w:pPr>
      <w:rPr>
        <w:rFonts w:ascii="Wingdings" w:hAnsi="Wingdings" w:hint="default"/>
      </w:rPr>
    </w:lvl>
    <w:lvl w:ilvl="6" w:tplc="580A0001" w:tentative="1">
      <w:start w:val="1"/>
      <w:numFmt w:val="bullet"/>
      <w:lvlText w:val=""/>
      <w:lvlJc w:val="left"/>
      <w:pPr>
        <w:ind w:left="6687" w:hanging="360"/>
      </w:pPr>
      <w:rPr>
        <w:rFonts w:ascii="Symbol" w:hAnsi="Symbol" w:hint="default"/>
      </w:rPr>
    </w:lvl>
    <w:lvl w:ilvl="7" w:tplc="580A0003" w:tentative="1">
      <w:start w:val="1"/>
      <w:numFmt w:val="bullet"/>
      <w:lvlText w:val="o"/>
      <w:lvlJc w:val="left"/>
      <w:pPr>
        <w:ind w:left="7407" w:hanging="360"/>
      </w:pPr>
      <w:rPr>
        <w:rFonts w:ascii="Courier New" w:hAnsi="Courier New" w:cs="Courier New" w:hint="default"/>
      </w:rPr>
    </w:lvl>
    <w:lvl w:ilvl="8" w:tplc="580A0005" w:tentative="1">
      <w:start w:val="1"/>
      <w:numFmt w:val="bullet"/>
      <w:lvlText w:val=""/>
      <w:lvlJc w:val="left"/>
      <w:pPr>
        <w:ind w:left="8127" w:hanging="360"/>
      </w:pPr>
      <w:rPr>
        <w:rFonts w:ascii="Wingdings" w:hAnsi="Wingdings" w:hint="default"/>
      </w:rPr>
    </w:lvl>
  </w:abstractNum>
  <w:abstractNum w:abstractNumId="62" w15:restartNumberingAfterBreak="0">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3" w15:restartNumberingAfterBreak="0">
    <w:nsid w:val="1E641EA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4" w15:restartNumberingAfterBreak="0">
    <w:nsid w:val="1E845EA7"/>
    <w:multiLevelType w:val="hybridMultilevel"/>
    <w:tmpl w:val="04EE93B8"/>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5" w15:restartNumberingAfterBreak="0">
    <w:nsid w:val="1F734491"/>
    <w:multiLevelType w:val="hybridMultilevel"/>
    <w:tmpl w:val="420AFB32"/>
    <w:lvl w:ilvl="0" w:tplc="3F7E0FEC">
      <w:start w:val="1"/>
      <w:numFmt w:val="lowerRoman"/>
      <w:lvlText w:val="%1."/>
      <w:lvlJc w:val="left"/>
      <w:pPr>
        <w:ind w:left="1713" w:hanging="360"/>
      </w:pPr>
      <w:rPr>
        <w:rFonts w:hint="default"/>
        <w:sz w:val="24"/>
        <w:szCs w:val="24"/>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6" w15:restartNumberingAfterBreak="0">
    <w:nsid w:val="1F7E5BD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67" w15:restartNumberingAfterBreak="0">
    <w:nsid w:val="1F8744E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8" w15:restartNumberingAfterBreak="0">
    <w:nsid w:val="1FD90259"/>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9" w15:restartNumberingAfterBreak="0">
    <w:nsid w:val="20192802"/>
    <w:multiLevelType w:val="multilevel"/>
    <w:tmpl w:val="D32E077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20226980"/>
    <w:multiLevelType w:val="multilevel"/>
    <w:tmpl w:val="44D86BC2"/>
    <w:lvl w:ilvl="0">
      <w:start w:val="1"/>
      <w:numFmt w:val="decimal"/>
      <w:lvlText w:val="%1."/>
      <w:lvlJc w:val="left"/>
      <w:pPr>
        <w:ind w:left="360" w:hanging="360"/>
      </w:pPr>
      <w:rPr>
        <w:rFonts w:hint="default"/>
      </w:rPr>
    </w:lvl>
    <w:lvl w:ilvl="1">
      <w:start w:val="1"/>
      <w:numFmt w:val="decimal"/>
      <w:isLgl/>
      <w:lvlText w:val="%1.%2."/>
      <w:lvlJc w:val="left"/>
      <w:pPr>
        <w:ind w:left="1070" w:hanging="720"/>
      </w:pPr>
      <w:rPr>
        <w:rFonts w:hint="default"/>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sz w:val="24"/>
        <w:szCs w:val="24"/>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1" w15:restartNumberingAfterBreak="0">
    <w:nsid w:val="20424BC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207E435C"/>
    <w:multiLevelType w:val="hybridMultilevel"/>
    <w:tmpl w:val="3C142D54"/>
    <w:lvl w:ilvl="0" w:tplc="240A0017">
      <w:start w:val="1"/>
      <w:numFmt w:val="lowerLetter"/>
      <w:lvlText w:val="%1)"/>
      <w:lvlJc w:val="left"/>
      <w:pPr>
        <w:ind w:left="1419" w:hanging="360"/>
      </w:pPr>
      <w:rPr>
        <w:rFonts w:hint="default"/>
        <w:b w:val="0"/>
      </w:rPr>
    </w:lvl>
    <w:lvl w:ilvl="1" w:tplc="240A0019" w:tentative="1">
      <w:start w:val="1"/>
      <w:numFmt w:val="lowerLetter"/>
      <w:lvlText w:val="%2."/>
      <w:lvlJc w:val="left"/>
      <w:pPr>
        <w:ind w:left="2705" w:hanging="360"/>
      </w:pPr>
    </w:lvl>
    <w:lvl w:ilvl="2" w:tplc="240A001B" w:tentative="1">
      <w:start w:val="1"/>
      <w:numFmt w:val="lowerRoman"/>
      <w:lvlText w:val="%3."/>
      <w:lvlJc w:val="right"/>
      <w:pPr>
        <w:ind w:left="3425" w:hanging="180"/>
      </w:pPr>
    </w:lvl>
    <w:lvl w:ilvl="3" w:tplc="240A000F" w:tentative="1">
      <w:start w:val="1"/>
      <w:numFmt w:val="decimal"/>
      <w:lvlText w:val="%4."/>
      <w:lvlJc w:val="left"/>
      <w:pPr>
        <w:ind w:left="4145" w:hanging="360"/>
      </w:pPr>
    </w:lvl>
    <w:lvl w:ilvl="4" w:tplc="240A0019" w:tentative="1">
      <w:start w:val="1"/>
      <w:numFmt w:val="lowerLetter"/>
      <w:lvlText w:val="%5."/>
      <w:lvlJc w:val="left"/>
      <w:pPr>
        <w:ind w:left="4865" w:hanging="360"/>
      </w:pPr>
    </w:lvl>
    <w:lvl w:ilvl="5" w:tplc="240A001B" w:tentative="1">
      <w:start w:val="1"/>
      <w:numFmt w:val="lowerRoman"/>
      <w:lvlText w:val="%6."/>
      <w:lvlJc w:val="right"/>
      <w:pPr>
        <w:ind w:left="5585" w:hanging="180"/>
      </w:pPr>
    </w:lvl>
    <w:lvl w:ilvl="6" w:tplc="240A000F" w:tentative="1">
      <w:start w:val="1"/>
      <w:numFmt w:val="decimal"/>
      <w:lvlText w:val="%7."/>
      <w:lvlJc w:val="left"/>
      <w:pPr>
        <w:ind w:left="6305" w:hanging="360"/>
      </w:pPr>
    </w:lvl>
    <w:lvl w:ilvl="7" w:tplc="240A0019" w:tentative="1">
      <w:start w:val="1"/>
      <w:numFmt w:val="lowerLetter"/>
      <w:lvlText w:val="%8."/>
      <w:lvlJc w:val="left"/>
      <w:pPr>
        <w:ind w:left="7025" w:hanging="360"/>
      </w:pPr>
    </w:lvl>
    <w:lvl w:ilvl="8" w:tplc="240A001B" w:tentative="1">
      <w:start w:val="1"/>
      <w:numFmt w:val="lowerRoman"/>
      <w:lvlText w:val="%9."/>
      <w:lvlJc w:val="right"/>
      <w:pPr>
        <w:ind w:left="7745" w:hanging="180"/>
      </w:pPr>
    </w:lvl>
  </w:abstractNum>
  <w:abstractNum w:abstractNumId="73" w15:restartNumberingAfterBreak="0">
    <w:nsid w:val="2119000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4" w15:restartNumberingAfterBreak="0">
    <w:nsid w:val="22AC633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5" w15:restartNumberingAfterBreak="0">
    <w:nsid w:val="233732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6" w15:restartNumberingAfterBreak="0">
    <w:nsid w:val="24B15A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7" w15:restartNumberingAfterBreak="0">
    <w:nsid w:val="24BB51BE"/>
    <w:multiLevelType w:val="multilevel"/>
    <w:tmpl w:val="74F0A7D2"/>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24C41E32"/>
    <w:multiLevelType w:val="hybridMultilevel"/>
    <w:tmpl w:val="79BA6FE8"/>
    <w:lvl w:ilvl="0" w:tplc="104EFEAA">
      <w:start w:val="1"/>
      <w:numFmt w:val="lowerRoman"/>
      <w:lvlText w:val="%1."/>
      <w:lvlJc w:val="left"/>
      <w:pPr>
        <w:ind w:left="1211"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79" w15:restartNumberingAfterBreak="0">
    <w:nsid w:val="25381326"/>
    <w:multiLevelType w:val="hybridMultilevel"/>
    <w:tmpl w:val="7B3405D6"/>
    <w:lvl w:ilvl="0" w:tplc="64244B1E">
      <w:start w:val="1"/>
      <w:numFmt w:val="lowerRoman"/>
      <w:lvlText w:val="%1."/>
      <w:lvlJc w:val="left"/>
      <w:pPr>
        <w:ind w:left="171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25E32C1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1" w15:restartNumberingAfterBreak="0">
    <w:nsid w:val="25E744A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2" w15:restartNumberingAfterBreak="0">
    <w:nsid w:val="26471C5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3" w15:restartNumberingAfterBreak="0">
    <w:nsid w:val="265672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4" w15:restartNumberingAfterBreak="0">
    <w:nsid w:val="27534AD3"/>
    <w:multiLevelType w:val="hybridMultilevel"/>
    <w:tmpl w:val="09428884"/>
    <w:lvl w:ilvl="0" w:tplc="A71C8DA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85" w15:restartNumberingAfterBreak="0">
    <w:nsid w:val="27B3289F"/>
    <w:multiLevelType w:val="hybridMultilevel"/>
    <w:tmpl w:val="3C142D54"/>
    <w:lvl w:ilvl="0" w:tplc="240A0017">
      <w:start w:val="1"/>
      <w:numFmt w:val="lowerLetter"/>
      <w:lvlText w:val="%1)"/>
      <w:lvlJc w:val="left"/>
      <w:pPr>
        <w:ind w:left="1068" w:hanging="360"/>
      </w:pPr>
      <w:rPr>
        <w:rFonts w:hint="default"/>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6" w15:restartNumberingAfterBreak="0">
    <w:nsid w:val="287A121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7" w15:restartNumberingAfterBreak="0">
    <w:nsid w:val="28D76A09"/>
    <w:multiLevelType w:val="hybridMultilevel"/>
    <w:tmpl w:val="5DF887D0"/>
    <w:lvl w:ilvl="0" w:tplc="E3C825AA">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15:restartNumberingAfterBreak="0">
    <w:nsid w:val="29E57F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89" w15:restartNumberingAfterBreak="0">
    <w:nsid w:val="2A17657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0" w15:restartNumberingAfterBreak="0">
    <w:nsid w:val="2A2466C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1" w15:restartNumberingAfterBreak="0">
    <w:nsid w:val="2A6C19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2" w15:restartNumberingAfterBreak="0">
    <w:nsid w:val="2AA11C0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3" w15:restartNumberingAfterBreak="0">
    <w:nsid w:val="2B244DB6"/>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4" w15:restartNumberingAfterBreak="0">
    <w:nsid w:val="2B342449"/>
    <w:multiLevelType w:val="hybridMultilevel"/>
    <w:tmpl w:val="693C9506"/>
    <w:lvl w:ilvl="0" w:tplc="088054F8">
      <w:start w:val="1"/>
      <w:numFmt w:val="lowerLetter"/>
      <w:lvlText w:val="%1)"/>
      <w:lvlJc w:val="left"/>
      <w:pPr>
        <w:ind w:left="2007"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86A138">
      <w:start w:val="1"/>
      <w:numFmt w:val="lowerRoman"/>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2B686471"/>
    <w:multiLevelType w:val="hybridMultilevel"/>
    <w:tmpl w:val="04603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BC259B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97" w15:restartNumberingAfterBreak="0">
    <w:nsid w:val="2BCF60C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8" w15:restartNumberingAfterBreak="0">
    <w:nsid w:val="2CDA5F4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9" w15:restartNumberingAfterBreak="0">
    <w:nsid w:val="2DD91FD1"/>
    <w:multiLevelType w:val="hybridMultilevel"/>
    <w:tmpl w:val="4E464F5E"/>
    <w:lvl w:ilvl="0" w:tplc="B390538E">
      <w:start w:val="1"/>
      <w:numFmt w:val="lowerRoman"/>
      <w:lvlText w:val="%1)"/>
      <w:lvlJc w:val="left"/>
      <w:pPr>
        <w:ind w:left="1647" w:hanging="720"/>
      </w:pPr>
      <w:rPr>
        <w:rFonts w:hint="default"/>
      </w:rPr>
    </w:lvl>
    <w:lvl w:ilvl="1" w:tplc="088054F8">
      <w:start w:val="1"/>
      <w:numFmt w:val="lowerLetter"/>
      <w:lvlText w:val="%2)"/>
      <w:lvlJc w:val="left"/>
      <w:pPr>
        <w:ind w:left="2007" w:hanging="360"/>
      </w:pPr>
      <w:rPr>
        <w:sz w:val="24"/>
        <w:szCs w:val="24"/>
      </w:rPr>
    </w:lvl>
    <w:lvl w:ilvl="2" w:tplc="B90C9BD2">
      <w:start w:val="1"/>
      <w:numFmt w:val="lowerRoman"/>
      <w:lvlText w:val="%3."/>
      <w:lvlJc w:val="left"/>
      <w:pPr>
        <w:ind w:left="3267" w:hanging="720"/>
      </w:pPr>
      <w:rPr>
        <w:rFonts w:hint="default"/>
      </w:rPr>
    </w:lvl>
    <w:lvl w:ilvl="3" w:tplc="2EB4F888">
      <w:start w:val="1"/>
      <w:numFmt w:val="decimal"/>
      <w:lvlText w:val="%4."/>
      <w:lvlJc w:val="left"/>
      <w:pPr>
        <w:ind w:left="3447" w:hanging="360"/>
      </w:pPr>
      <w:rPr>
        <w:rFonts w:hint="default"/>
        <w:b w:val="0"/>
      </w:r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0" w15:restartNumberingAfterBreak="0">
    <w:nsid w:val="2EA10051"/>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1" w15:restartNumberingAfterBreak="0">
    <w:nsid w:val="2EDA10ED"/>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2" w15:restartNumberingAfterBreak="0">
    <w:nsid w:val="2FED492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3" w15:restartNumberingAfterBreak="0">
    <w:nsid w:val="30AE2CE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4" w15:restartNumberingAfterBreak="0">
    <w:nsid w:val="31402B18"/>
    <w:multiLevelType w:val="hybridMultilevel"/>
    <w:tmpl w:val="09FED412"/>
    <w:lvl w:ilvl="0" w:tplc="D6341946">
      <w:start w:val="1"/>
      <w:numFmt w:val="lowerLetter"/>
      <w:lvlText w:val="%1)"/>
      <w:lvlJc w:val="left"/>
      <w:pPr>
        <w:ind w:left="1713"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5" w15:restartNumberingAfterBreak="0">
    <w:nsid w:val="317637BB"/>
    <w:multiLevelType w:val="hybridMultilevel"/>
    <w:tmpl w:val="874CDCFE"/>
    <w:lvl w:ilvl="0" w:tplc="430E0418">
      <w:start w:val="1"/>
      <w:numFmt w:val="lowerLetter"/>
      <w:lvlText w:val="%1)"/>
      <w:lvlJc w:val="left"/>
      <w:pPr>
        <w:ind w:left="786"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6" w15:restartNumberingAfterBreak="0">
    <w:nsid w:val="31E97757"/>
    <w:multiLevelType w:val="hybridMultilevel"/>
    <w:tmpl w:val="E3A4970C"/>
    <w:lvl w:ilvl="0" w:tplc="2D9ACDCE">
      <w:start w:val="1"/>
      <w:numFmt w:val="lowerLetter"/>
      <w:lvlText w:val="%1)"/>
      <w:lvlJc w:val="left"/>
      <w:pPr>
        <w:ind w:left="1287" w:hanging="360"/>
      </w:pPr>
      <w:rPr>
        <w:rFonts w:ascii="Bookman Old Style" w:eastAsia="Times New Roman" w:hAnsi="Bookman Old Style" w:cs="Times New Roman" w:hint="default"/>
        <w:b w:val="0"/>
        <w:sz w:val="24"/>
        <w:szCs w:val="24"/>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7" w15:restartNumberingAfterBreak="0">
    <w:nsid w:val="32EB13B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8" w15:restartNumberingAfterBreak="0">
    <w:nsid w:val="33515CA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9" w15:restartNumberingAfterBreak="0">
    <w:nsid w:val="33B604F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0" w15:restartNumberingAfterBreak="0">
    <w:nsid w:val="351B1500"/>
    <w:multiLevelType w:val="multilevel"/>
    <w:tmpl w:val="CD34E8C6"/>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1" w15:restartNumberingAfterBreak="0">
    <w:nsid w:val="352C1B41"/>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2" w15:restartNumberingAfterBreak="0">
    <w:nsid w:val="366E4833"/>
    <w:multiLevelType w:val="hybridMultilevel"/>
    <w:tmpl w:val="C6E4CC8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3" w15:restartNumberingAfterBreak="0">
    <w:nsid w:val="37237EF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4" w15:restartNumberingAfterBreak="0">
    <w:nsid w:val="37520067"/>
    <w:multiLevelType w:val="multilevel"/>
    <w:tmpl w:val="F4CE321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399D0A7A"/>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6" w15:restartNumberingAfterBreak="0">
    <w:nsid w:val="3A382A0B"/>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7" w15:restartNumberingAfterBreak="0">
    <w:nsid w:val="3A7B3C59"/>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18" w15:restartNumberingAfterBreak="0">
    <w:nsid w:val="3B445180"/>
    <w:multiLevelType w:val="multilevel"/>
    <w:tmpl w:val="E7BA57A2"/>
    <w:lvl w:ilvl="0">
      <w:start w:val="1"/>
      <w:numFmt w:val="decimal"/>
      <w:lvlText w:val="%1"/>
      <w:lvlJc w:val="left"/>
      <w:pPr>
        <w:ind w:left="398" w:hanging="398"/>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9" w15:restartNumberingAfterBreak="0">
    <w:nsid w:val="3B7376C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0" w15:restartNumberingAfterBreak="0">
    <w:nsid w:val="3B8D4DB7"/>
    <w:multiLevelType w:val="hybridMultilevel"/>
    <w:tmpl w:val="3DAE90E2"/>
    <w:lvl w:ilvl="0" w:tplc="1F8ECDF2">
      <w:start w:val="1"/>
      <w:numFmt w:val="lowerRoman"/>
      <w:lvlText w:val="%1)"/>
      <w:lvlJc w:val="right"/>
      <w:pPr>
        <w:ind w:left="1854" w:hanging="360"/>
      </w:pPr>
      <w:rPr>
        <w:rFonts w:hint="default"/>
      </w:r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21" w15:restartNumberingAfterBreak="0">
    <w:nsid w:val="3BF31F84"/>
    <w:multiLevelType w:val="hybridMultilevel"/>
    <w:tmpl w:val="B98E0C86"/>
    <w:lvl w:ilvl="0" w:tplc="E1809A2C">
      <w:start w:val="1"/>
      <w:numFmt w:val="bullet"/>
      <w:lvlText w:val=""/>
      <w:lvlJc w:val="left"/>
      <w:pPr>
        <w:ind w:left="1287" w:hanging="360"/>
      </w:pPr>
      <w:rPr>
        <w:rFonts w:ascii="Symbol" w:hAnsi="Symbol" w:hint="default"/>
        <w:lang w:val="es-ES"/>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2" w15:restartNumberingAfterBreak="0">
    <w:nsid w:val="3C10696D"/>
    <w:multiLevelType w:val="multilevel"/>
    <w:tmpl w:val="B726B85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3" w15:restartNumberingAfterBreak="0">
    <w:nsid w:val="3C3C0C1B"/>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4" w15:restartNumberingAfterBreak="0">
    <w:nsid w:val="3C73549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5" w15:restartNumberingAfterBreak="0">
    <w:nsid w:val="3D0D60E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6" w15:restartNumberingAfterBreak="0">
    <w:nsid w:val="3DC032D9"/>
    <w:multiLevelType w:val="multilevel"/>
    <w:tmpl w:val="C25CD4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7" w15:restartNumberingAfterBreak="0">
    <w:nsid w:val="3E341EE2"/>
    <w:multiLevelType w:val="hybridMultilevel"/>
    <w:tmpl w:val="D50CAD06"/>
    <w:lvl w:ilvl="0" w:tplc="1A7084C6">
      <w:start w:val="1"/>
      <w:numFmt w:val="lowerRoman"/>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8" w15:restartNumberingAfterBreak="0">
    <w:nsid w:val="3EA33AC9"/>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29" w15:restartNumberingAfterBreak="0">
    <w:nsid w:val="3EF80072"/>
    <w:multiLevelType w:val="hybridMultilevel"/>
    <w:tmpl w:val="4E986BB2"/>
    <w:lvl w:ilvl="0" w:tplc="1ABAAE80">
      <w:start w:val="1"/>
      <w:numFmt w:val="lowerLetter"/>
      <w:lvlText w:val="%1)"/>
      <w:lvlJc w:val="left"/>
      <w:pPr>
        <w:ind w:left="1068" w:hanging="360"/>
      </w:pPr>
      <w:rPr>
        <w:rFonts w:hint="default"/>
        <w:b w:val="0"/>
        <w:sz w:val="24"/>
        <w:szCs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0" w15:restartNumberingAfterBreak="0">
    <w:nsid w:val="3F0F68CA"/>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1" w15:restartNumberingAfterBreak="0">
    <w:nsid w:val="409303F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2"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415A5B68"/>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4" w15:restartNumberingAfterBreak="0">
    <w:nsid w:val="41CB425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35" w15:restartNumberingAfterBreak="0">
    <w:nsid w:val="420D2BD4"/>
    <w:multiLevelType w:val="hybridMultilevel"/>
    <w:tmpl w:val="A470C7C6"/>
    <w:lvl w:ilvl="0" w:tplc="9CB433C0">
      <w:start w:val="1"/>
      <w:numFmt w:val="decimal"/>
      <w:lvlText w:val="%1."/>
      <w:lvlJc w:val="left"/>
      <w:pPr>
        <w:ind w:left="1647" w:hanging="720"/>
      </w:pPr>
      <w:rPr>
        <w:rFonts w:hint="default"/>
        <w:sz w:val="24"/>
        <w:szCs w:val="24"/>
      </w:rPr>
    </w:lvl>
    <w:lvl w:ilvl="1" w:tplc="240A0011">
      <w:start w:val="1"/>
      <w:numFmt w:val="decimal"/>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6" w15:restartNumberingAfterBreak="0">
    <w:nsid w:val="43322171"/>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7" w15:restartNumberingAfterBreak="0">
    <w:nsid w:val="444707DB"/>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8" w15:restartNumberingAfterBreak="0">
    <w:nsid w:val="45AB63CC"/>
    <w:multiLevelType w:val="hybridMultilevel"/>
    <w:tmpl w:val="07B876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9" w15:restartNumberingAfterBreak="0">
    <w:nsid w:val="45F8748B"/>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0" w15:restartNumberingAfterBreak="0">
    <w:nsid w:val="47206B3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1" w15:restartNumberingAfterBreak="0">
    <w:nsid w:val="47A242CB"/>
    <w:multiLevelType w:val="multilevel"/>
    <w:tmpl w:val="3A0A0B1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sz w:val="24"/>
        <w:szCs w:val="24"/>
        <w:lang w:val="es-ES"/>
      </w:rPr>
    </w:lvl>
    <w:lvl w:ilvl="3">
      <w:start w:val="1"/>
      <w:numFmt w:val="decimal"/>
      <w:isLgl/>
      <w:lvlText w:val="%1.%2.%3.%4."/>
      <w:lvlJc w:val="left"/>
      <w:pPr>
        <w:ind w:left="1440" w:hanging="108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2" w15:restartNumberingAfterBreak="0">
    <w:nsid w:val="48A52E6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3" w15:restartNumberingAfterBreak="0">
    <w:nsid w:val="48AC260E"/>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4" w15:restartNumberingAfterBreak="0">
    <w:nsid w:val="48FB1AE8"/>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5" w15:restartNumberingAfterBreak="0">
    <w:nsid w:val="492F4F1C"/>
    <w:multiLevelType w:val="hybridMultilevel"/>
    <w:tmpl w:val="111231D6"/>
    <w:lvl w:ilvl="0" w:tplc="BD7264C4">
      <w:start w:val="1"/>
      <w:numFmt w:val="decimal"/>
      <w:lvlText w:val="(%1)"/>
      <w:lvlJc w:val="left"/>
      <w:pPr>
        <w:ind w:left="972" w:hanging="40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6" w15:restartNumberingAfterBreak="0">
    <w:nsid w:val="49A3479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7" w15:restartNumberingAfterBreak="0">
    <w:nsid w:val="49EC1D4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48" w15:restartNumberingAfterBreak="0">
    <w:nsid w:val="4A7D7509"/>
    <w:multiLevelType w:val="multilevel"/>
    <w:tmpl w:val="5236364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4A7F312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0" w15:restartNumberingAfterBreak="0">
    <w:nsid w:val="4CA2340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1" w15:restartNumberingAfterBreak="0">
    <w:nsid w:val="4E33400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2" w15:restartNumberingAfterBreak="0">
    <w:nsid w:val="4FE705E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3" w15:restartNumberingAfterBreak="0">
    <w:nsid w:val="502B4BD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4" w15:restartNumberingAfterBreak="0">
    <w:nsid w:val="505F237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55" w15:restartNumberingAfterBreak="0">
    <w:nsid w:val="50D1372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6" w15:restartNumberingAfterBreak="0">
    <w:nsid w:val="51503F47"/>
    <w:multiLevelType w:val="hybridMultilevel"/>
    <w:tmpl w:val="79BA6FE8"/>
    <w:lvl w:ilvl="0" w:tplc="104EFEAA">
      <w:start w:val="1"/>
      <w:numFmt w:val="lowerRoman"/>
      <w:lvlText w:val="%1."/>
      <w:lvlJc w:val="left"/>
      <w:pPr>
        <w:ind w:left="2136" w:hanging="360"/>
      </w:pPr>
      <w:rPr>
        <w:rFonts w:hint="default"/>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157" w15:restartNumberingAfterBreak="0">
    <w:nsid w:val="516434BE"/>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8" w15:restartNumberingAfterBreak="0">
    <w:nsid w:val="51E86BE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9" w15:restartNumberingAfterBreak="0">
    <w:nsid w:val="52AC569F"/>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60" w15:restartNumberingAfterBreak="0">
    <w:nsid w:val="535E748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1" w15:restartNumberingAfterBreak="0">
    <w:nsid w:val="55D337E7"/>
    <w:multiLevelType w:val="hybridMultilevel"/>
    <w:tmpl w:val="25D822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2" w15:restartNumberingAfterBreak="0">
    <w:nsid w:val="55F971D3"/>
    <w:multiLevelType w:val="multilevel"/>
    <w:tmpl w:val="A1E07A5C"/>
    <w:lvl w:ilvl="0">
      <w:start w:val="2"/>
      <w:numFmt w:val="decimal"/>
      <w:lvlText w:val="%1."/>
      <w:lvlJc w:val="left"/>
      <w:rPr>
        <w:rFonts w:hint="default"/>
        <w:b/>
        <w:bCs/>
        <w:i w:val="0"/>
        <w:iCs/>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3" w15:restartNumberingAfterBreak="0">
    <w:nsid w:val="55FD12E0"/>
    <w:multiLevelType w:val="hybridMultilevel"/>
    <w:tmpl w:val="A8126DB8"/>
    <w:lvl w:ilvl="0" w:tplc="E87EED94">
      <w:start w:val="1"/>
      <w:numFmt w:val="lowerRoman"/>
      <w:lvlText w:val="%1.)"/>
      <w:lvlJc w:val="left"/>
      <w:pPr>
        <w:ind w:left="720" w:hanging="720"/>
      </w:pPr>
      <w:rPr>
        <w:rFonts w:hint="default"/>
        <w:b/>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4" w15:restartNumberingAfterBreak="0">
    <w:nsid w:val="568B690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5" w15:restartNumberingAfterBreak="0">
    <w:nsid w:val="57D2490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6" w15:restartNumberingAfterBreak="0">
    <w:nsid w:val="58101B8F"/>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7" w15:restartNumberingAfterBreak="0">
    <w:nsid w:val="596C5D59"/>
    <w:multiLevelType w:val="hybridMultilevel"/>
    <w:tmpl w:val="ABBCBA72"/>
    <w:lvl w:ilvl="0" w:tplc="240A000F">
      <w:start w:val="1"/>
      <w:numFmt w:val="decimal"/>
      <w:lvlText w:val="%1."/>
      <w:lvlJc w:val="left"/>
      <w:pPr>
        <w:ind w:left="10926" w:hanging="360"/>
      </w:pPr>
      <w:rPr>
        <w:rFonts w:hint="default"/>
      </w:rPr>
    </w:lvl>
    <w:lvl w:ilvl="1" w:tplc="240A0019">
      <w:start w:val="1"/>
      <w:numFmt w:val="lowerLetter"/>
      <w:lvlText w:val="%2."/>
      <w:lvlJc w:val="left"/>
      <w:pPr>
        <w:ind w:left="11646" w:hanging="360"/>
      </w:pPr>
    </w:lvl>
    <w:lvl w:ilvl="2" w:tplc="240A001B" w:tentative="1">
      <w:start w:val="1"/>
      <w:numFmt w:val="lowerRoman"/>
      <w:lvlText w:val="%3."/>
      <w:lvlJc w:val="right"/>
      <w:pPr>
        <w:ind w:left="12366" w:hanging="180"/>
      </w:pPr>
    </w:lvl>
    <w:lvl w:ilvl="3" w:tplc="240A000F" w:tentative="1">
      <w:start w:val="1"/>
      <w:numFmt w:val="decimal"/>
      <w:lvlText w:val="%4."/>
      <w:lvlJc w:val="left"/>
      <w:pPr>
        <w:ind w:left="13086" w:hanging="360"/>
      </w:pPr>
    </w:lvl>
    <w:lvl w:ilvl="4" w:tplc="240A0019" w:tentative="1">
      <w:start w:val="1"/>
      <w:numFmt w:val="lowerLetter"/>
      <w:lvlText w:val="%5."/>
      <w:lvlJc w:val="left"/>
      <w:pPr>
        <w:ind w:left="13806" w:hanging="360"/>
      </w:pPr>
    </w:lvl>
    <w:lvl w:ilvl="5" w:tplc="240A001B" w:tentative="1">
      <w:start w:val="1"/>
      <w:numFmt w:val="lowerRoman"/>
      <w:lvlText w:val="%6."/>
      <w:lvlJc w:val="right"/>
      <w:pPr>
        <w:ind w:left="14526" w:hanging="180"/>
      </w:pPr>
    </w:lvl>
    <w:lvl w:ilvl="6" w:tplc="240A000F" w:tentative="1">
      <w:start w:val="1"/>
      <w:numFmt w:val="decimal"/>
      <w:lvlText w:val="%7."/>
      <w:lvlJc w:val="left"/>
      <w:pPr>
        <w:ind w:left="15246" w:hanging="360"/>
      </w:pPr>
    </w:lvl>
    <w:lvl w:ilvl="7" w:tplc="240A0019" w:tentative="1">
      <w:start w:val="1"/>
      <w:numFmt w:val="lowerLetter"/>
      <w:lvlText w:val="%8."/>
      <w:lvlJc w:val="left"/>
      <w:pPr>
        <w:ind w:left="15966" w:hanging="360"/>
      </w:pPr>
    </w:lvl>
    <w:lvl w:ilvl="8" w:tplc="240A001B" w:tentative="1">
      <w:start w:val="1"/>
      <w:numFmt w:val="lowerRoman"/>
      <w:lvlText w:val="%9."/>
      <w:lvlJc w:val="right"/>
      <w:pPr>
        <w:ind w:left="16686" w:hanging="180"/>
      </w:pPr>
    </w:lvl>
  </w:abstractNum>
  <w:abstractNum w:abstractNumId="168" w15:restartNumberingAfterBreak="0">
    <w:nsid w:val="59D33DE9"/>
    <w:multiLevelType w:val="multilevel"/>
    <w:tmpl w:val="CD34E8C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5A6B01E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0" w15:restartNumberingAfterBreak="0">
    <w:nsid w:val="5BFF09A8"/>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71" w15:restartNumberingAfterBreak="0">
    <w:nsid w:val="5C770B7E"/>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2" w15:restartNumberingAfterBreak="0">
    <w:nsid w:val="5C7E2168"/>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3" w15:restartNumberingAfterBreak="0">
    <w:nsid w:val="5CD239EB"/>
    <w:multiLevelType w:val="multilevel"/>
    <w:tmpl w:val="FD5EBDD0"/>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4" w15:restartNumberingAfterBreak="0">
    <w:nsid w:val="5D3E4D7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5"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6" w15:restartNumberingAfterBreak="0">
    <w:nsid w:val="5E5654A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7" w15:restartNumberingAfterBreak="0">
    <w:nsid w:val="5EE6557A"/>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8" w15:restartNumberingAfterBreak="0">
    <w:nsid w:val="5F64501A"/>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79" w15:restartNumberingAfterBreak="0">
    <w:nsid w:val="5F6B5AFF"/>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80" w15:restartNumberingAfterBreak="0">
    <w:nsid w:val="5FA2057F"/>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1" w15:restartNumberingAfterBreak="0">
    <w:nsid w:val="5FEF31D3"/>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82" w15:restartNumberingAfterBreak="0">
    <w:nsid w:val="60DA56F7"/>
    <w:multiLevelType w:val="hybridMultilevel"/>
    <w:tmpl w:val="24868C48"/>
    <w:lvl w:ilvl="0" w:tplc="376C9D24">
      <w:numFmt w:val="bullet"/>
      <w:lvlText w:val="-"/>
      <w:lvlJc w:val="left"/>
      <w:pPr>
        <w:ind w:left="2563" w:hanging="360"/>
      </w:pPr>
      <w:rPr>
        <w:rFonts w:ascii="Bookman Old Style" w:eastAsia="Times New Roman" w:hAnsi="Bookman Old Style" w:cs="Times New Roman" w:hint="default"/>
      </w:rPr>
    </w:lvl>
    <w:lvl w:ilvl="1" w:tplc="240A0003" w:tentative="1">
      <w:start w:val="1"/>
      <w:numFmt w:val="bullet"/>
      <w:lvlText w:val="o"/>
      <w:lvlJc w:val="left"/>
      <w:pPr>
        <w:ind w:left="3283" w:hanging="360"/>
      </w:pPr>
      <w:rPr>
        <w:rFonts w:ascii="Courier New" w:hAnsi="Courier New" w:cs="Courier New" w:hint="default"/>
      </w:rPr>
    </w:lvl>
    <w:lvl w:ilvl="2" w:tplc="240A0005">
      <w:start w:val="1"/>
      <w:numFmt w:val="bullet"/>
      <w:lvlText w:val=""/>
      <w:lvlJc w:val="left"/>
      <w:pPr>
        <w:ind w:left="4003" w:hanging="360"/>
      </w:pPr>
      <w:rPr>
        <w:rFonts w:ascii="Wingdings" w:hAnsi="Wingdings" w:hint="default"/>
      </w:rPr>
    </w:lvl>
    <w:lvl w:ilvl="3" w:tplc="240A0001" w:tentative="1">
      <w:start w:val="1"/>
      <w:numFmt w:val="bullet"/>
      <w:lvlText w:val=""/>
      <w:lvlJc w:val="left"/>
      <w:pPr>
        <w:ind w:left="4723" w:hanging="360"/>
      </w:pPr>
      <w:rPr>
        <w:rFonts w:ascii="Symbol" w:hAnsi="Symbol" w:hint="default"/>
      </w:rPr>
    </w:lvl>
    <w:lvl w:ilvl="4" w:tplc="240A0003" w:tentative="1">
      <w:start w:val="1"/>
      <w:numFmt w:val="bullet"/>
      <w:lvlText w:val="o"/>
      <w:lvlJc w:val="left"/>
      <w:pPr>
        <w:ind w:left="5443" w:hanging="360"/>
      </w:pPr>
      <w:rPr>
        <w:rFonts w:ascii="Courier New" w:hAnsi="Courier New" w:cs="Courier New" w:hint="default"/>
      </w:rPr>
    </w:lvl>
    <w:lvl w:ilvl="5" w:tplc="240A0005" w:tentative="1">
      <w:start w:val="1"/>
      <w:numFmt w:val="bullet"/>
      <w:lvlText w:val=""/>
      <w:lvlJc w:val="left"/>
      <w:pPr>
        <w:ind w:left="6163" w:hanging="360"/>
      </w:pPr>
      <w:rPr>
        <w:rFonts w:ascii="Wingdings" w:hAnsi="Wingdings" w:hint="default"/>
      </w:rPr>
    </w:lvl>
    <w:lvl w:ilvl="6" w:tplc="240A0001" w:tentative="1">
      <w:start w:val="1"/>
      <w:numFmt w:val="bullet"/>
      <w:lvlText w:val=""/>
      <w:lvlJc w:val="left"/>
      <w:pPr>
        <w:ind w:left="6883" w:hanging="360"/>
      </w:pPr>
      <w:rPr>
        <w:rFonts w:ascii="Symbol" w:hAnsi="Symbol" w:hint="default"/>
      </w:rPr>
    </w:lvl>
    <w:lvl w:ilvl="7" w:tplc="240A0003" w:tentative="1">
      <w:start w:val="1"/>
      <w:numFmt w:val="bullet"/>
      <w:lvlText w:val="o"/>
      <w:lvlJc w:val="left"/>
      <w:pPr>
        <w:ind w:left="7603" w:hanging="360"/>
      </w:pPr>
      <w:rPr>
        <w:rFonts w:ascii="Courier New" w:hAnsi="Courier New" w:cs="Courier New" w:hint="default"/>
      </w:rPr>
    </w:lvl>
    <w:lvl w:ilvl="8" w:tplc="240A0005" w:tentative="1">
      <w:start w:val="1"/>
      <w:numFmt w:val="bullet"/>
      <w:lvlText w:val=""/>
      <w:lvlJc w:val="left"/>
      <w:pPr>
        <w:ind w:left="8323" w:hanging="360"/>
      </w:pPr>
      <w:rPr>
        <w:rFonts w:ascii="Wingdings" w:hAnsi="Wingdings" w:hint="default"/>
      </w:rPr>
    </w:lvl>
  </w:abstractNum>
  <w:abstractNum w:abstractNumId="183" w15:restartNumberingAfterBreak="0">
    <w:nsid w:val="60ED371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4" w15:restartNumberingAfterBreak="0">
    <w:nsid w:val="6267668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5" w15:restartNumberingAfterBreak="0">
    <w:nsid w:val="630D46A3"/>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6" w15:restartNumberingAfterBreak="0">
    <w:nsid w:val="6377122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7" w15:restartNumberingAfterBreak="0">
    <w:nsid w:val="639478E6"/>
    <w:multiLevelType w:val="hybridMultilevel"/>
    <w:tmpl w:val="3C142D54"/>
    <w:lvl w:ilvl="0" w:tplc="240A0017">
      <w:start w:val="1"/>
      <w:numFmt w:val="lowerLetter"/>
      <w:lvlText w:val="%1)"/>
      <w:lvlJc w:val="left"/>
      <w:pPr>
        <w:ind w:left="1068" w:hanging="360"/>
      </w:pPr>
      <w:rPr>
        <w:b w:val="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88" w15:restartNumberingAfterBreak="0">
    <w:nsid w:val="64025AC4"/>
    <w:multiLevelType w:val="multilevel"/>
    <w:tmpl w:val="400C571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9" w15:restartNumberingAfterBreak="0">
    <w:nsid w:val="64D92FE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0" w15:restartNumberingAfterBreak="0">
    <w:nsid w:val="654F5DD6"/>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1" w15:restartNumberingAfterBreak="0">
    <w:nsid w:val="65CD4118"/>
    <w:multiLevelType w:val="hybridMultilevel"/>
    <w:tmpl w:val="025A745A"/>
    <w:lvl w:ilvl="0" w:tplc="12BC0768">
      <w:start w:val="1"/>
      <w:numFmt w:val="lowerLetter"/>
      <w:lvlText w:val="%1)"/>
      <w:lvlJc w:val="left"/>
      <w:pPr>
        <w:ind w:left="1440" w:hanging="720"/>
      </w:pPr>
      <w:rPr>
        <w:rFonts w:ascii="Bookman Old Style" w:hAnsi="Bookman Old Style" w:hint="default"/>
        <w:b w:val="0"/>
        <w:i w:val="0"/>
        <w:strike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2" w15:restartNumberingAfterBreak="0">
    <w:nsid w:val="66E226E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3" w15:restartNumberingAfterBreak="0">
    <w:nsid w:val="66EB0342"/>
    <w:multiLevelType w:val="multilevel"/>
    <w:tmpl w:val="24CACF9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4" w15:restartNumberingAfterBreak="0">
    <w:nsid w:val="66F5204F"/>
    <w:multiLevelType w:val="hybridMultilevel"/>
    <w:tmpl w:val="15F6E45A"/>
    <w:lvl w:ilvl="0" w:tplc="F35250B0">
      <w:start w:val="1"/>
      <w:numFmt w:val="lowerLetter"/>
      <w:lvlText w:val="%1)"/>
      <w:lvlJc w:val="left"/>
      <w:pPr>
        <w:ind w:left="360" w:hanging="360"/>
      </w:pPr>
      <w:rPr>
        <w:rFonts w:ascii="Bookman Old Style" w:hAnsi="Bookman Old Style"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15:restartNumberingAfterBreak="0">
    <w:nsid w:val="67986E9B"/>
    <w:multiLevelType w:val="multilevel"/>
    <w:tmpl w:val="02E67D8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6" w15:restartNumberingAfterBreak="0">
    <w:nsid w:val="67AD2923"/>
    <w:multiLevelType w:val="multilevel"/>
    <w:tmpl w:val="D9B46BA0"/>
    <w:lvl w:ilvl="0">
      <w:start w:val="5"/>
      <w:numFmt w:val="decimal"/>
      <w:lvlText w:val="%1."/>
      <w:lvlJc w:val="left"/>
      <w:pPr>
        <w:ind w:left="705" w:hanging="7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7" w15:restartNumberingAfterBreak="0">
    <w:nsid w:val="67CE06AC"/>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98"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99" w15:restartNumberingAfterBreak="0">
    <w:nsid w:val="686376C1"/>
    <w:multiLevelType w:val="hybridMultilevel"/>
    <w:tmpl w:val="BF606EBA"/>
    <w:lvl w:ilvl="0" w:tplc="240A000F">
      <w:start w:val="1"/>
      <w:numFmt w:val="decimal"/>
      <w:lvlText w:val="%1."/>
      <w:lvlJc w:val="left"/>
      <w:pPr>
        <w:ind w:left="1065" w:hanging="705"/>
      </w:pPr>
      <w:rPr>
        <w:rFonts w:hint="default"/>
        <w:lang w:val="es-CO"/>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0" w15:restartNumberingAfterBreak="0">
    <w:nsid w:val="68B41747"/>
    <w:multiLevelType w:val="hybridMultilevel"/>
    <w:tmpl w:val="DA0A3754"/>
    <w:lvl w:ilvl="0" w:tplc="11E28478">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201" w15:restartNumberingAfterBreak="0">
    <w:nsid w:val="6938476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2" w15:restartNumberingAfterBreak="0">
    <w:nsid w:val="6A8F365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3" w15:restartNumberingAfterBreak="0">
    <w:nsid w:val="6AEA629E"/>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4" w15:restartNumberingAfterBreak="0">
    <w:nsid w:val="6B2669BB"/>
    <w:multiLevelType w:val="hybridMultilevel"/>
    <w:tmpl w:val="CEBA52E4"/>
    <w:lvl w:ilvl="0" w:tplc="833060A0">
      <w:start w:val="8"/>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5" w15:restartNumberingAfterBreak="0">
    <w:nsid w:val="6BBD035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6" w15:restartNumberingAfterBreak="0">
    <w:nsid w:val="6BC4033D"/>
    <w:multiLevelType w:val="hybridMultilevel"/>
    <w:tmpl w:val="B7105A1E"/>
    <w:lvl w:ilvl="0" w:tplc="376C9D24">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7" w15:restartNumberingAfterBreak="0">
    <w:nsid w:val="6D1F0F12"/>
    <w:multiLevelType w:val="hybridMultilevel"/>
    <w:tmpl w:val="BBF2EAB2"/>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08" w15:restartNumberingAfterBreak="0">
    <w:nsid w:val="6D1F1C45"/>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09" w15:restartNumberingAfterBreak="0">
    <w:nsid w:val="6EA33FAB"/>
    <w:multiLevelType w:val="hybridMultilevel"/>
    <w:tmpl w:val="1ADA6F5C"/>
    <w:lvl w:ilvl="0" w:tplc="743A6E76">
      <w:start w:val="1"/>
      <w:numFmt w:val="lowerLetter"/>
      <w:lvlText w:val="%1)"/>
      <w:lvlJc w:val="left"/>
      <w:pPr>
        <w:ind w:left="2340" w:hanging="360"/>
      </w:pPr>
      <w:rPr>
        <w:rFonts w:ascii="Bookman Old Style" w:hAnsi="Bookman Old Style" w:cs="Arial" w:hint="default"/>
        <w:sz w:val="22"/>
        <w:szCs w:val="22"/>
      </w:r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210" w15:restartNumberingAfterBreak="0">
    <w:nsid w:val="6ECB41BC"/>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1" w15:restartNumberingAfterBreak="0">
    <w:nsid w:val="6F1702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12" w15:restartNumberingAfterBreak="0">
    <w:nsid w:val="6F5B4C93"/>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3" w15:restartNumberingAfterBreak="0">
    <w:nsid w:val="6F8756BD"/>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14" w15:restartNumberingAfterBreak="0">
    <w:nsid w:val="6FB84382"/>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15" w15:restartNumberingAfterBreak="0">
    <w:nsid w:val="6FD51E66"/>
    <w:multiLevelType w:val="hybridMultilevel"/>
    <w:tmpl w:val="5F162D1E"/>
    <w:lvl w:ilvl="0" w:tplc="D71A78CA">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6" w15:restartNumberingAfterBreak="0">
    <w:nsid w:val="6FFC5D76"/>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17" w15:restartNumberingAfterBreak="0">
    <w:nsid w:val="70052F50"/>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8" w15:restartNumberingAfterBreak="0">
    <w:nsid w:val="70460FB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19" w15:restartNumberingAfterBreak="0">
    <w:nsid w:val="70B408E8"/>
    <w:multiLevelType w:val="multilevel"/>
    <w:tmpl w:val="D2D4BC4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0" w15:restartNumberingAfterBreak="0">
    <w:nsid w:val="713B2917"/>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21" w15:restartNumberingAfterBreak="0">
    <w:nsid w:val="71CF7432"/>
    <w:multiLevelType w:val="multilevel"/>
    <w:tmpl w:val="B8D0B8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2" w15:restartNumberingAfterBreak="0">
    <w:nsid w:val="720213C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3" w15:restartNumberingAfterBreak="0">
    <w:nsid w:val="720749FA"/>
    <w:multiLevelType w:val="hybridMultilevel"/>
    <w:tmpl w:val="90302B2E"/>
    <w:lvl w:ilvl="0" w:tplc="D24C440C">
      <w:start w:val="1"/>
      <w:numFmt w:val="lowerRoman"/>
      <w:lvlText w:val="%1."/>
      <w:lvlJc w:val="left"/>
      <w:pPr>
        <w:ind w:left="121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4" w15:restartNumberingAfterBreak="0">
    <w:nsid w:val="7326383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5" w15:restartNumberingAfterBreak="0">
    <w:nsid w:val="73432BD8"/>
    <w:multiLevelType w:val="hybridMultilevel"/>
    <w:tmpl w:val="CD8859D2"/>
    <w:lvl w:ilvl="0" w:tplc="3E349DFC">
      <w:start w:val="1"/>
      <w:numFmt w:val="decimal"/>
      <w:pStyle w:val="ARTICULOS"/>
      <w:lvlText w:val="Artículo %1."/>
      <w:lvlJc w:val="left"/>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226" w15:restartNumberingAfterBreak="0">
    <w:nsid w:val="741C1F3E"/>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27" w15:restartNumberingAfterBreak="0">
    <w:nsid w:val="74757403"/>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28" w15:restartNumberingAfterBreak="0">
    <w:nsid w:val="74CC16E5"/>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9" w15:restartNumberingAfterBreak="0">
    <w:nsid w:val="750E646D"/>
    <w:multiLevelType w:val="hybridMultilevel"/>
    <w:tmpl w:val="D63EA8AC"/>
    <w:lvl w:ilvl="0" w:tplc="22F0D9A0">
      <w:start w:val="1"/>
      <w:numFmt w:val="lowerLetter"/>
      <w:lvlText w:val="%1)"/>
      <w:lvlJc w:val="left"/>
      <w:pPr>
        <w:ind w:left="1068"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0" w15:restartNumberingAfterBreak="0">
    <w:nsid w:val="75ED4392"/>
    <w:multiLevelType w:val="hybridMultilevel"/>
    <w:tmpl w:val="E88CD2A8"/>
    <w:lvl w:ilvl="0" w:tplc="C5189FB2">
      <w:start w:val="5"/>
      <w:numFmt w:val="lowerRoman"/>
      <w:lvlText w:val="%1."/>
      <w:lvlJc w:val="left"/>
      <w:pPr>
        <w:ind w:left="1713"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1" w15:restartNumberingAfterBreak="0">
    <w:nsid w:val="76420269"/>
    <w:multiLevelType w:val="hybridMultilevel"/>
    <w:tmpl w:val="B81450C8"/>
    <w:lvl w:ilvl="0" w:tplc="70887966">
      <w:start w:val="1"/>
      <w:numFmt w:val="upp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2" w15:restartNumberingAfterBreak="0">
    <w:nsid w:val="76631659"/>
    <w:multiLevelType w:val="hybridMultilevel"/>
    <w:tmpl w:val="F87C4D54"/>
    <w:lvl w:ilvl="0" w:tplc="5B40F8EA">
      <w:start w:val="12"/>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3" w15:restartNumberingAfterBreak="0">
    <w:nsid w:val="77694704"/>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4" w15:restartNumberingAfterBreak="0">
    <w:nsid w:val="776B27B7"/>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5" w15:restartNumberingAfterBreak="0">
    <w:nsid w:val="77DF75E1"/>
    <w:multiLevelType w:val="hybridMultilevel"/>
    <w:tmpl w:val="1402CFC4"/>
    <w:lvl w:ilvl="0" w:tplc="4E023A38">
      <w:start w:val="13"/>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6" w15:restartNumberingAfterBreak="0">
    <w:nsid w:val="77E30A14"/>
    <w:multiLevelType w:val="hybridMultilevel"/>
    <w:tmpl w:val="3C142D54"/>
    <w:lvl w:ilvl="0" w:tplc="240A0017">
      <w:start w:val="1"/>
      <w:numFmt w:val="lowerLetter"/>
      <w:lvlText w:val="%1)"/>
      <w:lvlJc w:val="left"/>
      <w:pPr>
        <w:ind w:left="1068" w:hanging="360"/>
      </w:pPr>
      <w:rPr>
        <w:rFonts w:hint="default"/>
        <w:b w:val="0"/>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7" w15:restartNumberingAfterBreak="0">
    <w:nsid w:val="77EA1BF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8" w15:restartNumberingAfterBreak="0">
    <w:nsid w:val="78506AF5"/>
    <w:multiLevelType w:val="multilevel"/>
    <w:tmpl w:val="56E63A08"/>
    <w:lvl w:ilvl="0">
      <w:start w:val="1"/>
      <w:numFmt w:val="decimal"/>
      <w:lvlText w:val="%1."/>
      <w:lvlJc w:val="left"/>
      <w:pPr>
        <w:ind w:left="720" w:hanging="360"/>
      </w:pPr>
      <w:rPr>
        <w:b/>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9" w15:restartNumberingAfterBreak="0">
    <w:nsid w:val="79836711"/>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0" w15:restartNumberingAfterBreak="0">
    <w:nsid w:val="799229FB"/>
    <w:multiLevelType w:val="hybridMultilevel"/>
    <w:tmpl w:val="D72EBFDC"/>
    <w:lvl w:ilvl="0" w:tplc="13D89EBA">
      <w:start w:val="1"/>
      <w:numFmt w:val="lowerLetter"/>
      <w:lvlText w:val="%1)"/>
      <w:lvlJc w:val="left"/>
      <w:pPr>
        <w:ind w:left="1068" w:hanging="360"/>
      </w:pPr>
      <w:rPr>
        <w:rFonts w:hint="default"/>
        <w:b w:val="0"/>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1" w15:restartNumberingAfterBreak="0">
    <w:nsid w:val="79C729BD"/>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2" w15:restartNumberingAfterBreak="0">
    <w:nsid w:val="7AC81888"/>
    <w:multiLevelType w:val="hybridMultilevel"/>
    <w:tmpl w:val="B70E498A"/>
    <w:lvl w:ilvl="0" w:tplc="C3F06402">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3" w15:restartNumberingAfterBreak="0">
    <w:nsid w:val="7C163765"/>
    <w:multiLevelType w:val="multilevel"/>
    <w:tmpl w:val="08D65A5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4" w15:restartNumberingAfterBreak="0">
    <w:nsid w:val="7C23220B"/>
    <w:multiLevelType w:val="hybridMultilevel"/>
    <w:tmpl w:val="93080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5" w15:restartNumberingAfterBreak="0">
    <w:nsid w:val="7C28568A"/>
    <w:multiLevelType w:val="hybridMultilevel"/>
    <w:tmpl w:val="38405194"/>
    <w:lvl w:ilvl="0" w:tplc="CE4A76CA">
      <w:start w:val="3"/>
      <w:numFmt w:val="lowerLetter"/>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6" w15:restartNumberingAfterBreak="0">
    <w:nsid w:val="7C4A055B"/>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7" w15:restartNumberingAfterBreak="0">
    <w:nsid w:val="7C9706E1"/>
    <w:multiLevelType w:val="hybridMultilevel"/>
    <w:tmpl w:val="4EF21AF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8" w15:restartNumberingAfterBreak="0">
    <w:nsid w:val="7C9D5D35"/>
    <w:multiLevelType w:val="hybridMultilevel"/>
    <w:tmpl w:val="3C142D54"/>
    <w:lvl w:ilvl="0" w:tplc="240A0017">
      <w:start w:val="1"/>
      <w:numFmt w:val="lowerLetter"/>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9" w15:restartNumberingAfterBreak="0">
    <w:nsid w:val="7CDE11CB"/>
    <w:multiLevelType w:val="hybridMultilevel"/>
    <w:tmpl w:val="79BA6FE8"/>
    <w:lvl w:ilvl="0" w:tplc="104EFEAA">
      <w:start w:val="1"/>
      <w:numFmt w:val="lowerRoman"/>
      <w:lvlText w:val="%1."/>
      <w:lvlJc w:val="left"/>
      <w:pPr>
        <w:ind w:left="1713" w:hanging="360"/>
      </w:pPr>
      <w:rPr>
        <w:rFonts w:hint="default"/>
      </w:r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0" w15:restartNumberingAfterBreak="0">
    <w:nsid w:val="7DF730D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1" w15:restartNumberingAfterBreak="0">
    <w:nsid w:val="7E513214"/>
    <w:multiLevelType w:val="hybridMultilevel"/>
    <w:tmpl w:val="D6D8C280"/>
    <w:lvl w:ilvl="0" w:tplc="2C9017B6">
      <w:start w:val="2"/>
      <w:numFmt w:val="decimal"/>
      <w:lvlText w:val="%1."/>
      <w:lvlJc w:val="left"/>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F2A33E3"/>
    <w:multiLevelType w:val="hybridMultilevel"/>
    <w:tmpl w:val="79BA6FE8"/>
    <w:lvl w:ilvl="0" w:tplc="104EFEAA">
      <w:start w:val="1"/>
      <w:numFmt w:val="lowerRoman"/>
      <w:lvlText w:val="%1."/>
      <w:lvlJc w:val="left"/>
      <w:pPr>
        <w:ind w:left="1713" w:hanging="360"/>
      </w:pPr>
      <w:rPr>
        <w:rFonts w:hint="default"/>
      </w:rPr>
    </w:lvl>
    <w:lvl w:ilvl="1" w:tplc="240A0019">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253" w15:restartNumberingAfterBreak="0">
    <w:nsid w:val="7FAF32AA"/>
    <w:multiLevelType w:val="hybridMultilevel"/>
    <w:tmpl w:val="D592E6B4"/>
    <w:lvl w:ilvl="0" w:tplc="7824630A">
      <w:start w:val="1"/>
      <w:numFmt w:val="lowerRoman"/>
      <w:lvlText w:val="%1)"/>
      <w:lvlJc w:val="left"/>
      <w:pPr>
        <w:ind w:left="1146" w:hanging="360"/>
      </w:pPr>
      <w:rPr>
        <w:rFonts w:hint="default"/>
        <w:b w:val="0"/>
        <w:i w:val="0"/>
        <w:sz w:val="22"/>
        <w:szCs w:val="22"/>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281301795">
    <w:abstractNumId w:val="225"/>
  </w:num>
  <w:num w:numId="2" w16cid:durableId="350648720">
    <w:abstractNumId w:val="175"/>
  </w:num>
  <w:num w:numId="3" w16cid:durableId="69814705">
    <w:abstractNumId w:val="76"/>
  </w:num>
  <w:num w:numId="4" w16cid:durableId="2033142988">
    <w:abstractNumId w:val="8"/>
  </w:num>
  <w:num w:numId="5" w16cid:durableId="961880869">
    <w:abstractNumId w:val="62"/>
  </w:num>
  <w:num w:numId="6" w16cid:durableId="392041483">
    <w:abstractNumId w:val="180"/>
  </w:num>
  <w:num w:numId="7" w16cid:durableId="722483185">
    <w:abstractNumId w:val="59"/>
  </w:num>
  <w:num w:numId="8" w16cid:durableId="776023031">
    <w:abstractNumId w:val="71"/>
  </w:num>
  <w:num w:numId="9" w16cid:durableId="1615290003">
    <w:abstractNumId w:val="75"/>
  </w:num>
  <w:num w:numId="10" w16cid:durableId="796146312">
    <w:abstractNumId w:val="237"/>
  </w:num>
  <w:num w:numId="11" w16cid:durableId="182013633">
    <w:abstractNumId w:val="57"/>
  </w:num>
  <w:num w:numId="12" w16cid:durableId="298849973">
    <w:abstractNumId w:val="222"/>
  </w:num>
  <w:num w:numId="13" w16cid:durableId="1657613903">
    <w:abstractNumId w:val="26"/>
  </w:num>
  <w:num w:numId="14" w16cid:durableId="287012408">
    <w:abstractNumId w:val="154"/>
  </w:num>
  <w:num w:numId="15" w16cid:durableId="1767114534">
    <w:abstractNumId w:val="242"/>
  </w:num>
  <w:num w:numId="16" w16cid:durableId="249698635">
    <w:abstractNumId w:val="48"/>
  </w:num>
  <w:num w:numId="17" w16cid:durableId="408771424">
    <w:abstractNumId w:val="69"/>
  </w:num>
  <w:num w:numId="18" w16cid:durableId="2067869139">
    <w:abstractNumId w:val="233"/>
  </w:num>
  <w:num w:numId="19" w16cid:durableId="1208643800">
    <w:abstractNumId w:val="27"/>
  </w:num>
  <w:num w:numId="20" w16cid:durableId="58095054">
    <w:abstractNumId w:val="239"/>
  </w:num>
  <w:num w:numId="21" w16cid:durableId="1832746715">
    <w:abstractNumId w:val="191"/>
  </w:num>
  <w:num w:numId="22" w16cid:durableId="398796368">
    <w:abstractNumId w:val="53"/>
  </w:num>
  <w:num w:numId="23" w16cid:durableId="1532717912">
    <w:abstractNumId w:val="52"/>
  </w:num>
  <w:num w:numId="24" w16cid:durableId="1082484693">
    <w:abstractNumId w:val="74"/>
  </w:num>
  <w:num w:numId="25" w16cid:durableId="233004679">
    <w:abstractNumId w:val="126"/>
  </w:num>
  <w:num w:numId="26" w16cid:durableId="55320523">
    <w:abstractNumId w:val="197"/>
  </w:num>
  <w:num w:numId="27" w16cid:durableId="555244803">
    <w:abstractNumId w:val="156"/>
  </w:num>
  <w:num w:numId="28" w16cid:durableId="1658342875">
    <w:abstractNumId w:val="146"/>
  </w:num>
  <w:num w:numId="29" w16cid:durableId="1133520605">
    <w:abstractNumId w:val="213"/>
  </w:num>
  <w:num w:numId="30" w16cid:durableId="248732970">
    <w:abstractNumId w:val="77"/>
  </w:num>
  <w:num w:numId="31" w16cid:durableId="1761291683">
    <w:abstractNumId w:val="249"/>
  </w:num>
  <w:num w:numId="32" w16cid:durableId="317225068">
    <w:abstractNumId w:val="122"/>
  </w:num>
  <w:num w:numId="33" w16cid:durableId="322197430">
    <w:abstractNumId w:val="211"/>
  </w:num>
  <w:num w:numId="34" w16cid:durableId="952396262">
    <w:abstractNumId w:val="78"/>
  </w:num>
  <w:num w:numId="35" w16cid:durableId="703677632">
    <w:abstractNumId w:val="119"/>
  </w:num>
  <w:num w:numId="36" w16cid:durableId="1970042383">
    <w:abstractNumId w:val="173"/>
  </w:num>
  <w:num w:numId="37" w16cid:durableId="1190994894">
    <w:abstractNumId w:val="250"/>
  </w:num>
  <w:num w:numId="38" w16cid:durableId="1091315923">
    <w:abstractNumId w:val="86"/>
  </w:num>
  <w:num w:numId="39" w16cid:durableId="553854019">
    <w:abstractNumId w:val="107"/>
  </w:num>
  <w:num w:numId="40" w16cid:durableId="1772314080">
    <w:abstractNumId w:val="184"/>
  </w:num>
  <w:num w:numId="41" w16cid:durableId="966928804">
    <w:abstractNumId w:val="228"/>
  </w:num>
  <w:num w:numId="42" w16cid:durableId="38631095">
    <w:abstractNumId w:val="139"/>
  </w:num>
  <w:num w:numId="43" w16cid:durableId="668564441">
    <w:abstractNumId w:val="109"/>
  </w:num>
  <w:num w:numId="44" w16cid:durableId="1207373292">
    <w:abstractNumId w:val="104"/>
  </w:num>
  <w:num w:numId="45" w16cid:durableId="1889413974">
    <w:abstractNumId w:val="176"/>
  </w:num>
  <w:num w:numId="46" w16cid:durableId="1288392437">
    <w:abstractNumId w:val="131"/>
  </w:num>
  <w:num w:numId="47" w16cid:durableId="1045911855">
    <w:abstractNumId w:val="85"/>
  </w:num>
  <w:num w:numId="48" w16cid:durableId="707921902">
    <w:abstractNumId w:val="15"/>
  </w:num>
  <w:num w:numId="49" w16cid:durableId="1097553722">
    <w:abstractNumId w:val="123"/>
  </w:num>
  <w:num w:numId="50" w16cid:durableId="200324290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130711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2195967">
    <w:abstractNumId w:val="198"/>
  </w:num>
  <w:num w:numId="53" w16cid:durableId="208942">
    <w:abstractNumId w:val="214"/>
  </w:num>
  <w:num w:numId="54" w16cid:durableId="69272487">
    <w:abstractNumId w:val="9"/>
  </w:num>
  <w:num w:numId="55" w16cid:durableId="1634748104">
    <w:abstractNumId w:val="35"/>
  </w:num>
  <w:num w:numId="56" w16cid:durableId="477453784">
    <w:abstractNumId w:val="189"/>
  </w:num>
  <w:num w:numId="57" w16cid:durableId="2026637945">
    <w:abstractNumId w:val="160"/>
  </w:num>
  <w:num w:numId="58" w16cid:durableId="483545311">
    <w:abstractNumId w:val="133"/>
  </w:num>
  <w:num w:numId="59" w16cid:durableId="1614750095">
    <w:abstractNumId w:val="25"/>
  </w:num>
  <w:num w:numId="60" w16cid:durableId="954673142">
    <w:abstractNumId w:val="124"/>
  </w:num>
  <w:num w:numId="61" w16cid:durableId="153189021">
    <w:abstractNumId w:val="231"/>
  </w:num>
  <w:num w:numId="62" w16cid:durableId="1155875426">
    <w:abstractNumId w:val="99"/>
  </w:num>
  <w:num w:numId="63" w16cid:durableId="2035957415">
    <w:abstractNumId w:val="135"/>
  </w:num>
  <w:num w:numId="64" w16cid:durableId="214394298">
    <w:abstractNumId w:val="94"/>
  </w:num>
  <w:num w:numId="65" w16cid:durableId="1833522897">
    <w:abstractNumId w:val="65"/>
  </w:num>
  <w:num w:numId="66" w16cid:durableId="1700205846">
    <w:abstractNumId w:val="230"/>
  </w:num>
  <w:num w:numId="67" w16cid:durableId="1887983533">
    <w:abstractNumId w:val="28"/>
  </w:num>
  <w:num w:numId="68" w16cid:durableId="971250392">
    <w:abstractNumId w:val="3"/>
  </w:num>
  <w:num w:numId="69" w16cid:durableId="1314800819">
    <w:abstractNumId w:val="106"/>
  </w:num>
  <w:num w:numId="70" w16cid:durableId="952712778">
    <w:abstractNumId w:val="96"/>
  </w:num>
  <w:num w:numId="71" w16cid:durableId="1754400086">
    <w:abstractNumId w:val="61"/>
  </w:num>
  <w:num w:numId="72" w16cid:durableId="1987276294">
    <w:abstractNumId w:val="0"/>
  </w:num>
  <w:num w:numId="73" w16cid:durableId="765345127">
    <w:abstractNumId w:val="132"/>
  </w:num>
  <w:num w:numId="74" w16cid:durableId="1392801224">
    <w:abstractNumId w:val="32"/>
  </w:num>
  <w:num w:numId="75" w16cid:durableId="1233464939">
    <w:abstractNumId w:val="82"/>
  </w:num>
  <w:num w:numId="76" w16cid:durableId="362558568">
    <w:abstractNumId w:val="221"/>
  </w:num>
  <w:num w:numId="77" w16cid:durableId="1231967197">
    <w:abstractNumId w:val="177"/>
  </w:num>
  <w:num w:numId="78" w16cid:durableId="228345955">
    <w:abstractNumId w:val="73"/>
  </w:num>
  <w:num w:numId="79" w16cid:durableId="963542969">
    <w:abstractNumId w:val="38"/>
  </w:num>
  <w:num w:numId="80" w16cid:durableId="1335105075">
    <w:abstractNumId w:val="140"/>
  </w:num>
  <w:num w:numId="81" w16cid:durableId="888539849">
    <w:abstractNumId w:val="47"/>
  </w:num>
  <w:num w:numId="82" w16cid:durableId="725491033">
    <w:abstractNumId w:val="64"/>
  </w:num>
  <w:num w:numId="83" w16cid:durableId="1183011751">
    <w:abstractNumId w:val="219"/>
  </w:num>
  <w:num w:numId="84" w16cid:durableId="1397583284">
    <w:abstractNumId w:val="105"/>
  </w:num>
  <w:num w:numId="85" w16cid:durableId="1351224837">
    <w:abstractNumId w:val="49"/>
  </w:num>
  <w:num w:numId="86" w16cid:durableId="59987641">
    <w:abstractNumId w:val="162"/>
  </w:num>
  <w:num w:numId="87" w16cid:durableId="416557449">
    <w:abstractNumId w:val="244"/>
  </w:num>
  <w:num w:numId="88" w16cid:durableId="2140564245">
    <w:abstractNumId w:val="182"/>
  </w:num>
  <w:num w:numId="89" w16cid:durableId="749817186">
    <w:abstractNumId w:val="6"/>
  </w:num>
  <w:num w:numId="90" w16cid:durableId="619922635">
    <w:abstractNumId w:val="31"/>
  </w:num>
  <w:num w:numId="91" w16cid:durableId="1235818185">
    <w:abstractNumId w:val="247"/>
  </w:num>
  <w:num w:numId="92" w16cid:durableId="2140565308">
    <w:abstractNumId w:val="251"/>
  </w:num>
  <w:num w:numId="93" w16cid:durableId="879509564">
    <w:abstractNumId w:val="161"/>
  </w:num>
  <w:num w:numId="94" w16cid:durableId="1318149095">
    <w:abstractNumId w:val="43"/>
  </w:num>
  <w:num w:numId="95" w16cid:durableId="1703938525">
    <w:abstractNumId w:val="118"/>
  </w:num>
  <w:num w:numId="96" w16cid:durableId="1519199407">
    <w:abstractNumId w:val="223"/>
  </w:num>
  <w:num w:numId="97" w16cid:durableId="805659211">
    <w:abstractNumId w:val="79"/>
  </w:num>
  <w:num w:numId="98" w16cid:durableId="593588368">
    <w:abstractNumId w:val="45"/>
  </w:num>
  <w:num w:numId="99" w16cid:durableId="1584412709">
    <w:abstractNumId w:val="29"/>
  </w:num>
  <w:num w:numId="100" w16cid:durableId="1797794031">
    <w:abstractNumId w:val="204"/>
  </w:num>
  <w:num w:numId="101" w16cid:durableId="1768116214">
    <w:abstractNumId w:val="245"/>
  </w:num>
  <w:num w:numId="102" w16cid:durableId="446435180">
    <w:abstractNumId w:val="232"/>
  </w:num>
  <w:num w:numId="103" w16cid:durableId="1442843408">
    <w:abstractNumId w:val="235"/>
  </w:num>
  <w:num w:numId="104" w16cid:durableId="1018581240">
    <w:abstractNumId w:val="95"/>
  </w:num>
  <w:num w:numId="105" w16cid:durableId="1249385406">
    <w:abstractNumId w:val="33"/>
  </w:num>
  <w:num w:numId="106" w16cid:durableId="1624270673">
    <w:abstractNumId w:val="127"/>
  </w:num>
  <w:num w:numId="107" w16cid:durableId="425425547">
    <w:abstractNumId w:val="13"/>
  </w:num>
  <w:num w:numId="108" w16cid:durableId="478234904">
    <w:abstractNumId w:val="138"/>
  </w:num>
  <w:num w:numId="109" w16cid:durableId="1438909780">
    <w:abstractNumId w:val="42"/>
  </w:num>
  <w:num w:numId="110" w16cid:durableId="1992562972">
    <w:abstractNumId w:val="116"/>
  </w:num>
  <w:num w:numId="111" w16cid:durableId="1847863157">
    <w:abstractNumId w:val="203"/>
  </w:num>
  <w:num w:numId="112" w16cid:durableId="1116603478">
    <w:abstractNumId w:val="63"/>
  </w:num>
  <w:num w:numId="113" w16cid:durableId="251820278">
    <w:abstractNumId w:val="4"/>
  </w:num>
  <w:num w:numId="114" w16cid:durableId="966425577">
    <w:abstractNumId w:val="92"/>
  </w:num>
  <w:num w:numId="115" w16cid:durableId="169874054">
    <w:abstractNumId w:val="30"/>
  </w:num>
  <w:num w:numId="116" w16cid:durableId="276327957">
    <w:abstractNumId w:val="22"/>
  </w:num>
  <w:num w:numId="117" w16cid:durableId="1082218280">
    <w:abstractNumId w:val="112"/>
  </w:num>
  <w:num w:numId="118" w16cid:durableId="820542209">
    <w:abstractNumId w:val="36"/>
  </w:num>
  <w:num w:numId="119" w16cid:durableId="517089159">
    <w:abstractNumId w:val="155"/>
  </w:num>
  <w:num w:numId="120" w16cid:durableId="1810438636">
    <w:abstractNumId w:val="44"/>
  </w:num>
  <w:num w:numId="121" w16cid:durableId="1141533558">
    <w:abstractNumId w:val="11"/>
  </w:num>
  <w:num w:numId="122" w16cid:durableId="1664621673">
    <w:abstractNumId w:val="80"/>
  </w:num>
  <w:num w:numId="123" w16cid:durableId="205601053">
    <w:abstractNumId w:val="81"/>
  </w:num>
  <w:num w:numId="124" w16cid:durableId="586618141">
    <w:abstractNumId w:val="226"/>
  </w:num>
  <w:num w:numId="125" w16cid:durableId="320930021">
    <w:abstractNumId w:val="14"/>
  </w:num>
  <w:num w:numId="126" w16cid:durableId="1619138297">
    <w:abstractNumId w:val="208"/>
  </w:num>
  <w:num w:numId="127" w16cid:durableId="978337213">
    <w:abstractNumId w:val="216"/>
  </w:num>
  <w:num w:numId="128" w16cid:durableId="436142083">
    <w:abstractNumId w:val="67"/>
  </w:num>
  <w:num w:numId="129" w16cid:durableId="538709858">
    <w:abstractNumId w:val="103"/>
  </w:num>
  <w:num w:numId="130" w16cid:durableId="1410077129">
    <w:abstractNumId w:val="195"/>
  </w:num>
  <w:num w:numId="131" w16cid:durableId="1215040893">
    <w:abstractNumId w:val="17"/>
  </w:num>
  <w:num w:numId="132" w16cid:durableId="1328434815">
    <w:abstractNumId w:val="153"/>
  </w:num>
  <w:num w:numId="133" w16cid:durableId="1243641389">
    <w:abstractNumId w:val="21"/>
  </w:num>
  <w:num w:numId="134" w16cid:durableId="1253203595">
    <w:abstractNumId w:val="165"/>
  </w:num>
  <w:num w:numId="135" w16cid:durableId="2902748">
    <w:abstractNumId w:val="97"/>
  </w:num>
  <w:num w:numId="136" w16cid:durableId="1811677912">
    <w:abstractNumId w:val="241"/>
  </w:num>
  <w:num w:numId="137" w16cid:durableId="232158177">
    <w:abstractNumId w:val="168"/>
  </w:num>
  <w:num w:numId="138" w16cid:durableId="1557157041">
    <w:abstractNumId w:val="136"/>
  </w:num>
  <w:num w:numId="139" w16cid:durableId="251400792">
    <w:abstractNumId w:val="88"/>
  </w:num>
  <w:num w:numId="140" w16cid:durableId="678241457">
    <w:abstractNumId w:val="89"/>
  </w:num>
  <w:num w:numId="141" w16cid:durableId="593173293">
    <w:abstractNumId w:val="40"/>
  </w:num>
  <w:num w:numId="142" w16cid:durableId="1142037175">
    <w:abstractNumId w:val="169"/>
  </w:num>
  <w:num w:numId="143" w16cid:durableId="1211917476">
    <w:abstractNumId w:val="91"/>
  </w:num>
  <w:num w:numId="144" w16cid:durableId="916666040">
    <w:abstractNumId w:val="152"/>
  </w:num>
  <w:num w:numId="145" w16cid:durableId="424811627">
    <w:abstractNumId w:val="100"/>
  </w:num>
  <w:num w:numId="146" w16cid:durableId="622926471">
    <w:abstractNumId w:val="39"/>
  </w:num>
  <w:num w:numId="147" w16cid:durableId="1963539957">
    <w:abstractNumId w:val="188"/>
  </w:num>
  <w:num w:numId="148" w16cid:durableId="792864234">
    <w:abstractNumId w:val="193"/>
  </w:num>
  <w:num w:numId="149" w16cid:durableId="593712534">
    <w:abstractNumId w:val="110"/>
  </w:num>
  <w:num w:numId="150" w16cid:durableId="812259717">
    <w:abstractNumId w:val="215"/>
  </w:num>
  <w:num w:numId="151" w16cid:durableId="1471946193">
    <w:abstractNumId w:val="68"/>
  </w:num>
  <w:num w:numId="152" w16cid:durableId="1161889873">
    <w:abstractNumId w:val="117"/>
  </w:num>
  <w:num w:numId="153" w16cid:durableId="1952122776">
    <w:abstractNumId w:val="202"/>
  </w:num>
  <w:num w:numId="154" w16cid:durableId="167522457">
    <w:abstractNumId w:val="179"/>
  </w:num>
  <w:num w:numId="155" w16cid:durableId="1765028171">
    <w:abstractNumId w:val="171"/>
  </w:num>
  <w:num w:numId="156" w16cid:durableId="1448771537">
    <w:abstractNumId w:val="218"/>
  </w:num>
  <w:num w:numId="157" w16cid:durableId="1963684812">
    <w:abstractNumId w:val="23"/>
  </w:num>
  <w:num w:numId="158" w16cid:durableId="348145942">
    <w:abstractNumId w:val="66"/>
  </w:num>
  <w:num w:numId="159" w16cid:durableId="1039432102">
    <w:abstractNumId w:val="129"/>
  </w:num>
  <w:num w:numId="160" w16cid:durableId="1503467883">
    <w:abstractNumId w:val="159"/>
  </w:num>
  <w:num w:numId="161" w16cid:durableId="1346592850">
    <w:abstractNumId w:val="12"/>
  </w:num>
  <w:num w:numId="162" w16cid:durableId="360281953">
    <w:abstractNumId w:val="212"/>
  </w:num>
  <w:num w:numId="163" w16cid:durableId="200752785">
    <w:abstractNumId w:val="185"/>
  </w:num>
  <w:num w:numId="164" w16cid:durableId="1713073686">
    <w:abstractNumId w:val="98"/>
  </w:num>
  <w:num w:numId="165" w16cid:durableId="574097074">
    <w:abstractNumId w:val="108"/>
  </w:num>
  <w:num w:numId="166" w16cid:durableId="1926062755">
    <w:abstractNumId w:val="190"/>
  </w:num>
  <w:num w:numId="167" w16cid:durableId="159197927">
    <w:abstractNumId w:val="60"/>
  </w:num>
  <w:num w:numId="168" w16cid:durableId="1196892288">
    <w:abstractNumId w:val="210"/>
  </w:num>
  <w:num w:numId="169" w16cid:durableId="1493713321">
    <w:abstractNumId w:val="166"/>
  </w:num>
  <w:num w:numId="170" w16cid:durableId="1297568613">
    <w:abstractNumId w:val="54"/>
  </w:num>
  <w:num w:numId="171" w16cid:durableId="1748188058">
    <w:abstractNumId w:val="227"/>
  </w:num>
  <w:num w:numId="172" w16cid:durableId="1244223990">
    <w:abstractNumId w:val="37"/>
  </w:num>
  <w:num w:numId="173" w16cid:durableId="2146651896">
    <w:abstractNumId w:val="101"/>
  </w:num>
  <w:num w:numId="174" w16cid:durableId="564486549">
    <w:abstractNumId w:val="83"/>
  </w:num>
  <w:num w:numId="175" w16cid:durableId="1601793400">
    <w:abstractNumId w:val="16"/>
  </w:num>
  <w:num w:numId="176" w16cid:durableId="1315573408">
    <w:abstractNumId w:val="144"/>
  </w:num>
  <w:num w:numId="177" w16cid:durableId="851726198">
    <w:abstractNumId w:val="199"/>
  </w:num>
  <w:num w:numId="178" w16cid:durableId="323436327">
    <w:abstractNumId w:val="224"/>
  </w:num>
  <w:num w:numId="179" w16cid:durableId="927887742">
    <w:abstractNumId w:val="120"/>
  </w:num>
  <w:num w:numId="180" w16cid:durableId="885019888">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67491455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7208590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51253662">
    <w:abstractNumId w:val="2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3501379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490073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8047704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8552721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1845769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71397719">
    <w:abstractNumId w:val="7"/>
  </w:num>
  <w:num w:numId="190" w16cid:durableId="131846053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1106590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78291579">
    <w:abstractNumId w:val="1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139375680">
    <w:abstractNumId w:val="1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380743645">
    <w:abstractNumId w:val="114"/>
  </w:num>
  <w:num w:numId="195" w16cid:durableId="1758286034">
    <w:abstractNumId w:val="20"/>
  </w:num>
  <w:num w:numId="196" w16cid:durableId="1949190339">
    <w:abstractNumId w:val="194"/>
  </w:num>
  <w:num w:numId="197" w16cid:durableId="1953122921">
    <w:abstractNumId w:val="200"/>
  </w:num>
  <w:num w:numId="198" w16cid:durableId="370765747">
    <w:abstractNumId w:val="209"/>
  </w:num>
  <w:num w:numId="199" w16cid:durableId="2063551673">
    <w:abstractNumId w:val="84"/>
  </w:num>
  <w:num w:numId="200" w16cid:durableId="138621858">
    <w:abstractNumId w:val="24"/>
  </w:num>
  <w:num w:numId="201" w16cid:durableId="980891561">
    <w:abstractNumId w:val="253"/>
  </w:num>
  <w:num w:numId="202" w16cid:durableId="805465265">
    <w:abstractNumId w:val="143"/>
  </w:num>
  <w:num w:numId="203" w16cid:durableId="1941519919">
    <w:abstractNumId w:val="167"/>
  </w:num>
  <w:num w:numId="204" w16cid:durableId="1616669784">
    <w:abstractNumId w:val="1"/>
  </w:num>
  <w:num w:numId="205" w16cid:durableId="909847935">
    <w:abstractNumId w:val="125"/>
  </w:num>
  <w:num w:numId="206" w16cid:durableId="1026828357">
    <w:abstractNumId w:val="174"/>
  </w:num>
  <w:num w:numId="207" w16cid:durableId="623468662">
    <w:abstractNumId w:val="149"/>
  </w:num>
  <w:num w:numId="208" w16cid:durableId="1749036838">
    <w:abstractNumId w:val="150"/>
  </w:num>
  <w:num w:numId="209" w16cid:durableId="320886454">
    <w:abstractNumId w:val="34"/>
  </w:num>
  <w:num w:numId="210" w16cid:durableId="1536845173">
    <w:abstractNumId w:val="111"/>
  </w:num>
  <w:num w:numId="211" w16cid:durableId="1074400346">
    <w:abstractNumId w:val="102"/>
  </w:num>
  <w:num w:numId="212" w16cid:durableId="1032459026">
    <w:abstractNumId w:val="240"/>
  </w:num>
  <w:num w:numId="213" w16cid:durableId="474613368">
    <w:abstractNumId w:val="147"/>
  </w:num>
  <w:num w:numId="214" w16cid:durableId="2437520">
    <w:abstractNumId w:val="121"/>
  </w:num>
  <w:num w:numId="215" w16cid:durableId="761141337">
    <w:abstractNumId w:val="130"/>
  </w:num>
  <w:num w:numId="216" w16cid:durableId="1676878481">
    <w:abstractNumId w:val="157"/>
  </w:num>
  <w:num w:numId="217" w16cid:durableId="1767071862">
    <w:abstractNumId w:val="115"/>
  </w:num>
  <w:num w:numId="218" w16cid:durableId="1100951911">
    <w:abstractNumId w:val="58"/>
  </w:num>
  <w:num w:numId="219" w16cid:durableId="337464852">
    <w:abstractNumId w:val="5"/>
  </w:num>
  <w:num w:numId="220" w16cid:durableId="1154300461">
    <w:abstractNumId w:val="234"/>
  </w:num>
  <w:num w:numId="221" w16cid:durableId="923341589">
    <w:abstractNumId w:val="90"/>
  </w:num>
  <w:num w:numId="222" w16cid:durableId="1209368357">
    <w:abstractNumId w:val="158"/>
  </w:num>
  <w:num w:numId="223" w16cid:durableId="1284187728">
    <w:abstractNumId w:val="183"/>
  </w:num>
  <w:num w:numId="224" w16cid:durableId="925771220">
    <w:abstractNumId w:val="186"/>
  </w:num>
  <w:num w:numId="225" w16cid:durableId="1577204046">
    <w:abstractNumId w:val="196"/>
  </w:num>
  <w:num w:numId="226" w16cid:durableId="808325552">
    <w:abstractNumId w:val="187"/>
  </w:num>
  <w:num w:numId="227" w16cid:durableId="862523985">
    <w:abstractNumId w:val="10"/>
  </w:num>
  <w:num w:numId="228" w16cid:durableId="319505379">
    <w:abstractNumId w:val="229"/>
  </w:num>
  <w:num w:numId="229" w16cid:durableId="78256990">
    <w:abstractNumId w:val="142"/>
  </w:num>
  <w:num w:numId="230" w16cid:durableId="860970316">
    <w:abstractNumId w:val="172"/>
  </w:num>
  <w:num w:numId="231" w16cid:durableId="1677491104">
    <w:abstractNumId w:val="55"/>
  </w:num>
  <w:num w:numId="232" w16cid:durableId="129322436">
    <w:abstractNumId w:val="41"/>
  </w:num>
  <w:num w:numId="233" w16cid:durableId="1659964959">
    <w:abstractNumId w:val="217"/>
  </w:num>
  <w:num w:numId="234" w16cid:durableId="2125267632">
    <w:abstractNumId w:val="207"/>
  </w:num>
  <w:num w:numId="235" w16cid:durableId="771634646">
    <w:abstractNumId w:val="236"/>
  </w:num>
  <w:num w:numId="236" w16cid:durableId="108814684">
    <w:abstractNumId w:val="246"/>
  </w:num>
  <w:num w:numId="237" w16cid:durableId="98840254">
    <w:abstractNumId w:val="248"/>
  </w:num>
  <w:num w:numId="238" w16cid:durableId="1979607600">
    <w:abstractNumId w:val="205"/>
  </w:num>
  <w:num w:numId="239" w16cid:durableId="1859003373">
    <w:abstractNumId w:val="201"/>
  </w:num>
  <w:num w:numId="240" w16cid:durableId="692263985">
    <w:abstractNumId w:val="220"/>
  </w:num>
  <w:num w:numId="241" w16cid:durableId="1154877459">
    <w:abstractNumId w:val="192"/>
  </w:num>
  <w:num w:numId="242" w16cid:durableId="1241597267">
    <w:abstractNumId w:val="148"/>
  </w:num>
  <w:num w:numId="243" w16cid:durableId="2039697302">
    <w:abstractNumId w:val="93"/>
  </w:num>
  <w:num w:numId="244" w16cid:durableId="1934775761">
    <w:abstractNumId w:val="113"/>
  </w:num>
  <w:num w:numId="245" w16cid:durableId="247468798">
    <w:abstractNumId w:val="252"/>
  </w:num>
  <w:num w:numId="246" w16cid:durableId="1405762690">
    <w:abstractNumId w:val="46"/>
  </w:num>
  <w:num w:numId="247" w16cid:durableId="1984692795">
    <w:abstractNumId w:val="164"/>
  </w:num>
  <w:num w:numId="248" w16cid:durableId="1288245314">
    <w:abstractNumId w:val="51"/>
  </w:num>
  <w:num w:numId="249" w16cid:durableId="370501292">
    <w:abstractNumId w:val="178"/>
  </w:num>
  <w:num w:numId="250" w16cid:durableId="1752773131">
    <w:abstractNumId w:val="18"/>
  </w:num>
  <w:num w:numId="251" w16cid:durableId="1964268642">
    <w:abstractNumId w:val="56"/>
  </w:num>
  <w:num w:numId="252" w16cid:durableId="2075276039">
    <w:abstractNumId w:val="2"/>
  </w:num>
  <w:num w:numId="253" w16cid:durableId="2145847709">
    <w:abstractNumId w:val="137"/>
  </w:num>
  <w:num w:numId="254" w16cid:durableId="652374598">
    <w:abstractNumId w:val="134"/>
  </w:num>
  <w:num w:numId="255" w16cid:durableId="529682249">
    <w:abstractNumId w:val="145"/>
  </w:num>
  <w:num w:numId="256" w16cid:durableId="1192039248">
    <w:abstractNumId w:val="151"/>
  </w:num>
  <w:num w:numId="257" w16cid:durableId="1785615750">
    <w:abstractNumId w:val="72"/>
  </w:num>
  <w:num w:numId="258" w16cid:durableId="1092553333">
    <w:abstractNumId w:val="141"/>
  </w:num>
  <w:num w:numId="259" w16cid:durableId="405879756">
    <w:abstractNumId w:val="19"/>
  </w:num>
  <w:num w:numId="260" w16cid:durableId="1291979920">
    <w:abstractNumId w:val="70"/>
  </w:num>
  <w:num w:numId="261" w16cid:durableId="1446271918">
    <w:abstractNumId w:val="206"/>
  </w:num>
  <w:num w:numId="262" w16cid:durableId="370569805">
    <w:abstractNumId w:val="163"/>
  </w:num>
  <w:num w:numId="263" w16cid:durableId="1751195538">
    <w:abstractNumId w:val="87"/>
  </w:num>
  <w:numIdMacAtCleanup w:val="2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0591"/>
    <w:rsid w:val="00000850"/>
    <w:rsid w:val="00000A65"/>
    <w:rsid w:val="00000C38"/>
    <w:rsid w:val="00000CF9"/>
    <w:rsid w:val="00000E20"/>
    <w:rsid w:val="00000FCB"/>
    <w:rsid w:val="00001060"/>
    <w:rsid w:val="0000138C"/>
    <w:rsid w:val="000017D2"/>
    <w:rsid w:val="00001841"/>
    <w:rsid w:val="00001898"/>
    <w:rsid w:val="00001A61"/>
    <w:rsid w:val="00001C0E"/>
    <w:rsid w:val="00001F46"/>
    <w:rsid w:val="000020A8"/>
    <w:rsid w:val="00002570"/>
    <w:rsid w:val="000034E8"/>
    <w:rsid w:val="0000372A"/>
    <w:rsid w:val="00003755"/>
    <w:rsid w:val="000037CF"/>
    <w:rsid w:val="00003BBB"/>
    <w:rsid w:val="00003D89"/>
    <w:rsid w:val="00003E8D"/>
    <w:rsid w:val="00004118"/>
    <w:rsid w:val="000041D9"/>
    <w:rsid w:val="00004670"/>
    <w:rsid w:val="00004D83"/>
    <w:rsid w:val="00005ABF"/>
    <w:rsid w:val="00005DA8"/>
    <w:rsid w:val="00005EDD"/>
    <w:rsid w:val="000062E6"/>
    <w:rsid w:val="0000657B"/>
    <w:rsid w:val="00006A04"/>
    <w:rsid w:val="00006AE2"/>
    <w:rsid w:val="00006F95"/>
    <w:rsid w:val="0000700C"/>
    <w:rsid w:val="00007017"/>
    <w:rsid w:val="00007493"/>
    <w:rsid w:val="000076A1"/>
    <w:rsid w:val="00007A06"/>
    <w:rsid w:val="00007F69"/>
    <w:rsid w:val="00007FD8"/>
    <w:rsid w:val="0001054D"/>
    <w:rsid w:val="0001070A"/>
    <w:rsid w:val="00010B1D"/>
    <w:rsid w:val="00010D61"/>
    <w:rsid w:val="00011B5E"/>
    <w:rsid w:val="00011CB1"/>
    <w:rsid w:val="00011D02"/>
    <w:rsid w:val="0001221B"/>
    <w:rsid w:val="00012259"/>
    <w:rsid w:val="00012472"/>
    <w:rsid w:val="00012A3D"/>
    <w:rsid w:val="00012E4F"/>
    <w:rsid w:val="00013457"/>
    <w:rsid w:val="00013B69"/>
    <w:rsid w:val="00013DEA"/>
    <w:rsid w:val="00014181"/>
    <w:rsid w:val="00014522"/>
    <w:rsid w:val="00014F4E"/>
    <w:rsid w:val="00015013"/>
    <w:rsid w:val="000152E6"/>
    <w:rsid w:val="0001533D"/>
    <w:rsid w:val="000155A1"/>
    <w:rsid w:val="0001582A"/>
    <w:rsid w:val="00015852"/>
    <w:rsid w:val="00015C89"/>
    <w:rsid w:val="00015EB0"/>
    <w:rsid w:val="00016190"/>
    <w:rsid w:val="000162D9"/>
    <w:rsid w:val="0001631E"/>
    <w:rsid w:val="00016684"/>
    <w:rsid w:val="00016698"/>
    <w:rsid w:val="000167EC"/>
    <w:rsid w:val="00016997"/>
    <w:rsid w:val="00016C84"/>
    <w:rsid w:val="00016D50"/>
    <w:rsid w:val="00016F38"/>
    <w:rsid w:val="00017454"/>
    <w:rsid w:val="000174E4"/>
    <w:rsid w:val="0001764E"/>
    <w:rsid w:val="00017686"/>
    <w:rsid w:val="000178DC"/>
    <w:rsid w:val="00017983"/>
    <w:rsid w:val="00017AC8"/>
    <w:rsid w:val="0002029E"/>
    <w:rsid w:val="00020908"/>
    <w:rsid w:val="00020A04"/>
    <w:rsid w:val="00020A08"/>
    <w:rsid w:val="00020B3C"/>
    <w:rsid w:val="00020B98"/>
    <w:rsid w:val="0002108F"/>
    <w:rsid w:val="0002165A"/>
    <w:rsid w:val="0002170B"/>
    <w:rsid w:val="000217D3"/>
    <w:rsid w:val="000218FD"/>
    <w:rsid w:val="00021B30"/>
    <w:rsid w:val="00021C41"/>
    <w:rsid w:val="000228E3"/>
    <w:rsid w:val="00022A19"/>
    <w:rsid w:val="00022D85"/>
    <w:rsid w:val="00022E6F"/>
    <w:rsid w:val="0002303F"/>
    <w:rsid w:val="0002307C"/>
    <w:rsid w:val="0002321D"/>
    <w:rsid w:val="000238A6"/>
    <w:rsid w:val="00023A14"/>
    <w:rsid w:val="00023CC8"/>
    <w:rsid w:val="00023E8C"/>
    <w:rsid w:val="00023FF0"/>
    <w:rsid w:val="00024094"/>
    <w:rsid w:val="000246BF"/>
    <w:rsid w:val="0002473D"/>
    <w:rsid w:val="00024856"/>
    <w:rsid w:val="000248DF"/>
    <w:rsid w:val="00024C04"/>
    <w:rsid w:val="00024CC9"/>
    <w:rsid w:val="000252D3"/>
    <w:rsid w:val="00025383"/>
    <w:rsid w:val="00025599"/>
    <w:rsid w:val="0002564D"/>
    <w:rsid w:val="00025E09"/>
    <w:rsid w:val="00025F55"/>
    <w:rsid w:val="00026477"/>
    <w:rsid w:val="0002653C"/>
    <w:rsid w:val="00026551"/>
    <w:rsid w:val="000267EA"/>
    <w:rsid w:val="00027B0D"/>
    <w:rsid w:val="00027B72"/>
    <w:rsid w:val="00027CAD"/>
    <w:rsid w:val="0003056E"/>
    <w:rsid w:val="00030C5B"/>
    <w:rsid w:val="00030C6C"/>
    <w:rsid w:val="00030C8A"/>
    <w:rsid w:val="00030D99"/>
    <w:rsid w:val="000310AB"/>
    <w:rsid w:val="00031A43"/>
    <w:rsid w:val="000320B7"/>
    <w:rsid w:val="00032204"/>
    <w:rsid w:val="0003229A"/>
    <w:rsid w:val="00032524"/>
    <w:rsid w:val="00032FCB"/>
    <w:rsid w:val="0003364E"/>
    <w:rsid w:val="000336FE"/>
    <w:rsid w:val="00033795"/>
    <w:rsid w:val="000338F6"/>
    <w:rsid w:val="00033E2E"/>
    <w:rsid w:val="000340B3"/>
    <w:rsid w:val="0003455F"/>
    <w:rsid w:val="00034878"/>
    <w:rsid w:val="00034AA7"/>
    <w:rsid w:val="00034E9A"/>
    <w:rsid w:val="00035268"/>
    <w:rsid w:val="000356A7"/>
    <w:rsid w:val="00035CE1"/>
    <w:rsid w:val="00035D87"/>
    <w:rsid w:val="0003635C"/>
    <w:rsid w:val="000367C6"/>
    <w:rsid w:val="000368CC"/>
    <w:rsid w:val="00036A6B"/>
    <w:rsid w:val="00036AF4"/>
    <w:rsid w:val="00036B45"/>
    <w:rsid w:val="00036FFD"/>
    <w:rsid w:val="000375A3"/>
    <w:rsid w:val="00037BB0"/>
    <w:rsid w:val="00037BB4"/>
    <w:rsid w:val="00037C84"/>
    <w:rsid w:val="00037F75"/>
    <w:rsid w:val="00037FF5"/>
    <w:rsid w:val="00040199"/>
    <w:rsid w:val="000401A2"/>
    <w:rsid w:val="000409B2"/>
    <w:rsid w:val="00040F7E"/>
    <w:rsid w:val="0004162E"/>
    <w:rsid w:val="000416DC"/>
    <w:rsid w:val="000416E8"/>
    <w:rsid w:val="00041A46"/>
    <w:rsid w:val="00041B02"/>
    <w:rsid w:val="00041D21"/>
    <w:rsid w:val="0004200A"/>
    <w:rsid w:val="000420F3"/>
    <w:rsid w:val="000423A3"/>
    <w:rsid w:val="00043576"/>
    <w:rsid w:val="00043640"/>
    <w:rsid w:val="00043717"/>
    <w:rsid w:val="00043A60"/>
    <w:rsid w:val="00043DE2"/>
    <w:rsid w:val="00043F45"/>
    <w:rsid w:val="00044247"/>
    <w:rsid w:val="00044575"/>
    <w:rsid w:val="00044C64"/>
    <w:rsid w:val="0004566B"/>
    <w:rsid w:val="00045BE5"/>
    <w:rsid w:val="000463D9"/>
    <w:rsid w:val="000464E6"/>
    <w:rsid w:val="000467D6"/>
    <w:rsid w:val="00046E7F"/>
    <w:rsid w:val="000475AF"/>
    <w:rsid w:val="00047703"/>
    <w:rsid w:val="0004777C"/>
    <w:rsid w:val="00047915"/>
    <w:rsid w:val="00047D40"/>
    <w:rsid w:val="00047F02"/>
    <w:rsid w:val="00050174"/>
    <w:rsid w:val="00050277"/>
    <w:rsid w:val="0005081C"/>
    <w:rsid w:val="00050929"/>
    <w:rsid w:val="00050A1D"/>
    <w:rsid w:val="00050BEB"/>
    <w:rsid w:val="00050CAE"/>
    <w:rsid w:val="00050D32"/>
    <w:rsid w:val="0005199A"/>
    <w:rsid w:val="00051BFD"/>
    <w:rsid w:val="00051F33"/>
    <w:rsid w:val="00052170"/>
    <w:rsid w:val="000523A0"/>
    <w:rsid w:val="00052480"/>
    <w:rsid w:val="00052EB6"/>
    <w:rsid w:val="00053175"/>
    <w:rsid w:val="0005340D"/>
    <w:rsid w:val="0005352E"/>
    <w:rsid w:val="00053992"/>
    <w:rsid w:val="000539B7"/>
    <w:rsid w:val="00053B1C"/>
    <w:rsid w:val="00053EBD"/>
    <w:rsid w:val="0005424A"/>
    <w:rsid w:val="00054407"/>
    <w:rsid w:val="00054CBF"/>
    <w:rsid w:val="00055386"/>
    <w:rsid w:val="0005604E"/>
    <w:rsid w:val="000568B3"/>
    <w:rsid w:val="00057060"/>
    <w:rsid w:val="000571B6"/>
    <w:rsid w:val="000571F5"/>
    <w:rsid w:val="000572D1"/>
    <w:rsid w:val="000577A4"/>
    <w:rsid w:val="00057ABD"/>
    <w:rsid w:val="00057BDB"/>
    <w:rsid w:val="00057D91"/>
    <w:rsid w:val="00057DD5"/>
    <w:rsid w:val="00057E83"/>
    <w:rsid w:val="0006018C"/>
    <w:rsid w:val="00060232"/>
    <w:rsid w:val="00060416"/>
    <w:rsid w:val="00060479"/>
    <w:rsid w:val="0006060E"/>
    <w:rsid w:val="000607E8"/>
    <w:rsid w:val="000608FD"/>
    <w:rsid w:val="00060A61"/>
    <w:rsid w:val="0006123B"/>
    <w:rsid w:val="000616A2"/>
    <w:rsid w:val="000617D6"/>
    <w:rsid w:val="00061EE1"/>
    <w:rsid w:val="0006231E"/>
    <w:rsid w:val="00062405"/>
    <w:rsid w:val="000629CC"/>
    <w:rsid w:val="00062B71"/>
    <w:rsid w:val="00062B87"/>
    <w:rsid w:val="0006302B"/>
    <w:rsid w:val="00063069"/>
    <w:rsid w:val="000635A1"/>
    <w:rsid w:val="00063657"/>
    <w:rsid w:val="0006376E"/>
    <w:rsid w:val="000638D2"/>
    <w:rsid w:val="00063E0C"/>
    <w:rsid w:val="00064237"/>
    <w:rsid w:val="00064393"/>
    <w:rsid w:val="00064B58"/>
    <w:rsid w:val="00064F1B"/>
    <w:rsid w:val="0006553E"/>
    <w:rsid w:val="00065647"/>
    <w:rsid w:val="00065961"/>
    <w:rsid w:val="00065999"/>
    <w:rsid w:val="00065A3C"/>
    <w:rsid w:val="00065CA6"/>
    <w:rsid w:val="00065D52"/>
    <w:rsid w:val="00066393"/>
    <w:rsid w:val="000664C1"/>
    <w:rsid w:val="0006651E"/>
    <w:rsid w:val="0006664F"/>
    <w:rsid w:val="00067099"/>
    <w:rsid w:val="000670D2"/>
    <w:rsid w:val="00067132"/>
    <w:rsid w:val="0006719A"/>
    <w:rsid w:val="00067207"/>
    <w:rsid w:val="0006731B"/>
    <w:rsid w:val="00067583"/>
    <w:rsid w:val="000678CA"/>
    <w:rsid w:val="0006790B"/>
    <w:rsid w:val="00067958"/>
    <w:rsid w:val="0006796D"/>
    <w:rsid w:val="00067B05"/>
    <w:rsid w:val="00067CDB"/>
    <w:rsid w:val="0007013D"/>
    <w:rsid w:val="0007062D"/>
    <w:rsid w:val="00070AF8"/>
    <w:rsid w:val="00070B84"/>
    <w:rsid w:val="00070E51"/>
    <w:rsid w:val="000710BE"/>
    <w:rsid w:val="00071219"/>
    <w:rsid w:val="00071928"/>
    <w:rsid w:val="000719F9"/>
    <w:rsid w:val="00071B61"/>
    <w:rsid w:val="00071F39"/>
    <w:rsid w:val="000729B1"/>
    <w:rsid w:val="00073D89"/>
    <w:rsid w:val="00074212"/>
    <w:rsid w:val="00074302"/>
    <w:rsid w:val="00074788"/>
    <w:rsid w:val="00074A5F"/>
    <w:rsid w:val="00074A9D"/>
    <w:rsid w:val="00074F03"/>
    <w:rsid w:val="00075299"/>
    <w:rsid w:val="00075CB7"/>
    <w:rsid w:val="0007624F"/>
    <w:rsid w:val="00076411"/>
    <w:rsid w:val="000764B7"/>
    <w:rsid w:val="00076680"/>
    <w:rsid w:val="00076A1D"/>
    <w:rsid w:val="00076B90"/>
    <w:rsid w:val="00076D60"/>
    <w:rsid w:val="00076DB2"/>
    <w:rsid w:val="00076E05"/>
    <w:rsid w:val="0007727B"/>
    <w:rsid w:val="00077437"/>
    <w:rsid w:val="00077498"/>
    <w:rsid w:val="0008051A"/>
    <w:rsid w:val="0008073E"/>
    <w:rsid w:val="000808C0"/>
    <w:rsid w:val="00080BA2"/>
    <w:rsid w:val="000813AB"/>
    <w:rsid w:val="0008149E"/>
    <w:rsid w:val="00081869"/>
    <w:rsid w:val="00081AF2"/>
    <w:rsid w:val="00081D6F"/>
    <w:rsid w:val="00081E41"/>
    <w:rsid w:val="00081ECC"/>
    <w:rsid w:val="0008246E"/>
    <w:rsid w:val="00082535"/>
    <w:rsid w:val="0008267A"/>
    <w:rsid w:val="00083B7E"/>
    <w:rsid w:val="00083D66"/>
    <w:rsid w:val="00083E19"/>
    <w:rsid w:val="0008407A"/>
    <w:rsid w:val="00084274"/>
    <w:rsid w:val="00084ED6"/>
    <w:rsid w:val="00084FB1"/>
    <w:rsid w:val="0008615C"/>
    <w:rsid w:val="000862B3"/>
    <w:rsid w:val="000866C5"/>
    <w:rsid w:val="00086783"/>
    <w:rsid w:val="00086E50"/>
    <w:rsid w:val="00086F1F"/>
    <w:rsid w:val="00087591"/>
    <w:rsid w:val="00087A81"/>
    <w:rsid w:val="00087B7C"/>
    <w:rsid w:val="00087D29"/>
    <w:rsid w:val="00090B92"/>
    <w:rsid w:val="00090D0E"/>
    <w:rsid w:val="00090F11"/>
    <w:rsid w:val="0009116E"/>
    <w:rsid w:val="00091423"/>
    <w:rsid w:val="000919CC"/>
    <w:rsid w:val="00091ADC"/>
    <w:rsid w:val="00091B78"/>
    <w:rsid w:val="00091CDB"/>
    <w:rsid w:val="00091FFE"/>
    <w:rsid w:val="00092143"/>
    <w:rsid w:val="00092374"/>
    <w:rsid w:val="000924E9"/>
    <w:rsid w:val="0009270C"/>
    <w:rsid w:val="000928B4"/>
    <w:rsid w:val="00092C9E"/>
    <w:rsid w:val="0009327E"/>
    <w:rsid w:val="0009338B"/>
    <w:rsid w:val="000933E9"/>
    <w:rsid w:val="000937B4"/>
    <w:rsid w:val="00093ABB"/>
    <w:rsid w:val="00094288"/>
    <w:rsid w:val="00094462"/>
    <w:rsid w:val="0009460D"/>
    <w:rsid w:val="0009470E"/>
    <w:rsid w:val="00094A5B"/>
    <w:rsid w:val="00094BE0"/>
    <w:rsid w:val="000951B7"/>
    <w:rsid w:val="000954AB"/>
    <w:rsid w:val="00095570"/>
    <w:rsid w:val="000957E6"/>
    <w:rsid w:val="00095A9D"/>
    <w:rsid w:val="00095B2E"/>
    <w:rsid w:val="00096116"/>
    <w:rsid w:val="000963A9"/>
    <w:rsid w:val="0009683B"/>
    <w:rsid w:val="00096E65"/>
    <w:rsid w:val="00097002"/>
    <w:rsid w:val="000970B5"/>
    <w:rsid w:val="00097961"/>
    <w:rsid w:val="00097A6E"/>
    <w:rsid w:val="000A0158"/>
    <w:rsid w:val="000A01C3"/>
    <w:rsid w:val="000A07EF"/>
    <w:rsid w:val="000A0C5B"/>
    <w:rsid w:val="000A104F"/>
    <w:rsid w:val="000A145C"/>
    <w:rsid w:val="000A17B3"/>
    <w:rsid w:val="000A19AC"/>
    <w:rsid w:val="000A1AD2"/>
    <w:rsid w:val="000A1C49"/>
    <w:rsid w:val="000A1DC9"/>
    <w:rsid w:val="000A1F46"/>
    <w:rsid w:val="000A1F87"/>
    <w:rsid w:val="000A21C6"/>
    <w:rsid w:val="000A2345"/>
    <w:rsid w:val="000A2411"/>
    <w:rsid w:val="000A3418"/>
    <w:rsid w:val="000A341F"/>
    <w:rsid w:val="000A3583"/>
    <w:rsid w:val="000A3BBE"/>
    <w:rsid w:val="000A47FC"/>
    <w:rsid w:val="000A4B47"/>
    <w:rsid w:val="000A4DC1"/>
    <w:rsid w:val="000A5142"/>
    <w:rsid w:val="000A5386"/>
    <w:rsid w:val="000A5541"/>
    <w:rsid w:val="000A56BE"/>
    <w:rsid w:val="000A5CD0"/>
    <w:rsid w:val="000A5F2E"/>
    <w:rsid w:val="000A6122"/>
    <w:rsid w:val="000A6224"/>
    <w:rsid w:val="000A6474"/>
    <w:rsid w:val="000A7068"/>
    <w:rsid w:val="000A7108"/>
    <w:rsid w:val="000A756B"/>
    <w:rsid w:val="000A76C5"/>
    <w:rsid w:val="000A77BF"/>
    <w:rsid w:val="000A7BEE"/>
    <w:rsid w:val="000A7D3C"/>
    <w:rsid w:val="000A7F19"/>
    <w:rsid w:val="000B0596"/>
    <w:rsid w:val="000B0B3A"/>
    <w:rsid w:val="000B1E7A"/>
    <w:rsid w:val="000B2053"/>
    <w:rsid w:val="000B27F1"/>
    <w:rsid w:val="000B285B"/>
    <w:rsid w:val="000B2AE6"/>
    <w:rsid w:val="000B2C8D"/>
    <w:rsid w:val="000B2D25"/>
    <w:rsid w:val="000B2EE5"/>
    <w:rsid w:val="000B2F81"/>
    <w:rsid w:val="000B3086"/>
    <w:rsid w:val="000B36BC"/>
    <w:rsid w:val="000B3750"/>
    <w:rsid w:val="000B3B8D"/>
    <w:rsid w:val="000B40FB"/>
    <w:rsid w:val="000B44BD"/>
    <w:rsid w:val="000B454A"/>
    <w:rsid w:val="000B4670"/>
    <w:rsid w:val="000B47A5"/>
    <w:rsid w:val="000B510A"/>
    <w:rsid w:val="000B510D"/>
    <w:rsid w:val="000B5301"/>
    <w:rsid w:val="000B535C"/>
    <w:rsid w:val="000B5C30"/>
    <w:rsid w:val="000B6034"/>
    <w:rsid w:val="000B619E"/>
    <w:rsid w:val="000B64DD"/>
    <w:rsid w:val="000B6573"/>
    <w:rsid w:val="000B67A4"/>
    <w:rsid w:val="000B690C"/>
    <w:rsid w:val="000B6BB7"/>
    <w:rsid w:val="000B6E6F"/>
    <w:rsid w:val="000B70FC"/>
    <w:rsid w:val="000B759D"/>
    <w:rsid w:val="000B78AF"/>
    <w:rsid w:val="000B7E61"/>
    <w:rsid w:val="000B7EAA"/>
    <w:rsid w:val="000B7F01"/>
    <w:rsid w:val="000B7FE3"/>
    <w:rsid w:val="000C01A9"/>
    <w:rsid w:val="000C01FB"/>
    <w:rsid w:val="000C06F6"/>
    <w:rsid w:val="000C07E5"/>
    <w:rsid w:val="000C0C78"/>
    <w:rsid w:val="000C0EA0"/>
    <w:rsid w:val="000C0F47"/>
    <w:rsid w:val="000C0F6A"/>
    <w:rsid w:val="000C0FE7"/>
    <w:rsid w:val="000C0FF4"/>
    <w:rsid w:val="000C125C"/>
    <w:rsid w:val="000C166D"/>
    <w:rsid w:val="000C2083"/>
    <w:rsid w:val="000C2530"/>
    <w:rsid w:val="000C2607"/>
    <w:rsid w:val="000C27DB"/>
    <w:rsid w:val="000C2F8E"/>
    <w:rsid w:val="000C3066"/>
    <w:rsid w:val="000C30EA"/>
    <w:rsid w:val="000C3400"/>
    <w:rsid w:val="000C34C1"/>
    <w:rsid w:val="000C353E"/>
    <w:rsid w:val="000C3A3B"/>
    <w:rsid w:val="000C3A94"/>
    <w:rsid w:val="000C4160"/>
    <w:rsid w:val="000C4489"/>
    <w:rsid w:val="000C47FC"/>
    <w:rsid w:val="000C4801"/>
    <w:rsid w:val="000C488E"/>
    <w:rsid w:val="000C50CC"/>
    <w:rsid w:val="000C520A"/>
    <w:rsid w:val="000C5308"/>
    <w:rsid w:val="000C537A"/>
    <w:rsid w:val="000C5C83"/>
    <w:rsid w:val="000C6331"/>
    <w:rsid w:val="000C6851"/>
    <w:rsid w:val="000C6B2B"/>
    <w:rsid w:val="000C736D"/>
    <w:rsid w:val="000C74E1"/>
    <w:rsid w:val="000C78A0"/>
    <w:rsid w:val="000C7C92"/>
    <w:rsid w:val="000C7DC7"/>
    <w:rsid w:val="000D030A"/>
    <w:rsid w:val="000D0411"/>
    <w:rsid w:val="000D0930"/>
    <w:rsid w:val="000D0BC8"/>
    <w:rsid w:val="000D11E2"/>
    <w:rsid w:val="000D12CC"/>
    <w:rsid w:val="000D1456"/>
    <w:rsid w:val="000D166D"/>
    <w:rsid w:val="000D1A36"/>
    <w:rsid w:val="000D1B6E"/>
    <w:rsid w:val="000D1E75"/>
    <w:rsid w:val="000D208D"/>
    <w:rsid w:val="000D26F8"/>
    <w:rsid w:val="000D2EF2"/>
    <w:rsid w:val="000D30C1"/>
    <w:rsid w:val="000D3209"/>
    <w:rsid w:val="000D3633"/>
    <w:rsid w:val="000D45B1"/>
    <w:rsid w:val="000D4A7D"/>
    <w:rsid w:val="000D5037"/>
    <w:rsid w:val="000D5724"/>
    <w:rsid w:val="000D5869"/>
    <w:rsid w:val="000D599E"/>
    <w:rsid w:val="000D5B92"/>
    <w:rsid w:val="000D5D48"/>
    <w:rsid w:val="000D5E46"/>
    <w:rsid w:val="000D5E6B"/>
    <w:rsid w:val="000D63C3"/>
    <w:rsid w:val="000D64D4"/>
    <w:rsid w:val="000D6860"/>
    <w:rsid w:val="000D6A3D"/>
    <w:rsid w:val="000D70C6"/>
    <w:rsid w:val="000D7663"/>
    <w:rsid w:val="000D76D7"/>
    <w:rsid w:val="000D77ED"/>
    <w:rsid w:val="000D77FA"/>
    <w:rsid w:val="000D7A3F"/>
    <w:rsid w:val="000D7A64"/>
    <w:rsid w:val="000E008F"/>
    <w:rsid w:val="000E01B6"/>
    <w:rsid w:val="000E0A0E"/>
    <w:rsid w:val="000E0A9D"/>
    <w:rsid w:val="000E0DA4"/>
    <w:rsid w:val="000E0F20"/>
    <w:rsid w:val="000E179C"/>
    <w:rsid w:val="000E1A2F"/>
    <w:rsid w:val="000E1D6D"/>
    <w:rsid w:val="000E1DD8"/>
    <w:rsid w:val="000E217B"/>
    <w:rsid w:val="000E27F4"/>
    <w:rsid w:val="000E28C9"/>
    <w:rsid w:val="000E2E3F"/>
    <w:rsid w:val="000E319D"/>
    <w:rsid w:val="000E351C"/>
    <w:rsid w:val="000E3616"/>
    <w:rsid w:val="000E36E0"/>
    <w:rsid w:val="000E3CAD"/>
    <w:rsid w:val="000E410D"/>
    <w:rsid w:val="000E4196"/>
    <w:rsid w:val="000E459C"/>
    <w:rsid w:val="000E47D5"/>
    <w:rsid w:val="000E47E6"/>
    <w:rsid w:val="000E4914"/>
    <w:rsid w:val="000E4990"/>
    <w:rsid w:val="000E4C30"/>
    <w:rsid w:val="000E4FF7"/>
    <w:rsid w:val="000E52B4"/>
    <w:rsid w:val="000E5806"/>
    <w:rsid w:val="000E5AD9"/>
    <w:rsid w:val="000E5C58"/>
    <w:rsid w:val="000E6131"/>
    <w:rsid w:val="000E6223"/>
    <w:rsid w:val="000E67E0"/>
    <w:rsid w:val="000E6C47"/>
    <w:rsid w:val="000E741A"/>
    <w:rsid w:val="000E78C7"/>
    <w:rsid w:val="000F02F4"/>
    <w:rsid w:val="000F06E3"/>
    <w:rsid w:val="000F0BCD"/>
    <w:rsid w:val="000F0C96"/>
    <w:rsid w:val="000F0CC6"/>
    <w:rsid w:val="000F0E66"/>
    <w:rsid w:val="000F0E70"/>
    <w:rsid w:val="000F1927"/>
    <w:rsid w:val="000F1C07"/>
    <w:rsid w:val="000F1E12"/>
    <w:rsid w:val="000F1E21"/>
    <w:rsid w:val="000F2A85"/>
    <w:rsid w:val="000F2EB3"/>
    <w:rsid w:val="000F300E"/>
    <w:rsid w:val="000F3530"/>
    <w:rsid w:val="000F3656"/>
    <w:rsid w:val="000F3800"/>
    <w:rsid w:val="000F3D6B"/>
    <w:rsid w:val="000F40D6"/>
    <w:rsid w:val="000F4198"/>
    <w:rsid w:val="000F44A9"/>
    <w:rsid w:val="000F4552"/>
    <w:rsid w:val="000F49DF"/>
    <w:rsid w:val="000F4B5F"/>
    <w:rsid w:val="000F4C1D"/>
    <w:rsid w:val="000F4C70"/>
    <w:rsid w:val="000F5048"/>
    <w:rsid w:val="000F52BF"/>
    <w:rsid w:val="000F5558"/>
    <w:rsid w:val="000F578A"/>
    <w:rsid w:val="000F5B99"/>
    <w:rsid w:val="000F606C"/>
    <w:rsid w:val="000F672D"/>
    <w:rsid w:val="000F6F81"/>
    <w:rsid w:val="000F7039"/>
    <w:rsid w:val="000F7159"/>
    <w:rsid w:val="000F760E"/>
    <w:rsid w:val="001001D0"/>
    <w:rsid w:val="001002E0"/>
    <w:rsid w:val="00100390"/>
    <w:rsid w:val="001004B2"/>
    <w:rsid w:val="00100888"/>
    <w:rsid w:val="00100CAC"/>
    <w:rsid w:val="00100D11"/>
    <w:rsid w:val="00101200"/>
    <w:rsid w:val="00101B7E"/>
    <w:rsid w:val="00101CAA"/>
    <w:rsid w:val="0010220A"/>
    <w:rsid w:val="0010278A"/>
    <w:rsid w:val="00102C02"/>
    <w:rsid w:val="00103232"/>
    <w:rsid w:val="0010361A"/>
    <w:rsid w:val="001038FA"/>
    <w:rsid w:val="00103F47"/>
    <w:rsid w:val="00104948"/>
    <w:rsid w:val="00104BD8"/>
    <w:rsid w:val="00104E62"/>
    <w:rsid w:val="00104ED5"/>
    <w:rsid w:val="00105093"/>
    <w:rsid w:val="001053D7"/>
    <w:rsid w:val="0010546E"/>
    <w:rsid w:val="0010589E"/>
    <w:rsid w:val="00105C47"/>
    <w:rsid w:val="00106484"/>
    <w:rsid w:val="00106B1A"/>
    <w:rsid w:val="00106B67"/>
    <w:rsid w:val="00106FD1"/>
    <w:rsid w:val="00107709"/>
    <w:rsid w:val="001077DC"/>
    <w:rsid w:val="00107A17"/>
    <w:rsid w:val="00107A52"/>
    <w:rsid w:val="00107A62"/>
    <w:rsid w:val="00107B0A"/>
    <w:rsid w:val="00110162"/>
    <w:rsid w:val="0011026C"/>
    <w:rsid w:val="0011064E"/>
    <w:rsid w:val="0011089E"/>
    <w:rsid w:val="00110FA0"/>
    <w:rsid w:val="00111383"/>
    <w:rsid w:val="00111884"/>
    <w:rsid w:val="00111B47"/>
    <w:rsid w:val="00111F21"/>
    <w:rsid w:val="00112109"/>
    <w:rsid w:val="001121CE"/>
    <w:rsid w:val="0011227D"/>
    <w:rsid w:val="00112750"/>
    <w:rsid w:val="00112877"/>
    <w:rsid w:val="00112A6D"/>
    <w:rsid w:val="00112B37"/>
    <w:rsid w:val="00113151"/>
    <w:rsid w:val="00113283"/>
    <w:rsid w:val="0011334B"/>
    <w:rsid w:val="001135D9"/>
    <w:rsid w:val="0011360E"/>
    <w:rsid w:val="00113B85"/>
    <w:rsid w:val="00113BCF"/>
    <w:rsid w:val="00113D31"/>
    <w:rsid w:val="00113D92"/>
    <w:rsid w:val="001149B0"/>
    <w:rsid w:val="001151F3"/>
    <w:rsid w:val="001152CF"/>
    <w:rsid w:val="001154E6"/>
    <w:rsid w:val="001159F1"/>
    <w:rsid w:val="00115A90"/>
    <w:rsid w:val="0011604D"/>
    <w:rsid w:val="0011604F"/>
    <w:rsid w:val="001160E6"/>
    <w:rsid w:val="001160F7"/>
    <w:rsid w:val="00116116"/>
    <w:rsid w:val="00116126"/>
    <w:rsid w:val="0011650B"/>
    <w:rsid w:val="0011653C"/>
    <w:rsid w:val="00116683"/>
    <w:rsid w:val="00116901"/>
    <w:rsid w:val="001169CF"/>
    <w:rsid w:val="00116BF8"/>
    <w:rsid w:val="00116D65"/>
    <w:rsid w:val="00117076"/>
    <w:rsid w:val="001170D2"/>
    <w:rsid w:val="00117398"/>
    <w:rsid w:val="00117581"/>
    <w:rsid w:val="00120302"/>
    <w:rsid w:val="001208FC"/>
    <w:rsid w:val="00121027"/>
    <w:rsid w:val="00121211"/>
    <w:rsid w:val="001213EB"/>
    <w:rsid w:val="0012187B"/>
    <w:rsid w:val="001218E8"/>
    <w:rsid w:val="00121E87"/>
    <w:rsid w:val="0012212A"/>
    <w:rsid w:val="0012269D"/>
    <w:rsid w:val="0012306F"/>
    <w:rsid w:val="00123715"/>
    <w:rsid w:val="00123F55"/>
    <w:rsid w:val="001241B0"/>
    <w:rsid w:val="001241DD"/>
    <w:rsid w:val="001244CD"/>
    <w:rsid w:val="00124BEA"/>
    <w:rsid w:val="00124DEF"/>
    <w:rsid w:val="00125016"/>
    <w:rsid w:val="00125218"/>
    <w:rsid w:val="00125731"/>
    <w:rsid w:val="00126210"/>
    <w:rsid w:val="0012621B"/>
    <w:rsid w:val="00126433"/>
    <w:rsid w:val="001268B7"/>
    <w:rsid w:val="00126AC8"/>
    <w:rsid w:val="00126C83"/>
    <w:rsid w:val="00127077"/>
    <w:rsid w:val="00127201"/>
    <w:rsid w:val="0012733B"/>
    <w:rsid w:val="001273C2"/>
    <w:rsid w:val="001273F3"/>
    <w:rsid w:val="0012772E"/>
    <w:rsid w:val="001277DC"/>
    <w:rsid w:val="0012783D"/>
    <w:rsid w:val="00127D7A"/>
    <w:rsid w:val="00130246"/>
    <w:rsid w:val="00130368"/>
    <w:rsid w:val="0013053F"/>
    <w:rsid w:val="0013067E"/>
    <w:rsid w:val="0013110E"/>
    <w:rsid w:val="00131659"/>
    <w:rsid w:val="00131D5E"/>
    <w:rsid w:val="001322A5"/>
    <w:rsid w:val="001324AB"/>
    <w:rsid w:val="00133106"/>
    <w:rsid w:val="001339CD"/>
    <w:rsid w:val="00133E24"/>
    <w:rsid w:val="00133F63"/>
    <w:rsid w:val="00133F88"/>
    <w:rsid w:val="00134A42"/>
    <w:rsid w:val="00134CAC"/>
    <w:rsid w:val="00134EC1"/>
    <w:rsid w:val="00134EF4"/>
    <w:rsid w:val="0013509B"/>
    <w:rsid w:val="00135215"/>
    <w:rsid w:val="001353C8"/>
    <w:rsid w:val="001354D9"/>
    <w:rsid w:val="00135BB8"/>
    <w:rsid w:val="00135CA0"/>
    <w:rsid w:val="00135DA2"/>
    <w:rsid w:val="00135E3D"/>
    <w:rsid w:val="00135FBB"/>
    <w:rsid w:val="00136108"/>
    <w:rsid w:val="00136324"/>
    <w:rsid w:val="001363E4"/>
    <w:rsid w:val="00136742"/>
    <w:rsid w:val="00136D5A"/>
    <w:rsid w:val="0013707D"/>
    <w:rsid w:val="00137301"/>
    <w:rsid w:val="00137443"/>
    <w:rsid w:val="0013788D"/>
    <w:rsid w:val="00137C75"/>
    <w:rsid w:val="001405C6"/>
    <w:rsid w:val="00140693"/>
    <w:rsid w:val="001407B7"/>
    <w:rsid w:val="00141013"/>
    <w:rsid w:val="001412F4"/>
    <w:rsid w:val="00141972"/>
    <w:rsid w:val="00141A38"/>
    <w:rsid w:val="00141A71"/>
    <w:rsid w:val="00141AB5"/>
    <w:rsid w:val="00141C1D"/>
    <w:rsid w:val="0014210C"/>
    <w:rsid w:val="00142650"/>
    <w:rsid w:val="001428CA"/>
    <w:rsid w:val="00142C62"/>
    <w:rsid w:val="00143133"/>
    <w:rsid w:val="001434D4"/>
    <w:rsid w:val="0014387F"/>
    <w:rsid w:val="00143DA6"/>
    <w:rsid w:val="00144200"/>
    <w:rsid w:val="001453EA"/>
    <w:rsid w:val="00145B0F"/>
    <w:rsid w:val="00145BA0"/>
    <w:rsid w:val="001468A5"/>
    <w:rsid w:val="001468DD"/>
    <w:rsid w:val="00146A2E"/>
    <w:rsid w:val="00146CC4"/>
    <w:rsid w:val="00146EC5"/>
    <w:rsid w:val="001473CE"/>
    <w:rsid w:val="00147915"/>
    <w:rsid w:val="001479D0"/>
    <w:rsid w:val="00147A09"/>
    <w:rsid w:val="00147C22"/>
    <w:rsid w:val="00147F4F"/>
    <w:rsid w:val="00150128"/>
    <w:rsid w:val="001501E2"/>
    <w:rsid w:val="0015071C"/>
    <w:rsid w:val="0015080C"/>
    <w:rsid w:val="00151209"/>
    <w:rsid w:val="001514DA"/>
    <w:rsid w:val="00151725"/>
    <w:rsid w:val="0015196B"/>
    <w:rsid w:val="00151C71"/>
    <w:rsid w:val="00151D40"/>
    <w:rsid w:val="00151FF7"/>
    <w:rsid w:val="00152B8C"/>
    <w:rsid w:val="00152E43"/>
    <w:rsid w:val="001539B2"/>
    <w:rsid w:val="00153B39"/>
    <w:rsid w:val="00153FBA"/>
    <w:rsid w:val="001542D4"/>
    <w:rsid w:val="001542D7"/>
    <w:rsid w:val="00154429"/>
    <w:rsid w:val="0015455C"/>
    <w:rsid w:val="00154878"/>
    <w:rsid w:val="001549CA"/>
    <w:rsid w:val="00154DC1"/>
    <w:rsid w:val="0015588A"/>
    <w:rsid w:val="001559BB"/>
    <w:rsid w:val="00155E0E"/>
    <w:rsid w:val="001565D6"/>
    <w:rsid w:val="001566D8"/>
    <w:rsid w:val="00156D9D"/>
    <w:rsid w:val="0015700B"/>
    <w:rsid w:val="00157298"/>
    <w:rsid w:val="00157BD2"/>
    <w:rsid w:val="00157C87"/>
    <w:rsid w:val="00157F68"/>
    <w:rsid w:val="0016023D"/>
    <w:rsid w:val="00160277"/>
    <w:rsid w:val="001602FF"/>
    <w:rsid w:val="00160695"/>
    <w:rsid w:val="00160992"/>
    <w:rsid w:val="00160AA4"/>
    <w:rsid w:val="00160F51"/>
    <w:rsid w:val="00160FB1"/>
    <w:rsid w:val="0016100C"/>
    <w:rsid w:val="00161467"/>
    <w:rsid w:val="00161489"/>
    <w:rsid w:val="001614C6"/>
    <w:rsid w:val="001615C8"/>
    <w:rsid w:val="0016184E"/>
    <w:rsid w:val="0016195D"/>
    <w:rsid w:val="0016196C"/>
    <w:rsid w:val="00161BDF"/>
    <w:rsid w:val="00161F53"/>
    <w:rsid w:val="00161F54"/>
    <w:rsid w:val="0016204C"/>
    <w:rsid w:val="001620D3"/>
    <w:rsid w:val="001621F7"/>
    <w:rsid w:val="00162980"/>
    <w:rsid w:val="00162A1F"/>
    <w:rsid w:val="00162C23"/>
    <w:rsid w:val="00162D48"/>
    <w:rsid w:val="00163363"/>
    <w:rsid w:val="001633A0"/>
    <w:rsid w:val="001635A7"/>
    <w:rsid w:val="00163725"/>
    <w:rsid w:val="00163CB1"/>
    <w:rsid w:val="00164562"/>
    <w:rsid w:val="001645C5"/>
    <w:rsid w:val="0016484E"/>
    <w:rsid w:val="00164F01"/>
    <w:rsid w:val="0016562D"/>
    <w:rsid w:val="0016584B"/>
    <w:rsid w:val="00165B40"/>
    <w:rsid w:val="00165F66"/>
    <w:rsid w:val="0016603D"/>
    <w:rsid w:val="0016637C"/>
    <w:rsid w:val="0016686E"/>
    <w:rsid w:val="00166B9D"/>
    <w:rsid w:val="00166D7D"/>
    <w:rsid w:val="00166E34"/>
    <w:rsid w:val="00167459"/>
    <w:rsid w:val="001674E1"/>
    <w:rsid w:val="00167871"/>
    <w:rsid w:val="001678BB"/>
    <w:rsid w:val="00167B74"/>
    <w:rsid w:val="00167C06"/>
    <w:rsid w:val="00170128"/>
    <w:rsid w:val="0017065F"/>
    <w:rsid w:val="001706CE"/>
    <w:rsid w:val="00170DDD"/>
    <w:rsid w:val="00170E10"/>
    <w:rsid w:val="0017104E"/>
    <w:rsid w:val="001710C9"/>
    <w:rsid w:val="001712E2"/>
    <w:rsid w:val="00171832"/>
    <w:rsid w:val="00171DB0"/>
    <w:rsid w:val="00171DC5"/>
    <w:rsid w:val="00171E72"/>
    <w:rsid w:val="001720D3"/>
    <w:rsid w:val="0017238E"/>
    <w:rsid w:val="00172786"/>
    <w:rsid w:val="00172AD8"/>
    <w:rsid w:val="00172BC5"/>
    <w:rsid w:val="00172FB4"/>
    <w:rsid w:val="0017302C"/>
    <w:rsid w:val="001731FA"/>
    <w:rsid w:val="0017323C"/>
    <w:rsid w:val="001732D9"/>
    <w:rsid w:val="001733E9"/>
    <w:rsid w:val="001734B8"/>
    <w:rsid w:val="0017373A"/>
    <w:rsid w:val="0017392D"/>
    <w:rsid w:val="00173ADC"/>
    <w:rsid w:val="0017440D"/>
    <w:rsid w:val="001745C3"/>
    <w:rsid w:val="00174708"/>
    <w:rsid w:val="00174993"/>
    <w:rsid w:val="00174A53"/>
    <w:rsid w:val="00174BB6"/>
    <w:rsid w:val="00174C6E"/>
    <w:rsid w:val="00174DC5"/>
    <w:rsid w:val="00175430"/>
    <w:rsid w:val="00175613"/>
    <w:rsid w:val="00175C2C"/>
    <w:rsid w:val="00175C95"/>
    <w:rsid w:val="00175E65"/>
    <w:rsid w:val="00176190"/>
    <w:rsid w:val="001762C1"/>
    <w:rsid w:val="001766C1"/>
    <w:rsid w:val="00176997"/>
    <w:rsid w:val="00176A31"/>
    <w:rsid w:val="00176C2F"/>
    <w:rsid w:val="001772AE"/>
    <w:rsid w:val="001776E2"/>
    <w:rsid w:val="00177A37"/>
    <w:rsid w:val="00177BB0"/>
    <w:rsid w:val="001802A1"/>
    <w:rsid w:val="00180468"/>
    <w:rsid w:val="001804D9"/>
    <w:rsid w:val="00180599"/>
    <w:rsid w:val="001805F4"/>
    <w:rsid w:val="00180DD5"/>
    <w:rsid w:val="0018119A"/>
    <w:rsid w:val="001812AE"/>
    <w:rsid w:val="00181488"/>
    <w:rsid w:val="00181508"/>
    <w:rsid w:val="0018155A"/>
    <w:rsid w:val="001818A4"/>
    <w:rsid w:val="00181F86"/>
    <w:rsid w:val="00182761"/>
    <w:rsid w:val="00182964"/>
    <w:rsid w:val="00182B14"/>
    <w:rsid w:val="00182E3E"/>
    <w:rsid w:val="00182E94"/>
    <w:rsid w:val="00182EA4"/>
    <w:rsid w:val="00183046"/>
    <w:rsid w:val="00183278"/>
    <w:rsid w:val="001832C7"/>
    <w:rsid w:val="001833D4"/>
    <w:rsid w:val="00183C2B"/>
    <w:rsid w:val="00183D98"/>
    <w:rsid w:val="00183DA2"/>
    <w:rsid w:val="00184325"/>
    <w:rsid w:val="001849FE"/>
    <w:rsid w:val="00184A1A"/>
    <w:rsid w:val="00184E7C"/>
    <w:rsid w:val="00184EB6"/>
    <w:rsid w:val="0018515E"/>
    <w:rsid w:val="0018580B"/>
    <w:rsid w:val="00185B11"/>
    <w:rsid w:val="00185C24"/>
    <w:rsid w:val="00186406"/>
    <w:rsid w:val="00186D07"/>
    <w:rsid w:val="00186EF7"/>
    <w:rsid w:val="0018733B"/>
    <w:rsid w:val="001874D8"/>
    <w:rsid w:val="001876AE"/>
    <w:rsid w:val="001878F1"/>
    <w:rsid w:val="00187AB5"/>
    <w:rsid w:val="00187B8E"/>
    <w:rsid w:val="00187C0F"/>
    <w:rsid w:val="001901C2"/>
    <w:rsid w:val="001902F2"/>
    <w:rsid w:val="00190793"/>
    <w:rsid w:val="0019085C"/>
    <w:rsid w:val="00190E5D"/>
    <w:rsid w:val="00190FAD"/>
    <w:rsid w:val="001912EF"/>
    <w:rsid w:val="00191320"/>
    <w:rsid w:val="0019156B"/>
    <w:rsid w:val="0019162A"/>
    <w:rsid w:val="0019169B"/>
    <w:rsid w:val="00191C09"/>
    <w:rsid w:val="00191CF5"/>
    <w:rsid w:val="00191E73"/>
    <w:rsid w:val="00192157"/>
    <w:rsid w:val="0019256B"/>
    <w:rsid w:val="001927F6"/>
    <w:rsid w:val="0019288A"/>
    <w:rsid w:val="00192CBF"/>
    <w:rsid w:val="00192CF4"/>
    <w:rsid w:val="00192F14"/>
    <w:rsid w:val="00192FC3"/>
    <w:rsid w:val="00192FF1"/>
    <w:rsid w:val="00193186"/>
    <w:rsid w:val="00193277"/>
    <w:rsid w:val="001936F0"/>
    <w:rsid w:val="00193769"/>
    <w:rsid w:val="00193A71"/>
    <w:rsid w:val="00193C4C"/>
    <w:rsid w:val="00194062"/>
    <w:rsid w:val="001940B7"/>
    <w:rsid w:val="00194493"/>
    <w:rsid w:val="001945E8"/>
    <w:rsid w:val="0019488B"/>
    <w:rsid w:val="00194F15"/>
    <w:rsid w:val="00194FD4"/>
    <w:rsid w:val="00195791"/>
    <w:rsid w:val="00195A39"/>
    <w:rsid w:val="00195A72"/>
    <w:rsid w:val="00195A9C"/>
    <w:rsid w:val="00195C10"/>
    <w:rsid w:val="00196409"/>
    <w:rsid w:val="0019740A"/>
    <w:rsid w:val="001976E0"/>
    <w:rsid w:val="001979DE"/>
    <w:rsid w:val="00197B27"/>
    <w:rsid w:val="00197C94"/>
    <w:rsid w:val="00197D44"/>
    <w:rsid w:val="00197ED4"/>
    <w:rsid w:val="00197F4C"/>
    <w:rsid w:val="001A0038"/>
    <w:rsid w:val="001A02E9"/>
    <w:rsid w:val="001A08DC"/>
    <w:rsid w:val="001A1388"/>
    <w:rsid w:val="001A15D0"/>
    <w:rsid w:val="001A1B21"/>
    <w:rsid w:val="001A1CB9"/>
    <w:rsid w:val="001A26DF"/>
    <w:rsid w:val="001A2778"/>
    <w:rsid w:val="001A2AE3"/>
    <w:rsid w:val="001A2D40"/>
    <w:rsid w:val="001A3161"/>
    <w:rsid w:val="001A3348"/>
    <w:rsid w:val="001A3997"/>
    <w:rsid w:val="001A4617"/>
    <w:rsid w:val="001A4665"/>
    <w:rsid w:val="001A4692"/>
    <w:rsid w:val="001A556E"/>
    <w:rsid w:val="001A583F"/>
    <w:rsid w:val="001A587F"/>
    <w:rsid w:val="001A5A6B"/>
    <w:rsid w:val="001A5B11"/>
    <w:rsid w:val="001A5D4C"/>
    <w:rsid w:val="001A5F1B"/>
    <w:rsid w:val="001A60D1"/>
    <w:rsid w:val="001A64C8"/>
    <w:rsid w:val="001A64F2"/>
    <w:rsid w:val="001A66F9"/>
    <w:rsid w:val="001A6BC1"/>
    <w:rsid w:val="001A6CEC"/>
    <w:rsid w:val="001A6DAF"/>
    <w:rsid w:val="001A6DC3"/>
    <w:rsid w:val="001A71EE"/>
    <w:rsid w:val="001A755A"/>
    <w:rsid w:val="001A75BC"/>
    <w:rsid w:val="001A7DAE"/>
    <w:rsid w:val="001A7E5D"/>
    <w:rsid w:val="001A7EE0"/>
    <w:rsid w:val="001B01F9"/>
    <w:rsid w:val="001B0733"/>
    <w:rsid w:val="001B0767"/>
    <w:rsid w:val="001B0D7E"/>
    <w:rsid w:val="001B124E"/>
    <w:rsid w:val="001B15B2"/>
    <w:rsid w:val="001B15D1"/>
    <w:rsid w:val="001B1943"/>
    <w:rsid w:val="001B1C22"/>
    <w:rsid w:val="001B2560"/>
    <w:rsid w:val="001B27B9"/>
    <w:rsid w:val="001B2CD5"/>
    <w:rsid w:val="001B2E8A"/>
    <w:rsid w:val="001B31DC"/>
    <w:rsid w:val="001B320F"/>
    <w:rsid w:val="001B34C6"/>
    <w:rsid w:val="001B34DD"/>
    <w:rsid w:val="001B45E5"/>
    <w:rsid w:val="001B46DE"/>
    <w:rsid w:val="001B4BB7"/>
    <w:rsid w:val="001B4D61"/>
    <w:rsid w:val="001B4FDC"/>
    <w:rsid w:val="001B5307"/>
    <w:rsid w:val="001B56C6"/>
    <w:rsid w:val="001B5DDC"/>
    <w:rsid w:val="001B6001"/>
    <w:rsid w:val="001B638B"/>
    <w:rsid w:val="001B658D"/>
    <w:rsid w:val="001B68A7"/>
    <w:rsid w:val="001B6F52"/>
    <w:rsid w:val="001B7192"/>
    <w:rsid w:val="001B7221"/>
    <w:rsid w:val="001B726E"/>
    <w:rsid w:val="001B7843"/>
    <w:rsid w:val="001B7C29"/>
    <w:rsid w:val="001B7C41"/>
    <w:rsid w:val="001B7D38"/>
    <w:rsid w:val="001C0466"/>
    <w:rsid w:val="001C071F"/>
    <w:rsid w:val="001C0C4B"/>
    <w:rsid w:val="001C110B"/>
    <w:rsid w:val="001C15BC"/>
    <w:rsid w:val="001C179B"/>
    <w:rsid w:val="001C1E63"/>
    <w:rsid w:val="001C1F51"/>
    <w:rsid w:val="001C221D"/>
    <w:rsid w:val="001C22CE"/>
    <w:rsid w:val="001C2B8E"/>
    <w:rsid w:val="001C2E15"/>
    <w:rsid w:val="001C32C7"/>
    <w:rsid w:val="001C333A"/>
    <w:rsid w:val="001C34F5"/>
    <w:rsid w:val="001C3612"/>
    <w:rsid w:val="001C3829"/>
    <w:rsid w:val="001C3BE8"/>
    <w:rsid w:val="001C3D47"/>
    <w:rsid w:val="001C3F6C"/>
    <w:rsid w:val="001C416E"/>
    <w:rsid w:val="001C4277"/>
    <w:rsid w:val="001C4452"/>
    <w:rsid w:val="001C4463"/>
    <w:rsid w:val="001C4DB7"/>
    <w:rsid w:val="001C4EB5"/>
    <w:rsid w:val="001C4F12"/>
    <w:rsid w:val="001C4F89"/>
    <w:rsid w:val="001C534F"/>
    <w:rsid w:val="001C54B9"/>
    <w:rsid w:val="001C5793"/>
    <w:rsid w:val="001C66D0"/>
    <w:rsid w:val="001C6764"/>
    <w:rsid w:val="001C6B76"/>
    <w:rsid w:val="001C6C45"/>
    <w:rsid w:val="001C6C6A"/>
    <w:rsid w:val="001C6FD4"/>
    <w:rsid w:val="001C707B"/>
    <w:rsid w:val="001C7366"/>
    <w:rsid w:val="001C73E5"/>
    <w:rsid w:val="001C747C"/>
    <w:rsid w:val="001C7797"/>
    <w:rsid w:val="001C785A"/>
    <w:rsid w:val="001C7BA3"/>
    <w:rsid w:val="001D021D"/>
    <w:rsid w:val="001D026A"/>
    <w:rsid w:val="001D02DC"/>
    <w:rsid w:val="001D03D5"/>
    <w:rsid w:val="001D069F"/>
    <w:rsid w:val="001D09CD"/>
    <w:rsid w:val="001D0AD7"/>
    <w:rsid w:val="001D142C"/>
    <w:rsid w:val="001D172F"/>
    <w:rsid w:val="001D1840"/>
    <w:rsid w:val="001D1DBE"/>
    <w:rsid w:val="001D21FC"/>
    <w:rsid w:val="001D2416"/>
    <w:rsid w:val="001D2D43"/>
    <w:rsid w:val="001D346B"/>
    <w:rsid w:val="001D3806"/>
    <w:rsid w:val="001D3819"/>
    <w:rsid w:val="001D389D"/>
    <w:rsid w:val="001D3AAA"/>
    <w:rsid w:val="001D3C2F"/>
    <w:rsid w:val="001D40AF"/>
    <w:rsid w:val="001D40E9"/>
    <w:rsid w:val="001D44BD"/>
    <w:rsid w:val="001D494A"/>
    <w:rsid w:val="001D4A13"/>
    <w:rsid w:val="001D4CE0"/>
    <w:rsid w:val="001D4E01"/>
    <w:rsid w:val="001D4E61"/>
    <w:rsid w:val="001D4FDF"/>
    <w:rsid w:val="001D50D4"/>
    <w:rsid w:val="001D5263"/>
    <w:rsid w:val="001D52ED"/>
    <w:rsid w:val="001D531C"/>
    <w:rsid w:val="001D5629"/>
    <w:rsid w:val="001D5678"/>
    <w:rsid w:val="001D5E04"/>
    <w:rsid w:val="001D6000"/>
    <w:rsid w:val="001D6568"/>
    <w:rsid w:val="001D77D5"/>
    <w:rsid w:val="001D7832"/>
    <w:rsid w:val="001D796C"/>
    <w:rsid w:val="001D7A2F"/>
    <w:rsid w:val="001D7AA6"/>
    <w:rsid w:val="001D7ECF"/>
    <w:rsid w:val="001E03E7"/>
    <w:rsid w:val="001E0709"/>
    <w:rsid w:val="001E07D2"/>
    <w:rsid w:val="001E0967"/>
    <w:rsid w:val="001E0A53"/>
    <w:rsid w:val="001E0DB8"/>
    <w:rsid w:val="001E0FE9"/>
    <w:rsid w:val="001E13D3"/>
    <w:rsid w:val="001E193F"/>
    <w:rsid w:val="001E1C59"/>
    <w:rsid w:val="001E1FA4"/>
    <w:rsid w:val="001E229D"/>
    <w:rsid w:val="001E24C5"/>
    <w:rsid w:val="001E2945"/>
    <w:rsid w:val="001E2EE7"/>
    <w:rsid w:val="001E2F41"/>
    <w:rsid w:val="001E3111"/>
    <w:rsid w:val="001E382F"/>
    <w:rsid w:val="001E3F4B"/>
    <w:rsid w:val="001E40FF"/>
    <w:rsid w:val="001E4272"/>
    <w:rsid w:val="001E4820"/>
    <w:rsid w:val="001E4863"/>
    <w:rsid w:val="001E4876"/>
    <w:rsid w:val="001E492C"/>
    <w:rsid w:val="001E4CD1"/>
    <w:rsid w:val="001E4CE7"/>
    <w:rsid w:val="001E52BD"/>
    <w:rsid w:val="001E657A"/>
    <w:rsid w:val="001E6826"/>
    <w:rsid w:val="001E68BA"/>
    <w:rsid w:val="001E6B15"/>
    <w:rsid w:val="001E6B6A"/>
    <w:rsid w:val="001E74BB"/>
    <w:rsid w:val="001E7A51"/>
    <w:rsid w:val="001E7B64"/>
    <w:rsid w:val="001E7F24"/>
    <w:rsid w:val="001E7F78"/>
    <w:rsid w:val="001E7FB0"/>
    <w:rsid w:val="001F0299"/>
    <w:rsid w:val="001F0566"/>
    <w:rsid w:val="001F0A15"/>
    <w:rsid w:val="001F0A38"/>
    <w:rsid w:val="001F0B4D"/>
    <w:rsid w:val="001F0DF2"/>
    <w:rsid w:val="001F0EB9"/>
    <w:rsid w:val="001F0ED6"/>
    <w:rsid w:val="001F1041"/>
    <w:rsid w:val="001F133A"/>
    <w:rsid w:val="001F13AB"/>
    <w:rsid w:val="001F19BA"/>
    <w:rsid w:val="001F19DB"/>
    <w:rsid w:val="001F1FAC"/>
    <w:rsid w:val="001F2082"/>
    <w:rsid w:val="001F20A9"/>
    <w:rsid w:val="001F2180"/>
    <w:rsid w:val="001F262B"/>
    <w:rsid w:val="001F2639"/>
    <w:rsid w:val="001F2687"/>
    <w:rsid w:val="001F27DF"/>
    <w:rsid w:val="001F2A25"/>
    <w:rsid w:val="001F2A4F"/>
    <w:rsid w:val="001F2D17"/>
    <w:rsid w:val="001F2F77"/>
    <w:rsid w:val="001F3444"/>
    <w:rsid w:val="001F3C04"/>
    <w:rsid w:val="001F3C0E"/>
    <w:rsid w:val="001F3D41"/>
    <w:rsid w:val="001F3ED9"/>
    <w:rsid w:val="001F4342"/>
    <w:rsid w:val="001F441D"/>
    <w:rsid w:val="001F4B8D"/>
    <w:rsid w:val="001F4DE2"/>
    <w:rsid w:val="001F532D"/>
    <w:rsid w:val="001F5593"/>
    <w:rsid w:val="001F55A9"/>
    <w:rsid w:val="001F5804"/>
    <w:rsid w:val="001F5886"/>
    <w:rsid w:val="001F5941"/>
    <w:rsid w:val="001F5B2F"/>
    <w:rsid w:val="001F5EAD"/>
    <w:rsid w:val="001F6836"/>
    <w:rsid w:val="001F683B"/>
    <w:rsid w:val="001F68BD"/>
    <w:rsid w:val="001F7082"/>
    <w:rsid w:val="001F71D2"/>
    <w:rsid w:val="001F7361"/>
    <w:rsid w:val="001F7408"/>
    <w:rsid w:val="001F7499"/>
    <w:rsid w:val="001F74FD"/>
    <w:rsid w:val="001F768E"/>
    <w:rsid w:val="001F7A25"/>
    <w:rsid w:val="002000AD"/>
    <w:rsid w:val="002008F8"/>
    <w:rsid w:val="00200B6B"/>
    <w:rsid w:val="0020120E"/>
    <w:rsid w:val="002013C6"/>
    <w:rsid w:val="00201E52"/>
    <w:rsid w:val="00202051"/>
    <w:rsid w:val="0020218E"/>
    <w:rsid w:val="00202240"/>
    <w:rsid w:val="00202A73"/>
    <w:rsid w:val="00202CE0"/>
    <w:rsid w:val="00202E3B"/>
    <w:rsid w:val="0020356F"/>
    <w:rsid w:val="002038BB"/>
    <w:rsid w:val="00203B61"/>
    <w:rsid w:val="00203CBA"/>
    <w:rsid w:val="00203D2E"/>
    <w:rsid w:val="00203DF6"/>
    <w:rsid w:val="00203E21"/>
    <w:rsid w:val="00203F3A"/>
    <w:rsid w:val="0020406D"/>
    <w:rsid w:val="00204244"/>
    <w:rsid w:val="00204419"/>
    <w:rsid w:val="0020459A"/>
    <w:rsid w:val="00204634"/>
    <w:rsid w:val="00204ABF"/>
    <w:rsid w:val="00204BBC"/>
    <w:rsid w:val="00204E2C"/>
    <w:rsid w:val="00204ED0"/>
    <w:rsid w:val="002050AA"/>
    <w:rsid w:val="00205A38"/>
    <w:rsid w:val="00206450"/>
    <w:rsid w:val="00206E8D"/>
    <w:rsid w:val="00206ED2"/>
    <w:rsid w:val="002074A7"/>
    <w:rsid w:val="0021000F"/>
    <w:rsid w:val="00210424"/>
    <w:rsid w:val="0021077F"/>
    <w:rsid w:val="002109F1"/>
    <w:rsid w:val="00210A80"/>
    <w:rsid w:val="00210FA0"/>
    <w:rsid w:val="00211185"/>
    <w:rsid w:val="002112DC"/>
    <w:rsid w:val="00211C8F"/>
    <w:rsid w:val="00211D34"/>
    <w:rsid w:val="0021209C"/>
    <w:rsid w:val="002123FB"/>
    <w:rsid w:val="0021241D"/>
    <w:rsid w:val="002124A3"/>
    <w:rsid w:val="00212BFB"/>
    <w:rsid w:val="00212CEF"/>
    <w:rsid w:val="00212E51"/>
    <w:rsid w:val="00212F62"/>
    <w:rsid w:val="002136EC"/>
    <w:rsid w:val="002136F4"/>
    <w:rsid w:val="00213720"/>
    <w:rsid w:val="002137FA"/>
    <w:rsid w:val="00213D21"/>
    <w:rsid w:val="00213FC8"/>
    <w:rsid w:val="00214093"/>
    <w:rsid w:val="00214116"/>
    <w:rsid w:val="0021438D"/>
    <w:rsid w:val="002145F3"/>
    <w:rsid w:val="002149EB"/>
    <w:rsid w:val="002149FD"/>
    <w:rsid w:val="00214A8D"/>
    <w:rsid w:val="00214C5A"/>
    <w:rsid w:val="00214DAF"/>
    <w:rsid w:val="00214DE1"/>
    <w:rsid w:val="00214F04"/>
    <w:rsid w:val="00214FC6"/>
    <w:rsid w:val="00215167"/>
    <w:rsid w:val="00215919"/>
    <w:rsid w:val="00215C68"/>
    <w:rsid w:val="002164C7"/>
    <w:rsid w:val="00216AAB"/>
    <w:rsid w:val="00216CDF"/>
    <w:rsid w:val="00216DF2"/>
    <w:rsid w:val="00216E4D"/>
    <w:rsid w:val="00216F2F"/>
    <w:rsid w:val="00217157"/>
    <w:rsid w:val="00217695"/>
    <w:rsid w:val="00220474"/>
    <w:rsid w:val="00220687"/>
    <w:rsid w:val="00220957"/>
    <w:rsid w:val="00220CBF"/>
    <w:rsid w:val="002210A7"/>
    <w:rsid w:val="0022131A"/>
    <w:rsid w:val="00221515"/>
    <w:rsid w:val="00221C99"/>
    <w:rsid w:val="00221D7C"/>
    <w:rsid w:val="00221D86"/>
    <w:rsid w:val="00221DF1"/>
    <w:rsid w:val="00221F28"/>
    <w:rsid w:val="00222287"/>
    <w:rsid w:val="002226B7"/>
    <w:rsid w:val="002227E7"/>
    <w:rsid w:val="00222A9E"/>
    <w:rsid w:val="00222B0A"/>
    <w:rsid w:val="00222B36"/>
    <w:rsid w:val="00222D03"/>
    <w:rsid w:val="00223068"/>
    <w:rsid w:val="00223247"/>
    <w:rsid w:val="00223397"/>
    <w:rsid w:val="0022367C"/>
    <w:rsid w:val="00223B10"/>
    <w:rsid w:val="00223E37"/>
    <w:rsid w:val="00224071"/>
    <w:rsid w:val="00224814"/>
    <w:rsid w:val="002252B0"/>
    <w:rsid w:val="00225A28"/>
    <w:rsid w:val="00225D55"/>
    <w:rsid w:val="00226126"/>
    <w:rsid w:val="002263DB"/>
    <w:rsid w:val="00226B06"/>
    <w:rsid w:val="00226BC8"/>
    <w:rsid w:val="00226DF0"/>
    <w:rsid w:val="0022700B"/>
    <w:rsid w:val="002272F6"/>
    <w:rsid w:val="00227454"/>
    <w:rsid w:val="0022766C"/>
    <w:rsid w:val="00227BB5"/>
    <w:rsid w:val="00227C6A"/>
    <w:rsid w:val="0023019F"/>
    <w:rsid w:val="002305BC"/>
    <w:rsid w:val="00230617"/>
    <w:rsid w:val="00230655"/>
    <w:rsid w:val="00230961"/>
    <w:rsid w:val="00230AEC"/>
    <w:rsid w:val="0023128F"/>
    <w:rsid w:val="00231E06"/>
    <w:rsid w:val="002320A0"/>
    <w:rsid w:val="00232735"/>
    <w:rsid w:val="00232883"/>
    <w:rsid w:val="002329D5"/>
    <w:rsid w:val="00232B15"/>
    <w:rsid w:val="00233150"/>
    <w:rsid w:val="0023347D"/>
    <w:rsid w:val="00233FC5"/>
    <w:rsid w:val="00235621"/>
    <w:rsid w:val="002358B9"/>
    <w:rsid w:val="00235B05"/>
    <w:rsid w:val="00236378"/>
    <w:rsid w:val="00236775"/>
    <w:rsid w:val="00236C85"/>
    <w:rsid w:val="00236EB8"/>
    <w:rsid w:val="002375C3"/>
    <w:rsid w:val="00237650"/>
    <w:rsid w:val="002376AA"/>
    <w:rsid w:val="00237FE2"/>
    <w:rsid w:val="00240469"/>
    <w:rsid w:val="00240664"/>
    <w:rsid w:val="00240937"/>
    <w:rsid w:val="00240F38"/>
    <w:rsid w:val="00241065"/>
    <w:rsid w:val="002410D5"/>
    <w:rsid w:val="0024132B"/>
    <w:rsid w:val="00241888"/>
    <w:rsid w:val="00241CA1"/>
    <w:rsid w:val="00241D77"/>
    <w:rsid w:val="002421F5"/>
    <w:rsid w:val="0024295C"/>
    <w:rsid w:val="00243040"/>
    <w:rsid w:val="00243788"/>
    <w:rsid w:val="00243A63"/>
    <w:rsid w:val="00243C1C"/>
    <w:rsid w:val="00243C73"/>
    <w:rsid w:val="00243CCB"/>
    <w:rsid w:val="00243FF3"/>
    <w:rsid w:val="00244761"/>
    <w:rsid w:val="002448BC"/>
    <w:rsid w:val="00244C1D"/>
    <w:rsid w:val="00245462"/>
    <w:rsid w:val="0024553B"/>
    <w:rsid w:val="002458BC"/>
    <w:rsid w:val="00245D4C"/>
    <w:rsid w:val="00245E18"/>
    <w:rsid w:val="0024623F"/>
    <w:rsid w:val="0024697B"/>
    <w:rsid w:val="00247383"/>
    <w:rsid w:val="00247851"/>
    <w:rsid w:val="00247A99"/>
    <w:rsid w:val="00247CF9"/>
    <w:rsid w:val="00247D37"/>
    <w:rsid w:val="002500AC"/>
    <w:rsid w:val="002502D2"/>
    <w:rsid w:val="002503EC"/>
    <w:rsid w:val="00250FBF"/>
    <w:rsid w:val="00251C61"/>
    <w:rsid w:val="00251CA9"/>
    <w:rsid w:val="00251CD9"/>
    <w:rsid w:val="00252575"/>
    <w:rsid w:val="00252928"/>
    <w:rsid w:val="00252A2F"/>
    <w:rsid w:val="00252C86"/>
    <w:rsid w:val="002531AC"/>
    <w:rsid w:val="002532DD"/>
    <w:rsid w:val="002533F8"/>
    <w:rsid w:val="0025354D"/>
    <w:rsid w:val="002536BB"/>
    <w:rsid w:val="00253985"/>
    <w:rsid w:val="00253F38"/>
    <w:rsid w:val="00253F9A"/>
    <w:rsid w:val="00254057"/>
    <w:rsid w:val="002542EF"/>
    <w:rsid w:val="00254868"/>
    <w:rsid w:val="00254942"/>
    <w:rsid w:val="00254A30"/>
    <w:rsid w:val="0025533C"/>
    <w:rsid w:val="002557A1"/>
    <w:rsid w:val="00255A60"/>
    <w:rsid w:val="00255CEE"/>
    <w:rsid w:val="00255E8E"/>
    <w:rsid w:val="00255F5B"/>
    <w:rsid w:val="00256200"/>
    <w:rsid w:val="0025689F"/>
    <w:rsid w:val="00256F70"/>
    <w:rsid w:val="00256FD7"/>
    <w:rsid w:val="00257678"/>
    <w:rsid w:val="0025773D"/>
    <w:rsid w:val="00257B98"/>
    <w:rsid w:val="002605BE"/>
    <w:rsid w:val="00260B7A"/>
    <w:rsid w:val="00260C05"/>
    <w:rsid w:val="00260C6C"/>
    <w:rsid w:val="00260FA2"/>
    <w:rsid w:val="00260FD1"/>
    <w:rsid w:val="002615BC"/>
    <w:rsid w:val="00261824"/>
    <w:rsid w:val="00261877"/>
    <w:rsid w:val="00261A49"/>
    <w:rsid w:val="00261AA6"/>
    <w:rsid w:val="00261DC9"/>
    <w:rsid w:val="00261FDE"/>
    <w:rsid w:val="0026238B"/>
    <w:rsid w:val="0026286E"/>
    <w:rsid w:val="00262BC3"/>
    <w:rsid w:val="00262D5F"/>
    <w:rsid w:val="00262F12"/>
    <w:rsid w:val="0026301C"/>
    <w:rsid w:val="0026303F"/>
    <w:rsid w:val="0026304D"/>
    <w:rsid w:val="0026381D"/>
    <w:rsid w:val="0026392C"/>
    <w:rsid w:val="002639A2"/>
    <w:rsid w:val="00263A62"/>
    <w:rsid w:val="00263BC5"/>
    <w:rsid w:val="00263F26"/>
    <w:rsid w:val="00263FBB"/>
    <w:rsid w:val="002640F8"/>
    <w:rsid w:val="002646A5"/>
    <w:rsid w:val="00264A0A"/>
    <w:rsid w:val="00264AA7"/>
    <w:rsid w:val="00264B78"/>
    <w:rsid w:val="0026541A"/>
    <w:rsid w:val="00265423"/>
    <w:rsid w:val="0026583A"/>
    <w:rsid w:val="002658D1"/>
    <w:rsid w:val="00265C20"/>
    <w:rsid w:val="00265C4F"/>
    <w:rsid w:val="00265D0F"/>
    <w:rsid w:val="002663FD"/>
    <w:rsid w:val="00266CD6"/>
    <w:rsid w:val="002671EF"/>
    <w:rsid w:val="0026734B"/>
    <w:rsid w:val="002674EF"/>
    <w:rsid w:val="002676A1"/>
    <w:rsid w:val="00267F1F"/>
    <w:rsid w:val="0027001B"/>
    <w:rsid w:val="00270125"/>
    <w:rsid w:val="002705BE"/>
    <w:rsid w:val="0027094B"/>
    <w:rsid w:val="0027124E"/>
    <w:rsid w:val="00271A77"/>
    <w:rsid w:val="00271CD3"/>
    <w:rsid w:val="00272403"/>
    <w:rsid w:val="00272438"/>
    <w:rsid w:val="0027275F"/>
    <w:rsid w:val="00272C5F"/>
    <w:rsid w:val="00273183"/>
    <w:rsid w:val="00273400"/>
    <w:rsid w:val="00273652"/>
    <w:rsid w:val="00273BC5"/>
    <w:rsid w:val="00273BE8"/>
    <w:rsid w:val="00273C3C"/>
    <w:rsid w:val="00273C7F"/>
    <w:rsid w:val="00273DC7"/>
    <w:rsid w:val="00274151"/>
    <w:rsid w:val="00274195"/>
    <w:rsid w:val="002746D6"/>
    <w:rsid w:val="002747F0"/>
    <w:rsid w:val="0027490D"/>
    <w:rsid w:val="0027496C"/>
    <w:rsid w:val="00274ABB"/>
    <w:rsid w:val="00274B42"/>
    <w:rsid w:val="00274E92"/>
    <w:rsid w:val="00274ED1"/>
    <w:rsid w:val="00275155"/>
    <w:rsid w:val="002751AE"/>
    <w:rsid w:val="0027559B"/>
    <w:rsid w:val="00275844"/>
    <w:rsid w:val="00275B9A"/>
    <w:rsid w:val="00275DAB"/>
    <w:rsid w:val="0027600A"/>
    <w:rsid w:val="0027639C"/>
    <w:rsid w:val="00276C8E"/>
    <w:rsid w:val="002772A5"/>
    <w:rsid w:val="0027760E"/>
    <w:rsid w:val="0027787E"/>
    <w:rsid w:val="00277A0F"/>
    <w:rsid w:val="00277E55"/>
    <w:rsid w:val="00277E6A"/>
    <w:rsid w:val="00280329"/>
    <w:rsid w:val="00280809"/>
    <w:rsid w:val="00281182"/>
    <w:rsid w:val="002811AC"/>
    <w:rsid w:val="002813ED"/>
    <w:rsid w:val="0028153C"/>
    <w:rsid w:val="00281D74"/>
    <w:rsid w:val="0028265A"/>
    <w:rsid w:val="002827C5"/>
    <w:rsid w:val="00282A22"/>
    <w:rsid w:val="00282BAC"/>
    <w:rsid w:val="00282C7C"/>
    <w:rsid w:val="002833F1"/>
    <w:rsid w:val="002835EC"/>
    <w:rsid w:val="00283665"/>
    <w:rsid w:val="00284494"/>
    <w:rsid w:val="002845A3"/>
    <w:rsid w:val="00284623"/>
    <w:rsid w:val="002850AA"/>
    <w:rsid w:val="002858A9"/>
    <w:rsid w:val="00285922"/>
    <w:rsid w:val="0028592F"/>
    <w:rsid w:val="00285AB7"/>
    <w:rsid w:val="0028659A"/>
    <w:rsid w:val="002865FD"/>
    <w:rsid w:val="00286824"/>
    <w:rsid w:val="00286EFD"/>
    <w:rsid w:val="002870CA"/>
    <w:rsid w:val="0028750E"/>
    <w:rsid w:val="00287631"/>
    <w:rsid w:val="0028775F"/>
    <w:rsid w:val="0028788E"/>
    <w:rsid w:val="0028791D"/>
    <w:rsid w:val="002879B8"/>
    <w:rsid w:val="00287F5C"/>
    <w:rsid w:val="002901B2"/>
    <w:rsid w:val="002901D0"/>
    <w:rsid w:val="00290209"/>
    <w:rsid w:val="002902A5"/>
    <w:rsid w:val="0029047A"/>
    <w:rsid w:val="0029072D"/>
    <w:rsid w:val="002907A3"/>
    <w:rsid w:val="002908AC"/>
    <w:rsid w:val="00290CCB"/>
    <w:rsid w:val="00290D70"/>
    <w:rsid w:val="00290E32"/>
    <w:rsid w:val="00291181"/>
    <w:rsid w:val="00291DA1"/>
    <w:rsid w:val="00292332"/>
    <w:rsid w:val="002927A1"/>
    <w:rsid w:val="00292819"/>
    <w:rsid w:val="002930DF"/>
    <w:rsid w:val="00293991"/>
    <w:rsid w:val="00293B48"/>
    <w:rsid w:val="00293D9D"/>
    <w:rsid w:val="00294D12"/>
    <w:rsid w:val="00294F95"/>
    <w:rsid w:val="00295053"/>
    <w:rsid w:val="0029542F"/>
    <w:rsid w:val="00295730"/>
    <w:rsid w:val="00295782"/>
    <w:rsid w:val="00295CA4"/>
    <w:rsid w:val="00295EB9"/>
    <w:rsid w:val="0029671F"/>
    <w:rsid w:val="0029699A"/>
    <w:rsid w:val="00296A6A"/>
    <w:rsid w:val="00296DE6"/>
    <w:rsid w:val="00296EF3"/>
    <w:rsid w:val="002976DC"/>
    <w:rsid w:val="002977C1"/>
    <w:rsid w:val="0029780F"/>
    <w:rsid w:val="002A0037"/>
    <w:rsid w:val="002A0199"/>
    <w:rsid w:val="002A0473"/>
    <w:rsid w:val="002A0845"/>
    <w:rsid w:val="002A11B2"/>
    <w:rsid w:val="002A1672"/>
    <w:rsid w:val="002A16B5"/>
    <w:rsid w:val="002A17B6"/>
    <w:rsid w:val="002A195A"/>
    <w:rsid w:val="002A1BE8"/>
    <w:rsid w:val="002A1E0A"/>
    <w:rsid w:val="002A1ED4"/>
    <w:rsid w:val="002A25DE"/>
    <w:rsid w:val="002A2CA3"/>
    <w:rsid w:val="002A2CE2"/>
    <w:rsid w:val="002A3125"/>
    <w:rsid w:val="002A3156"/>
    <w:rsid w:val="002A40D1"/>
    <w:rsid w:val="002A43C6"/>
    <w:rsid w:val="002A4B27"/>
    <w:rsid w:val="002A4C60"/>
    <w:rsid w:val="002A4EDB"/>
    <w:rsid w:val="002A54CA"/>
    <w:rsid w:val="002A5802"/>
    <w:rsid w:val="002A6320"/>
    <w:rsid w:val="002A64E4"/>
    <w:rsid w:val="002A6586"/>
    <w:rsid w:val="002A667B"/>
    <w:rsid w:val="002A67EE"/>
    <w:rsid w:val="002A681A"/>
    <w:rsid w:val="002A6A2B"/>
    <w:rsid w:val="002A6F27"/>
    <w:rsid w:val="002A7482"/>
    <w:rsid w:val="002A75C1"/>
    <w:rsid w:val="002A767A"/>
    <w:rsid w:val="002A782A"/>
    <w:rsid w:val="002A7A47"/>
    <w:rsid w:val="002A7D72"/>
    <w:rsid w:val="002B00C2"/>
    <w:rsid w:val="002B0570"/>
    <w:rsid w:val="002B06F1"/>
    <w:rsid w:val="002B0832"/>
    <w:rsid w:val="002B0C46"/>
    <w:rsid w:val="002B1063"/>
    <w:rsid w:val="002B10AF"/>
    <w:rsid w:val="002B11E2"/>
    <w:rsid w:val="002B120E"/>
    <w:rsid w:val="002B13C8"/>
    <w:rsid w:val="002B1CBA"/>
    <w:rsid w:val="002B1D6F"/>
    <w:rsid w:val="002B2118"/>
    <w:rsid w:val="002B231D"/>
    <w:rsid w:val="002B24B8"/>
    <w:rsid w:val="002B272E"/>
    <w:rsid w:val="002B2844"/>
    <w:rsid w:val="002B2920"/>
    <w:rsid w:val="002B2C38"/>
    <w:rsid w:val="002B31C3"/>
    <w:rsid w:val="002B33E2"/>
    <w:rsid w:val="002B370F"/>
    <w:rsid w:val="002B3CBE"/>
    <w:rsid w:val="002B3D56"/>
    <w:rsid w:val="002B3E35"/>
    <w:rsid w:val="002B4059"/>
    <w:rsid w:val="002B4647"/>
    <w:rsid w:val="002B4BDE"/>
    <w:rsid w:val="002B4DEE"/>
    <w:rsid w:val="002B53AD"/>
    <w:rsid w:val="002B55B6"/>
    <w:rsid w:val="002B55BD"/>
    <w:rsid w:val="002B57AA"/>
    <w:rsid w:val="002B6178"/>
    <w:rsid w:val="002B62F6"/>
    <w:rsid w:val="002B676C"/>
    <w:rsid w:val="002B6832"/>
    <w:rsid w:val="002B69D8"/>
    <w:rsid w:val="002B6A1F"/>
    <w:rsid w:val="002B6CE3"/>
    <w:rsid w:val="002B6DA6"/>
    <w:rsid w:val="002B6DC1"/>
    <w:rsid w:val="002B70B9"/>
    <w:rsid w:val="002B7239"/>
    <w:rsid w:val="002B74BB"/>
    <w:rsid w:val="002C0566"/>
    <w:rsid w:val="002C0A20"/>
    <w:rsid w:val="002C0B99"/>
    <w:rsid w:val="002C0EAB"/>
    <w:rsid w:val="002C0FD5"/>
    <w:rsid w:val="002C12A9"/>
    <w:rsid w:val="002C12E1"/>
    <w:rsid w:val="002C137A"/>
    <w:rsid w:val="002C15BE"/>
    <w:rsid w:val="002C1727"/>
    <w:rsid w:val="002C1A88"/>
    <w:rsid w:val="002C1DBA"/>
    <w:rsid w:val="002C1E1D"/>
    <w:rsid w:val="002C1F64"/>
    <w:rsid w:val="002C2043"/>
    <w:rsid w:val="002C218A"/>
    <w:rsid w:val="002C25F2"/>
    <w:rsid w:val="002C2600"/>
    <w:rsid w:val="002C2677"/>
    <w:rsid w:val="002C277D"/>
    <w:rsid w:val="002C2986"/>
    <w:rsid w:val="002C2AB0"/>
    <w:rsid w:val="002C2E36"/>
    <w:rsid w:val="002C3751"/>
    <w:rsid w:val="002C3AB9"/>
    <w:rsid w:val="002C3ADF"/>
    <w:rsid w:val="002C3B41"/>
    <w:rsid w:val="002C3BD5"/>
    <w:rsid w:val="002C3BE9"/>
    <w:rsid w:val="002C3E4E"/>
    <w:rsid w:val="002C41EA"/>
    <w:rsid w:val="002C49DF"/>
    <w:rsid w:val="002C4A09"/>
    <w:rsid w:val="002C4C14"/>
    <w:rsid w:val="002C5061"/>
    <w:rsid w:val="002C5855"/>
    <w:rsid w:val="002C604D"/>
    <w:rsid w:val="002C61FB"/>
    <w:rsid w:val="002C6D5B"/>
    <w:rsid w:val="002C7791"/>
    <w:rsid w:val="002C77FA"/>
    <w:rsid w:val="002C783C"/>
    <w:rsid w:val="002C7DB8"/>
    <w:rsid w:val="002D04D2"/>
    <w:rsid w:val="002D072D"/>
    <w:rsid w:val="002D09DD"/>
    <w:rsid w:val="002D10CA"/>
    <w:rsid w:val="002D1294"/>
    <w:rsid w:val="002D1360"/>
    <w:rsid w:val="002D14D6"/>
    <w:rsid w:val="002D163A"/>
    <w:rsid w:val="002D1C6F"/>
    <w:rsid w:val="002D2302"/>
    <w:rsid w:val="002D2728"/>
    <w:rsid w:val="002D2865"/>
    <w:rsid w:val="002D28C5"/>
    <w:rsid w:val="002D2BD9"/>
    <w:rsid w:val="002D2C1C"/>
    <w:rsid w:val="002D2C28"/>
    <w:rsid w:val="002D2FEE"/>
    <w:rsid w:val="002D32DB"/>
    <w:rsid w:val="002D3936"/>
    <w:rsid w:val="002D3AE9"/>
    <w:rsid w:val="002D3D48"/>
    <w:rsid w:val="002D3E78"/>
    <w:rsid w:val="002D4239"/>
    <w:rsid w:val="002D4510"/>
    <w:rsid w:val="002D45E4"/>
    <w:rsid w:val="002D4DCB"/>
    <w:rsid w:val="002D5170"/>
    <w:rsid w:val="002D52EF"/>
    <w:rsid w:val="002D5416"/>
    <w:rsid w:val="002D5983"/>
    <w:rsid w:val="002D5CD9"/>
    <w:rsid w:val="002D5F5F"/>
    <w:rsid w:val="002D6130"/>
    <w:rsid w:val="002D6774"/>
    <w:rsid w:val="002D694E"/>
    <w:rsid w:val="002D6D93"/>
    <w:rsid w:val="002D6DEA"/>
    <w:rsid w:val="002D6DFE"/>
    <w:rsid w:val="002D6E4C"/>
    <w:rsid w:val="002D72F6"/>
    <w:rsid w:val="002D734E"/>
    <w:rsid w:val="002D7417"/>
    <w:rsid w:val="002D75D8"/>
    <w:rsid w:val="002D7740"/>
    <w:rsid w:val="002D788C"/>
    <w:rsid w:val="002D7D40"/>
    <w:rsid w:val="002E0068"/>
    <w:rsid w:val="002E0493"/>
    <w:rsid w:val="002E0525"/>
    <w:rsid w:val="002E054C"/>
    <w:rsid w:val="002E0868"/>
    <w:rsid w:val="002E0B6A"/>
    <w:rsid w:val="002E0CB6"/>
    <w:rsid w:val="002E13D6"/>
    <w:rsid w:val="002E16D3"/>
    <w:rsid w:val="002E174B"/>
    <w:rsid w:val="002E1E9C"/>
    <w:rsid w:val="002E2200"/>
    <w:rsid w:val="002E236F"/>
    <w:rsid w:val="002E255D"/>
    <w:rsid w:val="002E2630"/>
    <w:rsid w:val="002E2870"/>
    <w:rsid w:val="002E28ED"/>
    <w:rsid w:val="002E2E2F"/>
    <w:rsid w:val="002E2EE0"/>
    <w:rsid w:val="002E2FF7"/>
    <w:rsid w:val="002E3423"/>
    <w:rsid w:val="002E36CB"/>
    <w:rsid w:val="002E3B80"/>
    <w:rsid w:val="002E3BE2"/>
    <w:rsid w:val="002E3E4A"/>
    <w:rsid w:val="002E3EAC"/>
    <w:rsid w:val="002E3F34"/>
    <w:rsid w:val="002E4207"/>
    <w:rsid w:val="002E45FB"/>
    <w:rsid w:val="002E467F"/>
    <w:rsid w:val="002E4A7B"/>
    <w:rsid w:val="002E4A85"/>
    <w:rsid w:val="002E5042"/>
    <w:rsid w:val="002E52A2"/>
    <w:rsid w:val="002E5453"/>
    <w:rsid w:val="002E5588"/>
    <w:rsid w:val="002E5597"/>
    <w:rsid w:val="002E5598"/>
    <w:rsid w:val="002E5A86"/>
    <w:rsid w:val="002E6277"/>
    <w:rsid w:val="002E633F"/>
    <w:rsid w:val="002E6397"/>
    <w:rsid w:val="002E63DD"/>
    <w:rsid w:val="002E6544"/>
    <w:rsid w:val="002E6599"/>
    <w:rsid w:val="002E6846"/>
    <w:rsid w:val="002E6918"/>
    <w:rsid w:val="002E6F1C"/>
    <w:rsid w:val="002E7392"/>
    <w:rsid w:val="002E7528"/>
    <w:rsid w:val="002E77EA"/>
    <w:rsid w:val="002E7B1F"/>
    <w:rsid w:val="002E7C40"/>
    <w:rsid w:val="002E7C97"/>
    <w:rsid w:val="002E7D25"/>
    <w:rsid w:val="002E7D69"/>
    <w:rsid w:val="002F0641"/>
    <w:rsid w:val="002F0734"/>
    <w:rsid w:val="002F0A1B"/>
    <w:rsid w:val="002F110D"/>
    <w:rsid w:val="002F12B4"/>
    <w:rsid w:val="002F1C15"/>
    <w:rsid w:val="002F1D35"/>
    <w:rsid w:val="002F1DA1"/>
    <w:rsid w:val="002F1DF5"/>
    <w:rsid w:val="002F1F22"/>
    <w:rsid w:val="002F21A1"/>
    <w:rsid w:val="002F2230"/>
    <w:rsid w:val="002F287D"/>
    <w:rsid w:val="002F2CAE"/>
    <w:rsid w:val="002F2E5B"/>
    <w:rsid w:val="002F37D3"/>
    <w:rsid w:val="002F3D7E"/>
    <w:rsid w:val="002F3EC1"/>
    <w:rsid w:val="002F40BC"/>
    <w:rsid w:val="002F44EE"/>
    <w:rsid w:val="002F46E7"/>
    <w:rsid w:val="002F55FD"/>
    <w:rsid w:val="002F5B83"/>
    <w:rsid w:val="002F5C03"/>
    <w:rsid w:val="002F6128"/>
    <w:rsid w:val="002F6328"/>
    <w:rsid w:val="002F655E"/>
    <w:rsid w:val="002F68DC"/>
    <w:rsid w:val="002F69E2"/>
    <w:rsid w:val="002F6A51"/>
    <w:rsid w:val="002F6B2D"/>
    <w:rsid w:val="002F6FA4"/>
    <w:rsid w:val="002F6FC3"/>
    <w:rsid w:val="002F70A3"/>
    <w:rsid w:val="002F7527"/>
    <w:rsid w:val="002F7545"/>
    <w:rsid w:val="002F7988"/>
    <w:rsid w:val="002F7BD6"/>
    <w:rsid w:val="003001AB"/>
    <w:rsid w:val="003002CF"/>
    <w:rsid w:val="003003B5"/>
    <w:rsid w:val="003005AF"/>
    <w:rsid w:val="00300658"/>
    <w:rsid w:val="00300D4D"/>
    <w:rsid w:val="00301831"/>
    <w:rsid w:val="00301BBA"/>
    <w:rsid w:val="00301D8F"/>
    <w:rsid w:val="00301F5E"/>
    <w:rsid w:val="00302273"/>
    <w:rsid w:val="003025A6"/>
    <w:rsid w:val="003028EA"/>
    <w:rsid w:val="0030393A"/>
    <w:rsid w:val="00303B0C"/>
    <w:rsid w:val="00303BF7"/>
    <w:rsid w:val="00303ED3"/>
    <w:rsid w:val="00304017"/>
    <w:rsid w:val="0030449B"/>
    <w:rsid w:val="0030488C"/>
    <w:rsid w:val="00304A4C"/>
    <w:rsid w:val="003050F2"/>
    <w:rsid w:val="0030531B"/>
    <w:rsid w:val="0030543B"/>
    <w:rsid w:val="003056B1"/>
    <w:rsid w:val="003057A4"/>
    <w:rsid w:val="003057AE"/>
    <w:rsid w:val="00305AED"/>
    <w:rsid w:val="00305C3B"/>
    <w:rsid w:val="00305F90"/>
    <w:rsid w:val="00306254"/>
    <w:rsid w:val="003064CA"/>
    <w:rsid w:val="003065BC"/>
    <w:rsid w:val="003066A6"/>
    <w:rsid w:val="003067CB"/>
    <w:rsid w:val="00306806"/>
    <w:rsid w:val="00306D3B"/>
    <w:rsid w:val="00306FAE"/>
    <w:rsid w:val="003072AE"/>
    <w:rsid w:val="0030742A"/>
    <w:rsid w:val="00307E78"/>
    <w:rsid w:val="00307EE0"/>
    <w:rsid w:val="003101DA"/>
    <w:rsid w:val="00310439"/>
    <w:rsid w:val="003104E6"/>
    <w:rsid w:val="003105D7"/>
    <w:rsid w:val="00310761"/>
    <w:rsid w:val="00310D6D"/>
    <w:rsid w:val="00310EC9"/>
    <w:rsid w:val="003112F3"/>
    <w:rsid w:val="003116A1"/>
    <w:rsid w:val="00312803"/>
    <w:rsid w:val="00312A16"/>
    <w:rsid w:val="00312B2D"/>
    <w:rsid w:val="003131EF"/>
    <w:rsid w:val="0031371F"/>
    <w:rsid w:val="00313DAD"/>
    <w:rsid w:val="00313EA3"/>
    <w:rsid w:val="00313F60"/>
    <w:rsid w:val="003140F6"/>
    <w:rsid w:val="0031461C"/>
    <w:rsid w:val="00314757"/>
    <w:rsid w:val="0031486F"/>
    <w:rsid w:val="003150BD"/>
    <w:rsid w:val="003151EE"/>
    <w:rsid w:val="00315246"/>
    <w:rsid w:val="003156C3"/>
    <w:rsid w:val="00315864"/>
    <w:rsid w:val="003158BB"/>
    <w:rsid w:val="0031597A"/>
    <w:rsid w:val="00315BDC"/>
    <w:rsid w:val="00315D1E"/>
    <w:rsid w:val="00315D7A"/>
    <w:rsid w:val="00316405"/>
    <w:rsid w:val="00316494"/>
    <w:rsid w:val="003164AE"/>
    <w:rsid w:val="003167A7"/>
    <w:rsid w:val="00316847"/>
    <w:rsid w:val="003172F2"/>
    <w:rsid w:val="0031740C"/>
    <w:rsid w:val="00317469"/>
    <w:rsid w:val="00317867"/>
    <w:rsid w:val="003178AE"/>
    <w:rsid w:val="00317AAB"/>
    <w:rsid w:val="00317B28"/>
    <w:rsid w:val="00317C87"/>
    <w:rsid w:val="003205D5"/>
    <w:rsid w:val="00320E04"/>
    <w:rsid w:val="003211CE"/>
    <w:rsid w:val="00321514"/>
    <w:rsid w:val="003217C1"/>
    <w:rsid w:val="00321A5C"/>
    <w:rsid w:val="00321BAB"/>
    <w:rsid w:val="00321EEC"/>
    <w:rsid w:val="00322026"/>
    <w:rsid w:val="00322155"/>
    <w:rsid w:val="003225CE"/>
    <w:rsid w:val="003225CF"/>
    <w:rsid w:val="00322725"/>
    <w:rsid w:val="0032317D"/>
    <w:rsid w:val="00323436"/>
    <w:rsid w:val="003234B3"/>
    <w:rsid w:val="003237C0"/>
    <w:rsid w:val="00323918"/>
    <w:rsid w:val="00323EDA"/>
    <w:rsid w:val="00324213"/>
    <w:rsid w:val="0032460A"/>
    <w:rsid w:val="00324813"/>
    <w:rsid w:val="00324AFA"/>
    <w:rsid w:val="00324CB4"/>
    <w:rsid w:val="00325183"/>
    <w:rsid w:val="003252B3"/>
    <w:rsid w:val="00325DC9"/>
    <w:rsid w:val="00326014"/>
    <w:rsid w:val="0032652A"/>
    <w:rsid w:val="00326EC9"/>
    <w:rsid w:val="003272DC"/>
    <w:rsid w:val="00327336"/>
    <w:rsid w:val="00327467"/>
    <w:rsid w:val="003277CA"/>
    <w:rsid w:val="003279C3"/>
    <w:rsid w:val="00327A8B"/>
    <w:rsid w:val="00327F30"/>
    <w:rsid w:val="00330352"/>
    <w:rsid w:val="00330394"/>
    <w:rsid w:val="00330491"/>
    <w:rsid w:val="003304E3"/>
    <w:rsid w:val="00330664"/>
    <w:rsid w:val="00330B8D"/>
    <w:rsid w:val="00330C13"/>
    <w:rsid w:val="00330C73"/>
    <w:rsid w:val="00330DEF"/>
    <w:rsid w:val="00330F48"/>
    <w:rsid w:val="00330FF4"/>
    <w:rsid w:val="00331498"/>
    <w:rsid w:val="00331519"/>
    <w:rsid w:val="00331776"/>
    <w:rsid w:val="003324E9"/>
    <w:rsid w:val="00332889"/>
    <w:rsid w:val="00332982"/>
    <w:rsid w:val="00333684"/>
    <w:rsid w:val="00333768"/>
    <w:rsid w:val="0033382A"/>
    <w:rsid w:val="003338B2"/>
    <w:rsid w:val="00333991"/>
    <w:rsid w:val="00333BCF"/>
    <w:rsid w:val="00333D9E"/>
    <w:rsid w:val="00333E2D"/>
    <w:rsid w:val="0033449E"/>
    <w:rsid w:val="0033495D"/>
    <w:rsid w:val="00334E6B"/>
    <w:rsid w:val="0033503A"/>
    <w:rsid w:val="0033550E"/>
    <w:rsid w:val="00335604"/>
    <w:rsid w:val="0033586A"/>
    <w:rsid w:val="0033645B"/>
    <w:rsid w:val="00336511"/>
    <w:rsid w:val="00336C17"/>
    <w:rsid w:val="00336C55"/>
    <w:rsid w:val="00336C8A"/>
    <w:rsid w:val="00336E56"/>
    <w:rsid w:val="00336E6B"/>
    <w:rsid w:val="00336EEE"/>
    <w:rsid w:val="00336F74"/>
    <w:rsid w:val="0033776C"/>
    <w:rsid w:val="00340036"/>
    <w:rsid w:val="00340441"/>
    <w:rsid w:val="0034045E"/>
    <w:rsid w:val="00340567"/>
    <w:rsid w:val="003405B4"/>
    <w:rsid w:val="003405EE"/>
    <w:rsid w:val="0034080F"/>
    <w:rsid w:val="00340884"/>
    <w:rsid w:val="00340E80"/>
    <w:rsid w:val="00340FB1"/>
    <w:rsid w:val="0034110C"/>
    <w:rsid w:val="00341553"/>
    <w:rsid w:val="0034167B"/>
    <w:rsid w:val="00341B75"/>
    <w:rsid w:val="00341DAD"/>
    <w:rsid w:val="00341E64"/>
    <w:rsid w:val="00342BD9"/>
    <w:rsid w:val="00342FD1"/>
    <w:rsid w:val="00343109"/>
    <w:rsid w:val="0034331D"/>
    <w:rsid w:val="0034339A"/>
    <w:rsid w:val="00343400"/>
    <w:rsid w:val="00343AAF"/>
    <w:rsid w:val="00343D27"/>
    <w:rsid w:val="00343E92"/>
    <w:rsid w:val="003442B6"/>
    <w:rsid w:val="00344A2D"/>
    <w:rsid w:val="00344AD8"/>
    <w:rsid w:val="00344B86"/>
    <w:rsid w:val="00344D21"/>
    <w:rsid w:val="00344EFC"/>
    <w:rsid w:val="003450A2"/>
    <w:rsid w:val="003457B0"/>
    <w:rsid w:val="003458C2"/>
    <w:rsid w:val="003458D5"/>
    <w:rsid w:val="00345A35"/>
    <w:rsid w:val="00345CF5"/>
    <w:rsid w:val="00345DCF"/>
    <w:rsid w:val="00345F9C"/>
    <w:rsid w:val="0034634C"/>
    <w:rsid w:val="003464DD"/>
    <w:rsid w:val="00346736"/>
    <w:rsid w:val="0034679B"/>
    <w:rsid w:val="00346DC2"/>
    <w:rsid w:val="00347046"/>
    <w:rsid w:val="00347285"/>
    <w:rsid w:val="003474AE"/>
    <w:rsid w:val="00347ACD"/>
    <w:rsid w:val="00350007"/>
    <w:rsid w:val="00350453"/>
    <w:rsid w:val="00350ADD"/>
    <w:rsid w:val="00350D8D"/>
    <w:rsid w:val="00350DCD"/>
    <w:rsid w:val="00350E02"/>
    <w:rsid w:val="00350F79"/>
    <w:rsid w:val="003510EA"/>
    <w:rsid w:val="0035110D"/>
    <w:rsid w:val="0035131F"/>
    <w:rsid w:val="00351389"/>
    <w:rsid w:val="003513FF"/>
    <w:rsid w:val="003517B1"/>
    <w:rsid w:val="003517D7"/>
    <w:rsid w:val="003519A3"/>
    <w:rsid w:val="00351B30"/>
    <w:rsid w:val="00351CB1"/>
    <w:rsid w:val="003520BA"/>
    <w:rsid w:val="003522D8"/>
    <w:rsid w:val="00352A26"/>
    <w:rsid w:val="00353174"/>
    <w:rsid w:val="003532CD"/>
    <w:rsid w:val="00353B83"/>
    <w:rsid w:val="00353D85"/>
    <w:rsid w:val="00353DB8"/>
    <w:rsid w:val="0035403A"/>
    <w:rsid w:val="00354CB2"/>
    <w:rsid w:val="00355740"/>
    <w:rsid w:val="00355BB8"/>
    <w:rsid w:val="00355CCB"/>
    <w:rsid w:val="00355CE7"/>
    <w:rsid w:val="00355CFA"/>
    <w:rsid w:val="003565E2"/>
    <w:rsid w:val="0035661B"/>
    <w:rsid w:val="00356623"/>
    <w:rsid w:val="0035662E"/>
    <w:rsid w:val="0035666C"/>
    <w:rsid w:val="00356921"/>
    <w:rsid w:val="00356A4F"/>
    <w:rsid w:val="00356BDC"/>
    <w:rsid w:val="00356BE3"/>
    <w:rsid w:val="00356DAC"/>
    <w:rsid w:val="00356EDA"/>
    <w:rsid w:val="003574C3"/>
    <w:rsid w:val="00357676"/>
    <w:rsid w:val="003578C1"/>
    <w:rsid w:val="00357A85"/>
    <w:rsid w:val="00360266"/>
    <w:rsid w:val="00360739"/>
    <w:rsid w:val="00360772"/>
    <w:rsid w:val="003607DF"/>
    <w:rsid w:val="00360C76"/>
    <w:rsid w:val="00360FC3"/>
    <w:rsid w:val="003615C0"/>
    <w:rsid w:val="00361910"/>
    <w:rsid w:val="00361939"/>
    <w:rsid w:val="00361F20"/>
    <w:rsid w:val="00362253"/>
    <w:rsid w:val="003628FE"/>
    <w:rsid w:val="0036296C"/>
    <w:rsid w:val="00362EAB"/>
    <w:rsid w:val="00363311"/>
    <w:rsid w:val="003634A0"/>
    <w:rsid w:val="00363517"/>
    <w:rsid w:val="0036394B"/>
    <w:rsid w:val="00363FEF"/>
    <w:rsid w:val="00364180"/>
    <w:rsid w:val="003642BC"/>
    <w:rsid w:val="00364E98"/>
    <w:rsid w:val="00365054"/>
    <w:rsid w:val="003658A3"/>
    <w:rsid w:val="00365A30"/>
    <w:rsid w:val="00365BD8"/>
    <w:rsid w:val="00366358"/>
    <w:rsid w:val="0036640D"/>
    <w:rsid w:val="003664B7"/>
    <w:rsid w:val="003666DE"/>
    <w:rsid w:val="003666F9"/>
    <w:rsid w:val="00366A5E"/>
    <w:rsid w:val="00366E69"/>
    <w:rsid w:val="00366F6C"/>
    <w:rsid w:val="003673A8"/>
    <w:rsid w:val="003674FB"/>
    <w:rsid w:val="003675A8"/>
    <w:rsid w:val="00367969"/>
    <w:rsid w:val="003679DB"/>
    <w:rsid w:val="00367EDD"/>
    <w:rsid w:val="0037046B"/>
    <w:rsid w:val="003709B5"/>
    <w:rsid w:val="00370F60"/>
    <w:rsid w:val="00371033"/>
    <w:rsid w:val="00371444"/>
    <w:rsid w:val="00371D7F"/>
    <w:rsid w:val="00371F07"/>
    <w:rsid w:val="00371FF1"/>
    <w:rsid w:val="0037236E"/>
    <w:rsid w:val="0037238B"/>
    <w:rsid w:val="00372560"/>
    <w:rsid w:val="003726C9"/>
    <w:rsid w:val="00372F97"/>
    <w:rsid w:val="00373084"/>
    <w:rsid w:val="003730E7"/>
    <w:rsid w:val="00373439"/>
    <w:rsid w:val="00373493"/>
    <w:rsid w:val="00373972"/>
    <w:rsid w:val="003740D5"/>
    <w:rsid w:val="0037415A"/>
    <w:rsid w:val="00374459"/>
    <w:rsid w:val="00374555"/>
    <w:rsid w:val="003747EE"/>
    <w:rsid w:val="003748AD"/>
    <w:rsid w:val="003748D4"/>
    <w:rsid w:val="00374F24"/>
    <w:rsid w:val="0037504B"/>
    <w:rsid w:val="0037531E"/>
    <w:rsid w:val="003759C2"/>
    <w:rsid w:val="00375AC3"/>
    <w:rsid w:val="00375BDA"/>
    <w:rsid w:val="00375DFD"/>
    <w:rsid w:val="00376198"/>
    <w:rsid w:val="003768E3"/>
    <w:rsid w:val="00376E91"/>
    <w:rsid w:val="0037702E"/>
    <w:rsid w:val="00377081"/>
    <w:rsid w:val="00377191"/>
    <w:rsid w:val="00377398"/>
    <w:rsid w:val="00377607"/>
    <w:rsid w:val="003776F5"/>
    <w:rsid w:val="00377700"/>
    <w:rsid w:val="003777EA"/>
    <w:rsid w:val="00377DFB"/>
    <w:rsid w:val="003800D2"/>
    <w:rsid w:val="00380175"/>
    <w:rsid w:val="00380469"/>
    <w:rsid w:val="003806B2"/>
    <w:rsid w:val="00380726"/>
    <w:rsid w:val="00380B7F"/>
    <w:rsid w:val="00380DA8"/>
    <w:rsid w:val="00380F79"/>
    <w:rsid w:val="0038101B"/>
    <w:rsid w:val="00381106"/>
    <w:rsid w:val="003811BE"/>
    <w:rsid w:val="0038159C"/>
    <w:rsid w:val="0038193C"/>
    <w:rsid w:val="00381F8D"/>
    <w:rsid w:val="003820D2"/>
    <w:rsid w:val="00382518"/>
    <w:rsid w:val="0038263C"/>
    <w:rsid w:val="00382924"/>
    <w:rsid w:val="0038292C"/>
    <w:rsid w:val="00382B58"/>
    <w:rsid w:val="00382C15"/>
    <w:rsid w:val="003830B5"/>
    <w:rsid w:val="0038321B"/>
    <w:rsid w:val="00383385"/>
    <w:rsid w:val="00383488"/>
    <w:rsid w:val="003835B9"/>
    <w:rsid w:val="00383743"/>
    <w:rsid w:val="00383A2D"/>
    <w:rsid w:val="00383F0B"/>
    <w:rsid w:val="0038428C"/>
    <w:rsid w:val="003846E2"/>
    <w:rsid w:val="00384DF7"/>
    <w:rsid w:val="00384E7B"/>
    <w:rsid w:val="00384FAA"/>
    <w:rsid w:val="00385074"/>
    <w:rsid w:val="00385348"/>
    <w:rsid w:val="00385747"/>
    <w:rsid w:val="00385840"/>
    <w:rsid w:val="00385B46"/>
    <w:rsid w:val="00385D5F"/>
    <w:rsid w:val="0038610D"/>
    <w:rsid w:val="003862C8"/>
    <w:rsid w:val="003865A3"/>
    <w:rsid w:val="00386762"/>
    <w:rsid w:val="0038684E"/>
    <w:rsid w:val="00386D39"/>
    <w:rsid w:val="00386DCA"/>
    <w:rsid w:val="00386E5C"/>
    <w:rsid w:val="00387917"/>
    <w:rsid w:val="00387CE1"/>
    <w:rsid w:val="00387D91"/>
    <w:rsid w:val="00387FFB"/>
    <w:rsid w:val="00390AA6"/>
    <w:rsid w:val="00390AAE"/>
    <w:rsid w:val="00390AC0"/>
    <w:rsid w:val="00390AFD"/>
    <w:rsid w:val="00390DE9"/>
    <w:rsid w:val="00391004"/>
    <w:rsid w:val="003910A2"/>
    <w:rsid w:val="00391150"/>
    <w:rsid w:val="0039125C"/>
    <w:rsid w:val="00391390"/>
    <w:rsid w:val="00391695"/>
    <w:rsid w:val="00391718"/>
    <w:rsid w:val="00391C64"/>
    <w:rsid w:val="00391F2E"/>
    <w:rsid w:val="00392134"/>
    <w:rsid w:val="003921C5"/>
    <w:rsid w:val="00392240"/>
    <w:rsid w:val="00392594"/>
    <w:rsid w:val="00392839"/>
    <w:rsid w:val="00392986"/>
    <w:rsid w:val="00392D72"/>
    <w:rsid w:val="003932A0"/>
    <w:rsid w:val="00393BB7"/>
    <w:rsid w:val="00393C48"/>
    <w:rsid w:val="00393F1A"/>
    <w:rsid w:val="00393FB9"/>
    <w:rsid w:val="0039426E"/>
    <w:rsid w:val="00394758"/>
    <w:rsid w:val="003947AB"/>
    <w:rsid w:val="0039488B"/>
    <w:rsid w:val="00394B43"/>
    <w:rsid w:val="00395078"/>
    <w:rsid w:val="0039528C"/>
    <w:rsid w:val="0039534C"/>
    <w:rsid w:val="00395F15"/>
    <w:rsid w:val="00395F41"/>
    <w:rsid w:val="00396130"/>
    <w:rsid w:val="0039633E"/>
    <w:rsid w:val="003965D4"/>
    <w:rsid w:val="003966FC"/>
    <w:rsid w:val="00396755"/>
    <w:rsid w:val="00396D05"/>
    <w:rsid w:val="00397349"/>
    <w:rsid w:val="00397365"/>
    <w:rsid w:val="00397558"/>
    <w:rsid w:val="0039799C"/>
    <w:rsid w:val="00397E2E"/>
    <w:rsid w:val="00397E85"/>
    <w:rsid w:val="00397EE7"/>
    <w:rsid w:val="003A026A"/>
    <w:rsid w:val="003A0442"/>
    <w:rsid w:val="003A04A4"/>
    <w:rsid w:val="003A04F5"/>
    <w:rsid w:val="003A0781"/>
    <w:rsid w:val="003A07AC"/>
    <w:rsid w:val="003A0A73"/>
    <w:rsid w:val="003A0D76"/>
    <w:rsid w:val="003A0E9E"/>
    <w:rsid w:val="003A10BE"/>
    <w:rsid w:val="003A19E0"/>
    <w:rsid w:val="003A1A1E"/>
    <w:rsid w:val="003A1BCA"/>
    <w:rsid w:val="003A1E75"/>
    <w:rsid w:val="003A2012"/>
    <w:rsid w:val="003A201F"/>
    <w:rsid w:val="003A2098"/>
    <w:rsid w:val="003A247E"/>
    <w:rsid w:val="003A2585"/>
    <w:rsid w:val="003A2ECD"/>
    <w:rsid w:val="003A3054"/>
    <w:rsid w:val="003A31F6"/>
    <w:rsid w:val="003A3207"/>
    <w:rsid w:val="003A36B0"/>
    <w:rsid w:val="003A38DF"/>
    <w:rsid w:val="003A3ECC"/>
    <w:rsid w:val="003A3F1D"/>
    <w:rsid w:val="003A40FA"/>
    <w:rsid w:val="003A41FD"/>
    <w:rsid w:val="003A433A"/>
    <w:rsid w:val="003A47E9"/>
    <w:rsid w:val="003A4E63"/>
    <w:rsid w:val="003A4E85"/>
    <w:rsid w:val="003A4FBC"/>
    <w:rsid w:val="003A5191"/>
    <w:rsid w:val="003A5211"/>
    <w:rsid w:val="003A55DD"/>
    <w:rsid w:val="003A5707"/>
    <w:rsid w:val="003A59A3"/>
    <w:rsid w:val="003A59B3"/>
    <w:rsid w:val="003A5A01"/>
    <w:rsid w:val="003A5E58"/>
    <w:rsid w:val="003A6398"/>
    <w:rsid w:val="003A66ED"/>
    <w:rsid w:val="003A672C"/>
    <w:rsid w:val="003A6880"/>
    <w:rsid w:val="003A6AB2"/>
    <w:rsid w:val="003A6B23"/>
    <w:rsid w:val="003A6E0A"/>
    <w:rsid w:val="003B000F"/>
    <w:rsid w:val="003B0249"/>
    <w:rsid w:val="003B072E"/>
    <w:rsid w:val="003B095B"/>
    <w:rsid w:val="003B0BDA"/>
    <w:rsid w:val="003B0C63"/>
    <w:rsid w:val="003B0F43"/>
    <w:rsid w:val="003B0F4A"/>
    <w:rsid w:val="003B1204"/>
    <w:rsid w:val="003B16D5"/>
    <w:rsid w:val="003B17F6"/>
    <w:rsid w:val="003B1B5A"/>
    <w:rsid w:val="003B1C1C"/>
    <w:rsid w:val="003B2752"/>
    <w:rsid w:val="003B2E51"/>
    <w:rsid w:val="003B3A4B"/>
    <w:rsid w:val="003B3B4D"/>
    <w:rsid w:val="003B3DCC"/>
    <w:rsid w:val="003B3FE1"/>
    <w:rsid w:val="003B406C"/>
    <w:rsid w:val="003B4284"/>
    <w:rsid w:val="003B45DA"/>
    <w:rsid w:val="003B4767"/>
    <w:rsid w:val="003B4979"/>
    <w:rsid w:val="003B4C7D"/>
    <w:rsid w:val="003B4EBB"/>
    <w:rsid w:val="003B5848"/>
    <w:rsid w:val="003B59D6"/>
    <w:rsid w:val="003B5BC2"/>
    <w:rsid w:val="003B5C50"/>
    <w:rsid w:val="003B610A"/>
    <w:rsid w:val="003B63F2"/>
    <w:rsid w:val="003B69D9"/>
    <w:rsid w:val="003B750F"/>
    <w:rsid w:val="003B7551"/>
    <w:rsid w:val="003B762B"/>
    <w:rsid w:val="003B7B07"/>
    <w:rsid w:val="003B7F1D"/>
    <w:rsid w:val="003C02E1"/>
    <w:rsid w:val="003C0368"/>
    <w:rsid w:val="003C0415"/>
    <w:rsid w:val="003C0780"/>
    <w:rsid w:val="003C0847"/>
    <w:rsid w:val="003C0A0E"/>
    <w:rsid w:val="003C0E6D"/>
    <w:rsid w:val="003C1D61"/>
    <w:rsid w:val="003C1DE4"/>
    <w:rsid w:val="003C2ADE"/>
    <w:rsid w:val="003C2DA4"/>
    <w:rsid w:val="003C30A8"/>
    <w:rsid w:val="003C30B7"/>
    <w:rsid w:val="003C317A"/>
    <w:rsid w:val="003C328B"/>
    <w:rsid w:val="003C32CE"/>
    <w:rsid w:val="003C337D"/>
    <w:rsid w:val="003C33A7"/>
    <w:rsid w:val="003C3447"/>
    <w:rsid w:val="003C4107"/>
    <w:rsid w:val="003C4444"/>
    <w:rsid w:val="003C484E"/>
    <w:rsid w:val="003C488C"/>
    <w:rsid w:val="003C4ABE"/>
    <w:rsid w:val="003C54D3"/>
    <w:rsid w:val="003C5CCF"/>
    <w:rsid w:val="003C63AF"/>
    <w:rsid w:val="003C64E8"/>
    <w:rsid w:val="003C6A37"/>
    <w:rsid w:val="003C6B5B"/>
    <w:rsid w:val="003C6CC9"/>
    <w:rsid w:val="003C7202"/>
    <w:rsid w:val="003C73BD"/>
    <w:rsid w:val="003C765B"/>
    <w:rsid w:val="003C7827"/>
    <w:rsid w:val="003C7F70"/>
    <w:rsid w:val="003D0624"/>
    <w:rsid w:val="003D076C"/>
    <w:rsid w:val="003D07A6"/>
    <w:rsid w:val="003D0983"/>
    <w:rsid w:val="003D0B69"/>
    <w:rsid w:val="003D0C37"/>
    <w:rsid w:val="003D0CEE"/>
    <w:rsid w:val="003D0DA7"/>
    <w:rsid w:val="003D11F9"/>
    <w:rsid w:val="003D128A"/>
    <w:rsid w:val="003D15CB"/>
    <w:rsid w:val="003D19AE"/>
    <w:rsid w:val="003D19BF"/>
    <w:rsid w:val="003D20AA"/>
    <w:rsid w:val="003D220A"/>
    <w:rsid w:val="003D28BA"/>
    <w:rsid w:val="003D2A99"/>
    <w:rsid w:val="003D3478"/>
    <w:rsid w:val="003D3566"/>
    <w:rsid w:val="003D362D"/>
    <w:rsid w:val="003D390E"/>
    <w:rsid w:val="003D39B9"/>
    <w:rsid w:val="003D3B96"/>
    <w:rsid w:val="003D40FF"/>
    <w:rsid w:val="003D437F"/>
    <w:rsid w:val="003D47C1"/>
    <w:rsid w:val="003D4A2C"/>
    <w:rsid w:val="003D4CAB"/>
    <w:rsid w:val="003D5179"/>
    <w:rsid w:val="003D5904"/>
    <w:rsid w:val="003D5AFD"/>
    <w:rsid w:val="003D6331"/>
    <w:rsid w:val="003D67D7"/>
    <w:rsid w:val="003D7636"/>
    <w:rsid w:val="003D7B0A"/>
    <w:rsid w:val="003D7C1A"/>
    <w:rsid w:val="003E019F"/>
    <w:rsid w:val="003E0285"/>
    <w:rsid w:val="003E02CF"/>
    <w:rsid w:val="003E033E"/>
    <w:rsid w:val="003E03A5"/>
    <w:rsid w:val="003E087D"/>
    <w:rsid w:val="003E098E"/>
    <w:rsid w:val="003E0F99"/>
    <w:rsid w:val="003E1076"/>
    <w:rsid w:val="003E1175"/>
    <w:rsid w:val="003E12D0"/>
    <w:rsid w:val="003E1ACC"/>
    <w:rsid w:val="003E1EA5"/>
    <w:rsid w:val="003E1F4B"/>
    <w:rsid w:val="003E20D0"/>
    <w:rsid w:val="003E21E1"/>
    <w:rsid w:val="003E24F1"/>
    <w:rsid w:val="003E2787"/>
    <w:rsid w:val="003E27C9"/>
    <w:rsid w:val="003E2BBD"/>
    <w:rsid w:val="003E3116"/>
    <w:rsid w:val="003E368A"/>
    <w:rsid w:val="003E3723"/>
    <w:rsid w:val="003E3AE5"/>
    <w:rsid w:val="003E3C7E"/>
    <w:rsid w:val="003E3CDF"/>
    <w:rsid w:val="003E3DFA"/>
    <w:rsid w:val="003E492F"/>
    <w:rsid w:val="003E4930"/>
    <w:rsid w:val="003E4CB2"/>
    <w:rsid w:val="003E5919"/>
    <w:rsid w:val="003E5E1C"/>
    <w:rsid w:val="003E609F"/>
    <w:rsid w:val="003E65FD"/>
    <w:rsid w:val="003E666D"/>
    <w:rsid w:val="003E6C86"/>
    <w:rsid w:val="003E6D00"/>
    <w:rsid w:val="003E6F0B"/>
    <w:rsid w:val="003E6FBC"/>
    <w:rsid w:val="003E78B5"/>
    <w:rsid w:val="003E7B31"/>
    <w:rsid w:val="003E7CD4"/>
    <w:rsid w:val="003E7FC6"/>
    <w:rsid w:val="003F00DD"/>
    <w:rsid w:val="003F0408"/>
    <w:rsid w:val="003F0B21"/>
    <w:rsid w:val="003F0B3F"/>
    <w:rsid w:val="003F0F32"/>
    <w:rsid w:val="003F14E2"/>
    <w:rsid w:val="003F1782"/>
    <w:rsid w:val="003F1D48"/>
    <w:rsid w:val="003F1ED6"/>
    <w:rsid w:val="003F1F43"/>
    <w:rsid w:val="003F1FCB"/>
    <w:rsid w:val="003F2061"/>
    <w:rsid w:val="003F2137"/>
    <w:rsid w:val="003F2242"/>
    <w:rsid w:val="003F2C15"/>
    <w:rsid w:val="003F2C68"/>
    <w:rsid w:val="003F389D"/>
    <w:rsid w:val="003F3A91"/>
    <w:rsid w:val="003F3D86"/>
    <w:rsid w:val="003F42F5"/>
    <w:rsid w:val="003F4646"/>
    <w:rsid w:val="003F47D3"/>
    <w:rsid w:val="003F4837"/>
    <w:rsid w:val="003F4BA3"/>
    <w:rsid w:val="003F5030"/>
    <w:rsid w:val="003F5B85"/>
    <w:rsid w:val="003F5F69"/>
    <w:rsid w:val="003F66D2"/>
    <w:rsid w:val="003F67F8"/>
    <w:rsid w:val="003F693F"/>
    <w:rsid w:val="003F6CB9"/>
    <w:rsid w:val="003F6D82"/>
    <w:rsid w:val="003F7251"/>
    <w:rsid w:val="003F751F"/>
    <w:rsid w:val="003F759E"/>
    <w:rsid w:val="003F784D"/>
    <w:rsid w:val="003F7A2B"/>
    <w:rsid w:val="004000CB"/>
    <w:rsid w:val="004000FA"/>
    <w:rsid w:val="00400260"/>
    <w:rsid w:val="0040061A"/>
    <w:rsid w:val="004006C4"/>
    <w:rsid w:val="00400968"/>
    <w:rsid w:val="00400B1A"/>
    <w:rsid w:val="00400E60"/>
    <w:rsid w:val="004010E8"/>
    <w:rsid w:val="004015A8"/>
    <w:rsid w:val="004015C5"/>
    <w:rsid w:val="00401931"/>
    <w:rsid w:val="00401ADC"/>
    <w:rsid w:val="00401C2F"/>
    <w:rsid w:val="00401E55"/>
    <w:rsid w:val="00401E76"/>
    <w:rsid w:val="00401E87"/>
    <w:rsid w:val="00401FC5"/>
    <w:rsid w:val="00402041"/>
    <w:rsid w:val="00402180"/>
    <w:rsid w:val="004021C1"/>
    <w:rsid w:val="004024E6"/>
    <w:rsid w:val="004027DC"/>
    <w:rsid w:val="00402DB6"/>
    <w:rsid w:val="00402EB7"/>
    <w:rsid w:val="00402F05"/>
    <w:rsid w:val="00402FD2"/>
    <w:rsid w:val="004030B3"/>
    <w:rsid w:val="00403755"/>
    <w:rsid w:val="0040394F"/>
    <w:rsid w:val="00404162"/>
    <w:rsid w:val="0040463C"/>
    <w:rsid w:val="00404AD5"/>
    <w:rsid w:val="00404CA9"/>
    <w:rsid w:val="004052F4"/>
    <w:rsid w:val="00405B10"/>
    <w:rsid w:val="00405DA2"/>
    <w:rsid w:val="00405DE9"/>
    <w:rsid w:val="0040666E"/>
    <w:rsid w:val="00406786"/>
    <w:rsid w:val="0040689E"/>
    <w:rsid w:val="004068EC"/>
    <w:rsid w:val="00406A5A"/>
    <w:rsid w:val="00406C99"/>
    <w:rsid w:val="00406DE9"/>
    <w:rsid w:val="00407294"/>
    <w:rsid w:val="004072B9"/>
    <w:rsid w:val="00407447"/>
    <w:rsid w:val="00407EC6"/>
    <w:rsid w:val="004104BA"/>
    <w:rsid w:val="00410898"/>
    <w:rsid w:val="00411170"/>
    <w:rsid w:val="00411267"/>
    <w:rsid w:val="0041132A"/>
    <w:rsid w:val="0041140D"/>
    <w:rsid w:val="00411D82"/>
    <w:rsid w:val="00411EB4"/>
    <w:rsid w:val="00411F51"/>
    <w:rsid w:val="0041270E"/>
    <w:rsid w:val="0041293E"/>
    <w:rsid w:val="00412A46"/>
    <w:rsid w:val="00412AF3"/>
    <w:rsid w:val="00412C33"/>
    <w:rsid w:val="00413062"/>
    <w:rsid w:val="00413094"/>
    <w:rsid w:val="00413231"/>
    <w:rsid w:val="004132EB"/>
    <w:rsid w:val="00413463"/>
    <w:rsid w:val="004137A7"/>
    <w:rsid w:val="004137BF"/>
    <w:rsid w:val="004137C4"/>
    <w:rsid w:val="0041386D"/>
    <w:rsid w:val="00413CA2"/>
    <w:rsid w:val="00413DA4"/>
    <w:rsid w:val="00414152"/>
    <w:rsid w:val="00414196"/>
    <w:rsid w:val="004141AC"/>
    <w:rsid w:val="00414EEE"/>
    <w:rsid w:val="0041506D"/>
    <w:rsid w:val="0041534C"/>
    <w:rsid w:val="004156AC"/>
    <w:rsid w:val="004156DB"/>
    <w:rsid w:val="004157C0"/>
    <w:rsid w:val="00415B6E"/>
    <w:rsid w:val="00415B7C"/>
    <w:rsid w:val="00415BAB"/>
    <w:rsid w:val="00415E08"/>
    <w:rsid w:val="00415ED2"/>
    <w:rsid w:val="004161D2"/>
    <w:rsid w:val="0041658D"/>
    <w:rsid w:val="00416AFA"/>
    <w:rsid w:val="00417191"/>
    <w:rsid w:val="0041734C"/>
    <w:rsid w:val="0041751A"/>
    <w:rsid w:val="00417743"/>
    <w:rsid w:val="00417A4F"/>
    <w:rsid w:val="00417C6F"/>
    <w:rsid w:val="00417D2C"/>
    <w:rsid w:val="00417FDB"/>
    <w:rsid w:val="0042068C"/>
    <w:rsid w:val="0042080E"/>
    <w:rsid w:val="00420EE9"/>
    <w:rsid w:val="0042108D"/>
    <w:rsid w:val="004212D6"/>
    <w:rsid w:val="00421717"/>
    <w:rsid w:val="004219C2"/>
    <w:rsid w:val="004220E1"/>
    <w:rsid w:val="00422A4B"/>
    <w:rsid w:val="00422A56"/>
    <w:rsid w:val="00422B47"/>
    <w:rsid w:val="00422C83"/>
    <w:rsid w:val="00423178"/>
    <w:rsid w:val="004232B6"/>
    <w:rsid w:val="004232B9"/>
    <w:rsid w:val="00423A90"/>
    <w:rsid w:val="00423DBD"/>
    <w:rsid w:val="00423F8D"/>
    <w:rsid w:val="004241EB"/>
    <w:rsid w:val="00424554"/>
    <w:rsid w:val="00424AA7"/>
    <w:rsid w:val="00424AB8"/>
    <w:rsid w:val="00424B00"/>
    <w:rsid w:val="00424EB2"/>
    <w:rsid w:val="00424EE4"/>
    <w:rsid w:val="00425439"/>
    <w:rsid w:val="00425722"/>
    <w:rsid w:val="00425D61"/>
    <w:rsid w:val="004263EC"/>
    <w:rsid w:val="00426475"/>
    <w:rsid w:val="004264A2"/>
    <w:rsid w:val="004265AD"/>
    <w:rsid w:val="004269DA"/>
    <w:rsid w:val="00426BB5"/>
    <w:rsid w:val="00426EB0"/>
    <w:rsid w:val="00426ECD"/>
    <w:rsid w:val="0042727F"/>
    <w:rsid w:val="004275CC"/>
    <w:rsid w:val="004279D5"/>
    <w:rsid w:val="00427F37"/>
    <w:rsid w:val="004300F8"/>
    <w:rsid w:val="00430421"/>
    <w:rsid w:val="0043046B"/>
    <w:rsid w:val="00430B17"/>
    <w:rsid w:val="00430C73"/>
    <w:rsid w:val="00430F5F"/>
    <w:rsid w:val="00431019"/>
    <w:rsid w:val="004326BC"/>
    <w:rsid w:val="004328B4"/>
    <w:rsid w:val="00432998"/>
    <w:rsid w:val="00432CC0"/>
    <w:rsid w:val="00432E73"/>
    <w:rsid w:val="0043310B"/>
    <w:rsid w:val="004332B2"/>
    <w:rsid w:val="0043355C"/>
    <w:rsid w:val="004336FE"/>
    <w:rsid w:val="00433E35"/>
    <w:rsid w:val="00433E81"/>
    <w:rsid w:val="004340D7"/>
    <w:rsid w:val="0043450C"/>
    <w:rsid w:val="004346F8"/>
    <w:rsid w:val="00434814"/>
    <w:rsid w:val="00434881"/>
    <w:rsid w:val="004349C0"/>
    <w:rsid w:val="00434CB8"/>
    <w:rsid w:val="00434DDC"/>
    <w:rsid w:val="004350D7"/>
    <w:rsid w:val="0043597F"/>
    <w:rsid w:val="004365DA"/>
    <w:rsid w:val="00436B74"/>
    <w:rsid w:val="00436CAB"/>
    <w:rsid w:val="0043700A"/>
    <w:rsid w:val="004370EE"/>
    <w:rsid w:val="004372C9"/>
    <w:rsid w:val="004373C9"/>
    <w:rsid w:val="00437E09"/>
    <w:rsid w:val="00437F13"/>
    <w:rsid w:val="00440148"/>
    <w:rsid w:val="00440304"/>
    <w:rsid w:val="004405C3"/>
    <w:rsid w:val="00440675"/>
    <w:rsid w:val="0044069C"/>
    <w:rsid w:val="004406DC"/>
    <w:rsid w:val="00440E8F"/>
    <w:rsid w:val="00440F92"/>
    <w:rsid w:val="004410B8"/>
    <w:rsid w:val="00441237"/>
    <w:rsid w:val="00441733"/>
    <w:rsid w:val="00441AEE"/>
    <w:rsid w:val="00442B7B"/>
    <w:rsid w:val="00442F78"/>
    <w:rsid w:val="00442F84"/>
    <w:rsid w:val="004431DA"/>
    <w:rsid w:val="0044323E"/>
    <w:rsid w:val="00443286"/>
    <w:rsid w:val="00443358"/>
    <w:rsid w:val="00443362"/>
    <w:rsid w:val="00443550"/>
    <w:rsid w:val="00443CCC"/>
    <w:rsid w:val="0044462D"/>
    <w:rsid w:val="0044478B"/>
    <w:rsid w:val="00444C0B"/>
    <w:rsid w:val="004452B5"/>
    <w:rsid w:val="0044547A"/>
    <w:rsid w:val="00445963"/>
    <w:rsid w:val="00445B52"/>
    <w:rsid w:val="00445BC0"/>
    <w:rsid w:val="00445FF9"/>
    <w:rsid w:val="0044622A"/>
    <w:rsid w:val="0044652A"/>
    <w:rsid w:val="00446750"/>
    <w:rsid w:val="00446F78"/>
    <w:rsid w:val="0044775D"/>
    <w:rsid w:val="004477A0"/>
    <w:rsid w:val="00447904"/>
    <w:rsid w:val="00447CBF"/>
    <w:rsid w:val="00447FE0"/>
    <w:rsid w:val="004501C2"/>
    <w:rsid w:val="004508F7"/>
    <w:rsid w:val="00451620"/>
    <w:rsid w:val="00451B62"/>
    <w:rsid w:val="004522B0"/>
    <w:rsid w:val="00452DDA"/>
    <w:rsid w:val="00452E1B"/>
    <w:rsid w:val="004534E7"/>
    <w:rsid w:val="004536EF"/>
    <w:rsid w:val="00453B17"/>
    <w:rsid w:val="00454065"/>
    <w:rsid w:val="004542CA"/>
    <w:rsid w:val="00454713"/>
    <w:rsid w:val="00454734"/>
    <w:rsid w:val="004547F0"/>
    <w:rsid w:val="00454CA6"/>
    <w:rsid w:val="00454F05"/>
    <w:rsid w:val="00454F77"/>
    <w:rsid w:val="00454FE2"/>
    <w:rsid w:val="0045545F"/>
    <w:rsid w:val="004554E2"/>
    <w:rsid w:val="004555BF"/>
    <w:rsid w:val="004557FD"/>
    <w:rsid w:val="004558D0"/>
    <w:rsid w:val="00455944"/>
    <w:rsid w:val="00455BB8"/>
    <w:rsid w:val="00455CB2"/>
    <w:rsid w:val="0045640A"/>
    <w:rsid w:val="00456A44"/>
    <w:rsid w:val="00456B7C"/>
    <w:rsid w:val="00456EB2"/>
    <w:rsid w:val="00456F7B"/>
    <w:rsid w:val="004574D4"/>
    <w:rsid w:val="0045776A"/>
    <w:rsid w:val="00457784"/>
    <w:rsid w:val="00457D42"/>
    <w:rsid w:val="00457EFA"/>
    <w:rsid w:val="004604C5"/>
    <w:rsid w:val="00460A04"/>
    <w:rsid w:val="00460AAD"/>
    <w:rsid w:val="00460B88"/>
    <w:rsid w:val="00461236"/>
    <w:rsid w:val="00461840"/>
    <w:rsid w:val="00461924"/>
    <w:rsid w:val="00461B2F"/>
    <w:rsid w:val="00461E64"/>
    <w:rsid w:val="0046205B"/>
    <w:rsid w:val="00462081"/>
    <w:rsid w:val="004623ED"/>
    <w:rsid w:val="0046265E"/>
    <w:rsid w:val="0046267D"/>
    <w:rsid w:val="00462787"/>
    <w:rsid w:val="00462A6B"/>
    <w:rsid w:val="00463113"/>
    <w:rsid w:val="0046313E"/>
    <w:rsid w:val="0046326D"/>
    <w:rsid w:val="00463329"/>
    <w:rsid w:val="004636B5"/>
    <w:rsid w:val="00463A7A"/>
    <w:rsid w:val="00463A90"/>
    <w:rsid w:val="00463F64"/>
    <w:rsid w:val="00463F94"/>
    <w:rsid w:val="0046422F"/>
    <w:rsid w:val="00464B25"/>
    <w:rsid w:val="00464D8C"/>
    <w:rsid w:val="00464F48"/>
    <w:rsid w:val="0046537D"/>
    <w:rsid w:val="00465D4A"/>
    <w:rsid w:val="004661B3"/>
    <w:rsid w:val="00466346"/>
    <w:rsid w:val="004663C4"/>
    <w:rsid w:val="00466859"/>
    <w:rsid w:val="004669D7"/>
    <w:rsid w:val="00466B8D"/>
    <w:rsid w:val="004672B7"/>
    <w:rsid w:val="004672BF"/>
    <w:rsid w:val="00467598"/>
    <w:rsid w:val="00467A04"/>
    <w:rsid w:val="004700C0"/>
    <w:rsid w:val="00470655"/>
    <w:rsid w:val="0047122B"/>
    <w:rsid w:val="00471528"/>
    <w:rsid w:val="004716F2"/>
    <w:rsid w:val="00471707"/>
    <w:rsid w:val="0047172D"/>
    <w:rsid w:val="004719B2"/>
    <w:rsid w:val="00471D63"/>
    <w:rsid w:val="00472002"/>
    <w:rsid w:val="00472109"/>
    <w:rsid w:val="00472364"/>
    <w:rsid w:val="00472764"/>
    <w:rsid w:val="00472777"/>
    <w:rsid w:val="0047280F"/>
    <w:rsid w:val="00472E28"/>
    <w:rsid w:val="00472EF2"/>
    <w:rsid w:val="00472F31"/>
    <w:rsid w:val="004736A3"/>
    <w:rsid w:val="0047375F"/>
    <w:rsid w:val="00473B7A"/>
    <w:rsid w:val="004740A6"/>
    <w:rsid w:val="004741FF"/>
    <w:rsid w:val="004743BB"/>
    <w:rsid w:val="004746F0"/>
    <w:rsid w:val="00474724"/>
    <w:rsid w:val="004747F8"/>
    <w:rsid w:val="00474CAA"/>
    <w:rsid w:val="00475A04"/>
    <w:rsid w:val="00476883"/>
    <w:rsid w:val="00476A76"/>
    <w:rsid w:val="00476BD0"/>
    <w:rsid w:val="00476E6D"/>
    <w:rsid w:val="0047715C"/>
    <w:rsid w:val="00477657"/>
    <w:rsid w:val="00477698"/>
    <w:rsid w:val="00477940"/>
    <w:rsid w:val="00477B56"/>
    <w:rsid w:val="00477D16"/>
    <w:rsid w:val="00477FA8"/>
    <w:rsid w:val="00477FE7"/>
    <w:rsid w:val="004800B0"/>
    <w:rsid w:val="00480168"/>
    <w:rsid w:val="004804DB"/>
    <w:rsid w:val="0048086E"/>
    <w:rsid w:val="00480AE8"/>
    <w:rsid w:val="0048143F"/>
    <w:rsid w:val="004814AE"/>
    <w:rsid w:val="00481574"/>
    <w:rsid w:val="00481650"/>
    <w:rsid w:val="004817C1"/>
    <w:rsid w:val="00481CD8"/>
    <w:rsid w:val="00481D6F"/>
    <w:rsid w:val="00481DC1"/>
    <w:rsid w:val="0048230E"/>
    <w:rsid w:val="00482500"/>
    <w:rsid w:val="00482A32"/>
    <w:rsid w:val="00482E3B"/>
    <w:rsid w:val="00483379"/>
    <w:rsid w:val="004834F9"/>
    <w:rsid w:val="00483939"/>
    <w:rsid w:val="004839CE"/>
    <w:rsid w:val="00483BCA"/>
    <w:rsid w:val="00483BFD"/>
    <w:rsid w:val="00484340"/>
    <w:rsid w:val="00484444"/>
    <w:rsid w:val="00484574"/>
    <w:rsid w:val="004849A2"/>
    <w:rsid w:val="00485240"/>
    <w:rsid w:val="00485E6C"/>
    <w:rsid w:val="004862E9"/>
    <w:rsid w:val="0048630F"/>
    <w:rsid w:val="00486702"/>
    <w:rsid w:val="00486812"/>
    <w:rsid w:val="00486968"/>
    <w:rsid w:val="0048707C"/>
    <w:rsid w:val="00487392"/>
    <w:rsid w:val="004875EF"/>
    <w:rsid w:val="0048798A"/>
    <w:rsid w:val="00487E42"/>
    <w:rsid w:val="00490091"/>
    <w:rsid w:val="004902C7"/>
    <w:rsid w:val="004902E4"/>
    <w:rsid w:val="00490323"/>
    <w:rsid w:val="00490912"/>
    <w:rsid w:val="004912F0"/>
    <w:rsid w:val="0049145F"/>
    <w:rsid w:val="00492002"/>
    <w:rsid w:val="0049256C"/>
    <w:rsid w:val="004925EB"/>
    <w:rsid w:val="00492817"/>
    <w:rsid w:val="00492B7E"/>
    <w:rsid w:val="00492F22"/>
    <w:rsid w:val="00493080"/>
    <w:rsid w:val="00493415"/>
    <w:rsid w:val="00493766"/>
    <w:rsid w:val="00493EAE"/>
    <w:rsid w:val="004947BC"/>
    <w:rsid w:val="00494FEB"/>
    <w:rsid w:val="00495155"/>
    <w:rsid w:val="004955C5"/>
    <w:rsid w:val="004957D7"/>
    <w:rsid w:val="00495EF3"/>
    <w:rsid w:val="004960E9"/>
    <w:rsid w:val="0049634F"/>
    <w:rsid w:val="00496414"/>
    <w:rsid w:val="004964C7"/>
    <w:rsid w:val="004964D6"/>
    <w:rsid w:val="00496A3D"/>
    <w:rsid w:val="00496CB9"/>
    <w:rsid w:val="004971D3"/>
    <w:rsid w:val="0049731D"/>
    <w:rsid w:val="00497366"/>
    <w:rsid w:val="00497473"/>
    <w:rsid w:val="00497930"/>
    <w:rsid w:val="0049798C"/>
    <w:rsid w:val="00497E8E"/>
    <w:rsid w:val="004A01C2"/>
    <w:rsid w:val="004A0449"/>
    <w:rsid w:val="004A0A85"/>
    <w:rsid w:val="004A0ABA"/>
    <w:rsid w:val="004A0DC6"/>
    <w:rsid w:val="004A0E37"/>
    <w:rsid w:val="004A0FD2"/>
    <w:rsid w:val="004A0FE9"/>
    <w:rsid w:val="004A13E2"/>
    <w:rsid w:val="004A17C1"/>
    <w:rsid w:val="004A1A20"/>
    <w:rsid w:val="004A1BB1"/>
    <w:rsid w:val="004A1E02"/>
    <w:rsid w:val="004A1E51"/>
    <w:rsid w:val="004A20FE"/>
    <w:rsid w:val="004A2169"/>
    <w:rsid w:val="004A28F4"/>
    <w:rsid w:val="004A2B6D"/>
    <w:rsid w:val="004A2D00"/>
    <w:rsid w:val="004A2DE3"/>
    <w:rsid w:val="004A2E88"/>
    <w:rsid w:val="004A3245"/>
    <w:rsid w:val="004A326A"/>
    <w:rsid w:val="004A32DB"/>
    <w:rsid w:val="004A33B8"/>
    <w:rsid w:val="004A34B5"/>
    <w:rsid w:val="004A35A0"/>
    <w:rsid w:val="004A3987"/>
    <w:rsid w:val="004A3CEC"/>
    <w:rsid w:val="004A4049"/>
    <w:rsid w:val="004A439A"/>
    <w:rsid w:val="004A4BF0"/>
    <w:rsid w:val="004A50FB"/>
    <w:rsid w:val="004A51E0"/>
    <w:rsid w:val="004A5305"/>
    <w:rsid w:val="004A57FA"/>
    <w:rsid w:val="004A5D79"/>
    <w:rsid w:val="004A639F"/>
    <w:rsid w:val="004A6B4F"/>
    <w:rsid w:val="004A6BF5"/>
    <w:rsid w:val="004A6C96"/>
    <w:rsid w:val="004A787E"/>
    <w:rsid w:val="004A7942"/>
    <w:rsid w:val="004A7C4C"/>
    <w:rsid w:val="004B0074"/>
    <w:rsid w:val="004B0977"/>
    <w:rsid w:val="004B0CC2"/>
    <w:rsid w:val="004B0FC4"/>
    <w:rsid w:val="004B11B2"/>
    <w:rsid w:val="004B12C2"/>
    <w:rsid w:val="004B131D"/>
    <w:rsid w:val="004B1676"/>
    <w:rsid w:val="004B19AC"/>
    <w:rsid w:val="004B1A10"/>
    <w:rsid w:val="004B1B7C"/>
    <w:rsid w:val="004B1C14"/>
    <w:rsid w:val="004B25B0"/>
    <w:rsid w:val="004B2696"/>
    <w:rsid w:val="004B27FE"/>
    <w:rsid w:val="004B29F1"/>
    <w:rsid w:val="004B2AA0"/>
    <w:rsid w:val="004B2CDB"/>
    <w:rsid w:val="004B337C"/>
    <w:rsid w:val="004B337F"/>
    <w:rsid w:val="004B35AE"/>
    <w:rsid w:val="004B35F7"/>
    <w:rsid w:val="004B370F"/>
    <w:rsid w:val="004B38CB"/>
    <w:rsid w:val="004B3F5C"/>
    <w:rsid w:val="004B3F94"/>
    <w:rsid w:val="004B4139"/>
    <w:rsid w:val="004B428D"/>
    <w:rsid w:val="004B43F4"/>
    <w:rsid w:val="004B46F2"/>
    <w:rsid w:val="004B47B2"/>
    <w:rsid w:val="004B498C"/>
    <w:rsid w:val="004B4A60"/>
    <w:rsid w:val="004B4BC6"/>
    <w:rsid w:val="004B4D2C"/>
    <w:rsid w:val="004B509F"/>
    <w:rsid w:val="004B5442"/>
    <w:rsid w:val="004B5904"/>
    <w:rsid w:val="004B5ED6"/>
    <w:rsid w:val="004B5F87"/>
    <w:rsid w:val="004B6123"/>
    <w:rsid w:val="004B61CD"/>
    <w:rsid w:val="004B6515"/>
    <w:rsid w:val="004B6821"/>
    <w:rsid w:val="004B6B94"/>
    <w:rsid w:val="004B73D6"/>
    <w:rsid w:val="004B74CF"/>
    <w:rsid w:val="004B77EF"/>
    <w:rsid w:val="004B7A55"/>
    <w:rsid w:val="004B7CA6"/>
    <w:rsid w:val="004B7CE2"/>
    <w:rsid w:val="004B7F44"/>
    <w:rsid w:val="004B7F82"/>
    <w:rsid w:val="004B7FC9"/>
    <w:rsid w:val="004C0B8C"/>
    <w:rsid w:val="004C0C4B"/>
    <w:rsid w:val="004C0D28"/>
    <w:rsid w:val="004C1D12"/>
    <w:rsid w:val="004C1D1A"/>
    <w:rsid w:val="004C1FA5"/>
    <w:rsid w:val="004C203F"/>
    <w:rsid w:val="004C24BD"/>
    <w:rsid w:val="004C2538"/>
    <w:rsid w:val="004C27D5"/>
    <w:rsid w:val="004C2B06"/>
    <w:rsid w:val="004C2FB8"/>
    <w:rsid w:val="004C3902"/>
    <w:rsid w:val="004C3D09"/>
    <w:rsid w:val="004C3DBD"/>
    <w:rsid w:val="004C3E2A"/>
    <w:rsid w:val="004C43C6"/>
    <w:rsid w:val="004C4868"/>
    <w:rsid w:val="004C497A"/>
    <w:rsid w:val="004C49BE"/>
    <w:rsid w:val="004C4DF3"/>
    <w:rsid w:val="004C525F"/>
    <w:rsid w:val="004C553D"/>
    <w:rsid w:val="004C5639"/>
    <w:rsid w:val="004C5987"/>
    <w:rsid w:val="004C63F1"/>
    <w:rsid w:val="004C6FE1"/>
    <w:rsid w:val="004C7024"/>
    <w:rsid w:val="004C7F9C"/>
    <w:rsid w:val="004D03CB"/>
    <w:rsid w:val="004D0497"/>
    <w:rsid w:val="004D056E"/>
    <w:rsid w:val="004D0934"/>
    <w:rsid w:val="004D1045"/>
    <w:rsid w:val="004D12EF"/>
    <w:rsid w:val="004D142A"/>
    <w:rsid w:val="004D1454"/>
    <w:rsid w:val="004D16DD"/>
    <w:rsid w:val="004D267F"/>
    <w:rsid w:val="004D31A2"/>
    <w:rsid w:val="004D3471"/>
    <w:rsid w:val="004D3890"/>
    <w:rsid w:val="004D3EB6"/>
    <w:rsid w:val="004D432E"/>
    <w:rsid w:val="004D49E3"/>
    <w:rsid w:val="004D4E75"/>
    <w:rsid w:val="004D4FB5"/>
    <w:rsid w:val="004D5600"/>
    <w:rsid w:val="004D5619"/>
    <w:rsid w:val="004D5D80"/>
    <w:rsid w:val="004D646C"/>
    <w:rsid w:val="004D69C0"/>
    <w:rsid w:val="004D6E36"/>
    <w:rsid w:val="004D7140"/>
    <w:rsid w:val="004D7634"/>
    <w:rsid w:val="004D78C5"/>
    <w:rsid w:val="004D7CA1"/>
    <w:rsid w:val="004D7CFD"/>
    <w:rsid w:val="004D7FB0"/>
    <w:rsid w:val="004D7FDB"/>
    <w:rsid w:val="004E05D6"/>
    <w:rsid w:val="004E1937"/>
    <w:rsid w:val="004E1B03"/>
    <w:rsid w:val="004E1F86"/>
    <w:rsid w:val="004E1FE4"/>
    <w:rsid w:val="004E214E"/>
    <w:rsid w:val="004E21B3"/>
    <w:rsid w:val="004E231C"/>
    <w:rsid w:val="004E237C"/>
    <w:rsid w:val="004E2498"/>
    <w:rsid w:val="004E2AB5"/>
    <w:rsid w:val="004E2B1C"/>
    <w:rsid w:val="004E2CA7"/>
    <w:rsid w:val="004E2D61"/>
    <w:rsid w:val="004E3275"/>
    <w:rsid w:val="004E3594"/>
    <w:rsid w:val="004E39E2"/>
    <w:rsid w:val="004E3C03"/>
    <w:rsid w:val="004E41B2"/>
    <w:rsid w:val="004E45EA"/>
    <w:rsid w:val="004E47D0"/>
    <w:rsid w:val="004E499F"/>
    <w:rsid w:val="004E555D"/>
    <w:rsid w:val="004E55D3"/>
    <w:rsid w:val="004E5893"/>
    <w:rsid w:val="004E5EDD"/>
    <w:rsid w:val="004E65F3"/>
    <w:rsid w:val="004E6760"/>
    <w:rsid w:val="004E6DA1"/>
    <w:rsid w:val="004E6EB0"/>
    <w:rsid w:val="004E700F"/>
    <w:rsid w:val="004E7464"/>
    <w:rsid w:val="004E74C8"/>
    <w:rsid w:val="004E74DF"/>
    <w:rsid w:val="004E78E9"/>
    <w:rsid w:val="004E7DB1"/>
    <w:rsid w:val="004F003B"/>
    <w:rsid w:val="004F030E"/>
    <w:rsid w:val="004F0408"/>
    <w:rsid w:val="004F0674"/>
    <w:rsid w:val="004F0A8A"/>
    <w:rsid w:val="004F0ADC"/>
    <w:rsid w:val="004F0C2E"/>
    <w:rsid w:val="004F0CFD"/>
    <w:rsid w:val="004F1269"/>
    <w:rsid w:val="004F19FB"/>
    <w:rsid w:val="004F1CBE"/>
    <w:rsid w:val="004F2001"/>
    <w:rsid w:val="004F2105"/>
    <w:rsid w:val="004F24B5"/>
    <w:rsid w:val="004F2597"/>
    <w:rsid w:val="004F2CA6"/>
    <w:rsid w:val="004F371B"/>
    <w:rsid w:val="004F38AC"/>
    <w:rsid w:val="004F3AA2"/>
    <w:rsid w:val="004F3CE3"/>
    <w:rsid w:val="004F3CE6"/>
    <w:rsid w:val="004F4032"/>
    <w:rsid w:val="004F41D3"/>
    <w:rsid w:val="004F432D"/>
    <w:rsid w:val="004F43CD"/>
    <w:rsid w:val="004F4552"/>
    <w:rsid w:val="004F4722"/>
    <w:rsid w:val="004F496C"/>
    <w:rsid w:val="004F4B16"/>
    <w:rsid w:val="004F5032"/>
    <w:rsid w:val="004F52B5"/>
    <w:rsid w:val="004F569D"/>
    <w:rsid w:val="004F5974"/>
    <w:rsid w:val="004F59A0"/>
    <w:rsid w:val="004F6361"/>
    <w:rsid w:val="004F655F"/>
    <w:rsid w:val="004F65A8"/>
    <w:rsid w:val="004F66A9"/>
    <w:rsid w:val="004F68C4"/>
    <w:rsid w:val="004F6B49"/>
    <w:rsid w:val="004F7426"/>
    <w:rsid w:val="004F7857"/>
    <w:rsid w:val="004F78E5"/>
    <w:rsid w:val="004F7A64"/>
    <w:rsid w:val="004F7BD5"/>
    <w:rsid w:val="00500637"/>
    <w:rsid w:val="0050093F"/>
    <w:rsid w:val="00500A28"/>
    <w:rsid w:val="0050106C"/>
    <w:rsid w:val="0050144D"/>
    <w:rsid w:val="005014A3"/>
    <w:rsid w:val="005018C8"/>
    <w:rsid w:val="005019D0"/>
    <w:rsid w:val="00501A6B"/>
    <w:rsid w:val="00501CD8"/>
    <w:rsid w:val="00501DC9"/>
    <w:rsid w:val="00501F36"/>
    <w:rsid w:val="00502362"/>
    <w:rsid w:val="00502483"/>
    <w:rsid w:val="0050269F"/>
    <w:rsid w:val="0050282B"/>
    <w:rsid w:val="00502A0F"/>
    <w:rsid w:val="00503061"/>
    <w:rsid w:val="0050318E"/>
    <w:rsid w:val="00503771"/>
    <w:rsid w:val="00503BA2"/>
    <w:rsid w:val="00503D89"/>
    <w:rsid w:val="00503EB5"/>
    <w:rsid w:val="0050402D"/>
    <w:rsid w:val="005043BE"/>
    <w:rsid w:val="00504419"/>
    <w:rsid w:val="00504458"/>
    <w:rsid w:val="00504CDA"/>
    <w:rsid w:val="00504D75"/>
    <w:rsid w:val="00504DE2"/>
    <w:rsid w:val="00505153"/>
    <w:rsid w:val="00505281"/>
    <w:rsid w:val="0050528C"/>
    <w:rsid w:val="00505673"/>
    <w:rsid w:val="0050584B"/>
    <w:rsid w:val="0050626C"/>
    <w:rsid w:val="0050627A"/>
    <w:rsid w:val="00506B35"/>
    <w:rsid w:val="00506E74"/>
    <w:rsid w:val="00507581"/>
    <w:rsid w:val="005075D2"/>
    <w:rsid w:val="00507652"/>
    <w:rsid w:val="005076B6"/>
    <w:rsid w:val="00507C8B"/>
    <w:rsid w:val="00507EA5"/>
    <w:rsid w:val="00507FA2"/>
    <w:rsid w:val="00510831"/>
    <w:rsid w:val="0051084B"/>
    <w:rsid w:val="00510DC2"/>
    <w:rsid w:val="005114DD"/>
    <w:rsid w:val="005118A4"/>
    <w:rsid w:val="00511E88"/>
    <w:rsid w:val="00512376"/>
    <w:rsid w:val="0051258D"/>
    <w:rsid w:val="00512CC9"/>
    <w:rsid w:val="00513428"/>
    <w:rsid w:val="005137EA"/>
    <w:rsid w:val="00513837"/>
    <w:rsid w:val="00513885"/>
    <w:rsid w:val="00513A34"/>
    <w:rsid w:val="005141B8"/>
    <w:rsid w:val="00514387"/>
    <w:rsid w:val="005143EE"/>
    <w:rsid w:val="00514674"/>
    <w:rsid w:val="0051485D"/>
    <w:rsid w:val="00514D57"/>
    <w:rsid w:val="00514E83"/>
    <w:rsid w:val="00515246"/>
    <w:rsid w:val="005157F3"/>
    <w:rsid w:val="00515B54"/>
    <w:rsid w:val="00515C6C"/>
    <w:rsid w:val="00515F11"/>
    <w:rsid w:val="005164E6"/>
    <w:rsid w:val="00516662"/>
    <w:rsid w:val="0051737B"/>
    <w:rsid w:val="00517D8D"/>
    <w:rsid w:val="00517DBC"/>
    <w:rsid w:val="00517E73"/>
    <w:rsid w:val="00517FAD"/>
    <w:rsid w:val="00520538"/>
    <w:rsid w:val="005206E2"/>
    <w:rsid w:val="00520B3D"/>
    <w:rsid w:val="00521211"/>
    <w:rsid w:val="005212F8"/>
    <w:rsid w:val="00521378"/>
    <w:rsid w:val="005213F1"/>
    <w:rsid w:val="005216EC"/>
    <w:rsid w:val="0052184B"/>
    <w:rsid w:val="005219DB"/>
    <w:rsid w:val="00522142"/>
    <w:rsid w:val="00522479"/>
    <w:rsid w:val="00522D49"/>
    <w:rsid w:val="005236DB"/>
    <w:rsid w:val="00523BA6"/>
    <w:rsid w:val="00523E36"/>
    <w:rsid w:val="00524A23"/>
    <w:rsid w:val="00524B22"/>
    <w:rsid w:val="00524C17"/>
    <w:rsid w:val="00524EFD"/>
    <w:rsid w:val="005251D5"/>
    <w:rsid w:val="005253A3"/>
    <w:rsid w:val="00525616"/>
    <w:rsid w:val="00525780"/>
    <w:rsid w:val="00525F4F"/>
    <w:rsid w:val="005269FB"/>
    <w:rsid w:val="00526CB1"/>
    <w:rsid w:val="00527A1F"/>
    <w:rsid w:val="00527E4B"/>
    <w:rsid w:val="005300D3"/>
    <w:rsid w:val="00530569"/>
    <w:rsid w:val="005307C3"/>
    <w:rsid w:val="00530A8E"/>
    <w:rsid w:val="00530D58"/>
    <w:rsid w:val="00530E7D"/>
    <w:rsid w:val="0053131E"/>
    <w:rsid w:val="00531CAB"/>
    <w:rsid w:val="0053208E"/>
    <w:rsid w:val="0053228E"/>
    <w:rsid w:val="00532748"/>
    <w:rsid w:val="00532CA4"/>
    <w:rsid w:val="00533B44"/>
    <w:rsid w:val="00533B5B"/>
    <w:rsid w:val="00533DCB"/>
    <w:rsid w:val="00533FEB"/>
    <w:rsid w:val="0053456B"/>
    <w:rsid w:val="005347E2"/>
    <w:rsid w:val="00534B03"/>
    <w:rsid w:val="00534C52"/>
    <w:rsid w:val="00534F67"/>
    <w:rsid w:val="00535147"/>
    <w:rsid w:val="00535593"/>
    <w:rsid w:val="00535857"/>
    <w:rsid w:val="005359FB"/>
    <w:rsid w:val="00535B88"/>
    <w:rsid w:val="00535BE9"/>
    <w:rsid w:val="00535D1F"/>
    <w:rsid w:val="00535DBB"/>
    <w:rsid w:val="00535ED2"/>
    <w:rsid w:val="00535FE9"/>
    <w:rsid w:val="0053648C"/>
    <w:rsid w:val="005367E5"/>
    <w:rsid w:val="00536884"/>
    <w:rsid w:val="00536B23"/>
    <w:rsid w:val="00536C9F"/>
    <w:rsid w:val="00536D53"/>
    <w:rsid w:val="00537525"/>
    <w:rsid w:val="00537735"/>
    <w:rsid w:val="005379D4"/>
    <w:rsid w:val="00537AE2"/>
    <w:rsid w:val="00537E68"/>
    <w:rsid w:val="00540293"/>
    <w:rsid w:val="0054060C"/>
    <w:rsid w:val="0054066A"/>
    <w:rsid w:val="0054070E"/>
    <w:rsid w:val="0054072F"/>
    <w:rsid w:val="0054090B"/>
    <w:rsid w:val="00540E2F"/>
    <w:rsid w:val="00541222"/>
    <w:rsid w:val="00541724"/>
    <w:rsid w:val="00541B5D"/>
    <w:rsid w:val="005421F4"/>
    <w:rsid w:val="005424DA"/>
    <w:rsid w:val="005427A9"/>
    <w:rsid w:val="00542835"/>
    <w:rsid w:val="005429C6"/>
    <w:rsid w:val="00542B97"/>
    <w:rsid w:val="00542FB3"/>
    <w:rsid w:val="00542FEE"/>
    <w:rsid w:val="0054305C"/>
    <w:rsid w:val="00543502"/>
    <w:rsid w:val="0054382E"/>
    <w:rsid w:val="0054395C"/>
    <w:rsid w:val="00543F74"/>
    <w:rsid w:val="00544019"/>
    <w:rsid w:val="005442A3"/>
    <w:rsid w:val="00544469"/>
    <w:rsid w:val="00544513"/>
    <w:rsid w:val="00544736"/>
    <w:rsid w:val="0054488B"/>
    <w:rsid w:val="005449E9"/>
    <w:rsid w:val="00544A68"/>
    <w:rsid w:val="00544B11"/>
    <w:rsid w:val="00544F82"/>
    <w:rsid w:val="00545238"/>
    <w:rsid w:val="00545366"/>
    <w:rsid w:val="00545484"/>
    <w:rsid w:val="00545580"/>
    <w:rsid w:val="00545DA6"/>
    <w:rsid w:val="005461DC"/>
    <w:rsid w:val="00546550"/>
    <w:rsid w:val="00546B3A"/>
    <w:rsid w:val="0054718F"/>
    <w:rsid w:val="00547653"/>
    <w:rsid w:val="0054768C"/>
    <w:rsid w:val="00547D0A"/>
    <w:rsid w:val="0055024D"/>
    <w:rsid w:val="005502C7"/>
    <w:rsid w:val="005505D0"/>
    <w:rsid w:val="00550960"/>
    <w:rsid w:val="00551854"/>
    <w:rsid w:val="00551A54"/>
    <w:rsid w:val="00551CF1"/>
    <w:rsid w:val="00551ED1"/>
    <w:rsid w:val="005529DD"/>
    <w:rsid w:val="00552FDC"/>
    <w:rsid w:val="0055300C"/>
    <w:rsid w:val="005533C7"/>
    <w:rsid w:val="005536EA"/>
    <w:rsid w:val="0055382A"/>
    <w:rsid w:val="0055393D"/>
    <w:rsid w:val="00553940"/>
    <w:rsid w:val="005539CD"/>
    <w:rsid w:val="00554039"/>
    <w:rsid w:val="0055424A"/>
    <w:rsid w:val="005548E0"/>
    <w:rsid w:val="00554AF3"/>
    <w:rsid w:val="00554BC1"/>
    <w:rsid w:val="00554EE5"/>
    <w:rsid w:val="005556CF"/>
    <w:rsid w:val="00555A25"/>
    <w:rsid w:val="00555B07"/>
    <w:rsid w:val="00555E2C"/>
    <w:rsid w:val="00556498"/>
    <w:rsid w:val="00556668"/>
    <w:rsid w:val="005575A4"/>
    <w:rsid w:val="005600A1"/>
    <w:rsid w:val="005605AC"/>
    <w:rsid w:val="005606E8"/>
    <w:rsid w:val="0056082B"/>
    <w:rsid w:val="005609BA"/>
    <w:rsid w:val="005609BC"/>
    <w:rsid w:val="00560A64"/>
    <w:rsid w:val="00560C53"/>
    <w:rsid w:val="00560E63"/>
    <w:rsid w:val="00561164"/>
    <w:rsid w:val="00561204"/>
    <w:rsid w:val="0056176C"/>
    <w:rsid w:val="00561796"/>
    <w:rsid w:val="00561925"/>
    <w:rsid w:val="00561D72"/>
    <w:rsid w:val="00562294"/>
    <w:rsid w:val="0056264A"/>
    <w:rsid w:val="0056265D"/>
    <w:rsid w:val="005626E0"/>
    <w:rsid w:val="0056286A"/>
    <w:rsid w:val="00563637"/>
    <w:rsid w:val="005637AC"/>
    <w:rsid w:val="00563DE8"/>
    <w:rsid w:val="00564350"/>
    <w:rsid w:val="00564ABA"/>
    <w:rsid w:val="00564C4E"/>
    <w:rsid w:val="00565193"/>
    <w:rsid w:val="00565685"/>
    <w:rsid w:val="00565841"/>
    <w:rsid w:val="00565A7A"/>
    <w:rsid w:val="00565AD9"/>
    <w:rsid w:val="00565F8E"/>
    <w:rsid w:val="005666D0"/>
    <w:rsid w:val="0056705A"/>
    <w:rsid w:val="005672F4"/>
    <w:rsid w:val="005673A4"/>
    <w:rsid w:val="0056759A"/>
    <w:rsid w:val="00567769"/>
    <w:rsid w:val="0057046A"/>
    <w:rsid w:val="00570511"/>
    <w:rsid w:val="0057063C"/>
    <w:rsid w:val="00570663"/>
    <w:rsid w:val="00570D80"/>
    <w:rsid w:val="00571576"/>
    <w:rsid w:val="0057167F"/>
    <w:rsid w:val="00571A5A"/>
    <w:rsid w:val="00571AB6"/>
    <w:rsid w:val="00571B23"/>
    <w:rsid w:val="00571EDB"/>
    <w:rsid w:val="00572213"/>
    <w:rsid w:val="00572256"/>
    <w:rsid w:val="00573CCB"/>
    <w:rsid w:val="00573E63"/>
    <w:rsid w:val="00574007"/>
    <w:rsid w:val="00574084"/>
    <w:rsid w:val="0057416D"/>
    <w:rsid w:val="00574354"/>
    <w:rsid w:val="005745EF"/>
    <w:rsid w:val="0057472E"/>
    <w:rsid w:val="00574A62"/>
    <w:rsid w:val="00574F4A"/>
    <w:rsid w:val="00574FB3"/>
    <w:rsid w:val="005752C8"/>
    <w:rsid w:val="00575412"/>
    <w:rsid w:val="005758E2"/>
    <w:rsid w:val="00575D04"/>
    <w:rsid w:val="00575E42"/>
    <w:rsid w:val="00575F32"/>
    <w:rsid w:val="00576559"/>
    <w:rsid w:val="005766AC"/>
    <w:rsid w:val="00576E19"/>
    <w:rsid w:val="00576F13"/>
    <w:rsid w:val="005770C5"/>
    <w:rsid w:val="00577129"/>
    <w:rsid w:val="00577336"/>
    <w:rsid w:val="005776E1"/>
    <w:rsid w:val="0057777C"/>
    <w:rsid w:val="00577CB1"/>
    <w:rsid w:val="00577EC1"/>
    <w:rsid w:val="00580570"/>
    <w:rsid w:val="0058064D"/>
    <w:rsid w:val="00580743"/>
    <w:rsid w:val="0058075D"/>
    <w:rsid w:val="00580900"/>
    <w:rsid w:val="00580D4E"/>
    <w:rsid w:val="00580F1C"/>
    <w:rsid w:val="00580F3A"/>
    <w:rsid w:val="00580F95"/>
    <w:rsid w:val="00581203"/>
    <w:rsid w:val="005812B3"/>
    <w:rsid w:val="005812BF"/>
    <w:rsid w:val="00581329"/>
    <w:rsid w:val="00581A29"/>
    <w:rsid w:val="00581A4F"/>
    <w:rsid w:val="00581BF0"/>
    <w:rsid w:val="00581C4D"/>
    <w:rsid w:val="00581F52"/>
    <w:rsid w:val="00582183"/>
    <w:rsid w:val="005823A4"/>
    <w:rsid w:val="00582420"/>
    <w:rsid w:val="0058248D"/>
    <w:rsid w:val="00582B8C"/>
    <w:rsid w:val="0058316D"/>
    <w:rsid w:val="005832E7"/>
    <w:rsid w:val="0058358D"/>
    <w:rsid w:val="005841EE"/>
    <w:rsid w:val="005843FD"/>
    <w:rsid w:val="00584500"/>
    <w:rsid w:val="005845FE"/>
    <w:rsid w:val="00584F15"/>
    <w:rsid w:val="00584F27"/>
    <w:rsid w:val="00585040"/>
    <w:rsid w:val="005852D9"/>
    <w:rsid w:val="00585809"/>
    <w:rsid w:val="005859F9"/>
    <w:rsid w:val="00585A1C"/>
    <w:rsid w:val="00585C41"/>
    <w:rsid w:val="0058644D"/>
    <w:rsid w:val="00586538"/>
    <w:rsid w:val="00586733"/>
    <w:rsid w:val="00586C9D"/>
    <w:rsid w:val="00586CA0"/>
    <w:rsid w:val="00586EC8"/>
    <w:rsid w:val="00587758"/>
    <w:rsid w:val="005879B0"/>
    <w:rsid w:val="00587A4B"/>
    <w:rsid w:val="00587A85"/>
    <w:rsid w:val="00587C02"/>
    <w:rsid w:val="00587C3B"/>
    <w:rsid w:val="00590848"/>
    <w:rsid w:val="00590A38"/>
    <w:rsid w:val="00590A4F"/>
    <w:rsid w:val="00590B1F"/>
    <w:rsid w:val="00590D27"/>
    <w:rsid w:val="00591425"/>
    <w:rsid w:val="0059191F"/>
    <w:rsid w:val="005919E8"/>
    <w:rsid w:val="00591A13"/>
    <w:rsid w:val="00591A20"/>
    <w:rsid w:val="00591A99"/>
    <w:rsid w:val="00591EE7"/>
    <w:rsid w:val="00591F5F"/>
    <w:rsid w:val="005925C3"/>
    <w:rsid w:val="0059268F"/>
    <w:rsid w:val="00592D4E"/>
    <w:rsid w:val="0059314A"/>
    <w:rsid w:val="005935AC"/>
    <w:rsid w:val="00593853"/>
    <w:rsid w:val="005939F6"/>
    <w:rsid w:val="00593BFB"/>
    <w:rsid w:val="00593C4D"/>
    <w:rsid w:val="00593C4F"/>
    <w:rsid w:val="00593EB0"/>
    <w:rsid w:val="005946A8"/>
    <w:rsid w:val="00594971"/>
    <w:rsid w:val="00594C2F"/>
    <w:rsid w:val="00594C9E"/>
    <w:rsid w:val="00594F3F"/>
    <w:rsid w:val="00595744"/>
    <w:rsid w:val="005959BB"/>
    <w:rsid w:val="00595F1A"/>
    <w:rsid w:val="00596C97"/>
    <w:rsid w:val="00596D0A"/>
    <w:rsid w:val="00596E8D"/>
    <w:rsid w:val="00597135"/>
    <w:rsid w:val="005971A3"/>
    <w:rsid w:val="00597494"/>
    <w:rsid w:val="00597524"/>
    <w:rsid w:val="00597646"/>
    <w:rsid w:val="005979DE"/>
    <w:rsid w:val="00597AA1"/>
    <w:rsid w:val="005A00FD"/>
    <w:rsid w:val="005A0198"/>
    <w:rsid w:val="005A02C2"/>
    <w:rsid w:val="005A040B"/>
    <w:rsid w:val="005A0536"/>
    <w:rsid w:val="005A05EE"/>
    <w:rsid w:val="005A073E"/>
    <w:rsid w:val="005A07DE"/>
    <w:rsid w:val="005A08D3"/>
    <w:rsid w:val="005A09B3"/>
    <w:rsid w:val="005A12E9"/>
    <w:rsid w:val="005A158B"/>
    <w:rsid w:val="005A19B8"/>
    <w:rsid w:val="005A1AD2"/>
    <w:rsid w:val="005A1D1A"/>
    <w:rsid w:val="005A24F3"/>
    <w:rsid w:val="005A2829"/>
    <w:rsid w:val="005A36C1"/>
    <w:rsid w:val="005A38D6"/>
    <w:rsid w:val="005A38F3"/>
    <w:rsid w:val="005A3B54"/>
    <w:rsid w:val="005A3B81"/>
    <w:rsid w:val="005A3F40"/>
    <w:rsid w:val="005A3F6A"/>
    <w:rsid w:val="005A4056"/>
    <w:rsid w:val="005A4114"/>
    <w:rsid w:val="005A4191"/>
    <w:rsid w:val="005A4407"/>
    <w:rsid w:val="005A46AE"/>
    <w:rsid w:val="005A49FD"/>
    <w:rsid w:val="005A4C3E"/>
    <w:rsid w:val="005A5079"/>
    <w:rsid w:val="005A5234"/>
    <w:rsid w:val="005A559B"/>
    <w:rsid w:val="005A5617"/>
    <w:rsid w:val="005A58CD"/>
    <w:rsid w:val="005A59EF"/>
    <w:rsid w:val="005A5A89"/>
    <w:rsid w:val="005A5C18"/>
    <w:rsid w:val="005A5DD8"/>
    <w:rsid w:val="005A5E15"/>
    <w:rsid w:val="005A5EDA"/>
    <w:rsid w:val="005A6131"/>
    <w:rsid w:val="005A624E"/>
    <w:rsid w:val="005A7139"/>
    <w:rsid w:val="005A7890"/>
    <w:rsid w:val="005A7891"/>
    <w:rsid w:val="005A7B8B"/>
    <w:rsid w:val="005A7EA3"/>
    <w:rsid w:val="005B00AD"/>
    <w:rsid w:val="005B076E"/>
    <w:rsid w:val="005B078F"/>
    <w:rsid w:val="005B08DF"/>
    <w:rsid w:val="005B0AEB"/>
    <w:rsid w:val="005B0BBE"/>
    <w:rsid w:val="005B0E4C"/>
    <w:rsid w:val="005B11FD"/>
    <w:rsid w:val="005B1477"/>
    <w:rsid w:val="005B19AC"/>
    <w:rsid w:val="005B1A3C"/>
    <w:rsid w:val="005B1CB8"/>
    <w:rsid w:val="005B21FE"/>
    <w:rsid w:val="005B27B5"/>
    <w:rsid w:val="005B289C"/>
    <w:rsid w:val="005B2A18"/>
    <w:rsid w:val="005B2B95"/>
    <w:rsid w:val="005B3825"/>
    <w:rsid w:val="005B3A21"/>
    <w:rsid w:val="005B3B6C"/>
    <w:rsid w:val="005B3C21"/>
    <w:rsid w:val="005B3E45"/>
    <w:rsid w:val="005B3F3E"/>
    <w:rsid w:val="005B4018"/>
    <w:rsid w:val="005B424B"/>
    <w:rsid w:val="005B454A"/>
    <w:rsid w:val="005B4B5B"/>
    <w:rsid w:val="005B4C67"/>
    <w:rsid w:val="005B4D19"/>
    <w:rsid w:val="005B51B9"/>
    <w:rsid w:val="005B5838"/>
    <w:rsid w:val="005B5C9E"/>
    <w:rsid w:val="005B5FF8"/>
    <w:rsid w:val="005B6583"/>
    <w:rsid w:val="005B66CB"/>
    <w:rsid w:val="005B6D53"/>
    <w:rsid w:val="005B6E95"/>
    <w:rsid w:val="005B78EA"/>
    <w:rsid w:val="005B794C"/>
    <w:rsid w:val="005C025E"/>
    <w:rsid w:val="005C09BE"/>
    <w:rsid w:val="005C0BD6"/>
    <w:rsid w:val="005C0C94"/>
    <w:rsid w:val="005C0CD4"/>
    <w:rsid w:val="005C0F04"/>
    <w:rsid w:val="005C0F94"/>
    <w:rsid w:val="005C1204"/>
    <w:rsid w:val="005C13F0"/>
    <w:rsid w:val="005C14B4"/>
    <w:rsid w:val="005C150A"/>
    <w:rsid w:val="005C15A4"/>
    <w:rsid w:val="005C20D0"/>
    <w:rsid w:val="005C2383"/>
    <w:rsid w:val="005C290D"/>
    <w:rsid w:val="005C361E"/>
    <w:rsid w:val="005C3B25"/>
    <w:rsid w:val="005C3F2A"/>
    <w:rsid w:val="005C4862"/>
    <w:rsid w:val="005C4BEC"/>
    <w:rsid w:val="005C4DA1"/>
    <w:rsid w:val="005C50CB"/>
    <w:rsid w:val="005C599C"/>
    <w:rsid w:val="005C5FAE"/>
    <w:rsid w:val="005C607A"/>
    <w:rsid w:val="005C61EB"/>
    <w:rsid w:val="005C63A8"/>
    <w:rsid w:val="005C6478"/>
    <w:rsid w:val="005C726B"/>
    <w:rsid w:val="005C73A8"/>
    <w:rsid w:val="005C7B2B"/>
    <w:rsid w:val="005C7BEC"/>
    <w:rsid w:val="005C7E23"/>
    <w:rsid w:val="005D0733"/>
    <w:rsid w:val="005D0C90"/>
    <w:rsid w:val="005D0CEC"/>
    <w:rsid w:val="005D0F1F"/>
    <w:rsid w:val="005D0F3C"/>
    <w:rsid w:val="005D1009"/>
    <w:rsid w:val="005D1084"/>
    <w:rsid w:val="005D1267"/>
    <w:rsid w:val="005D1429"/>
    <w:rsid w:val="005D1A31"/>
    <w:rsid w:val="005D215E"/>
    <w:rsid w:val="005D2242"/>
    <w:rsid w:val="005D2877"/>
    <w:rsid w:val="005D2954"/>
    <w:rsid w:val="005D29FA"/>
    <w:rsid w:val="005D2D55"/>
    <w:rsid w:val="005D2DD4"/>
    <w:rsid w:val="005D2E98"/>
    <w:rsid w:val="005D3359"/>
    <w:rsid w:val="005D34E6"/>
    <w:rsid w:val="005D3655"/>
    <w:rsid w:val="005D3998"/>
    <w:rsid w:val="005D3FB0"/>
    <w:rsid w:val="005D452F"/>
    <w:rsid w:val="005D492F"/>
    <w:rsid w:val="005D4A64"/>
    <w:rsid w:val="005D4E62"/>
    <w:rsid w:val="005D517B"/>
    <w:rsid w:val="005D52B3"/>
    <w:rsid w:val="005D52CC"/>
    <w:rsid w:val="005D539E"/>
    <w:rsid w:val="005D53CA"/>
    <w:rsid w:val="005D550C"/>
    <w:rsid w:val="005D5944"/>
    <w:rsid w:val="005D5BAF"/>
    <w:rsid w:val="005D5BCE"/>
    <w:rsid w:val="005D5F48"/>
    <w:rsid w:val="005D5F95"/>
    <w:rsid w:val="005D61E8"/>
    <w:rsid w:val="005D62BB"/>
    <w:rsid w:val="005D6385"/>
    <w:rsid w:val="005D69AA"/>
    <w:rsid w:val="005D6A94"/>
    <w:rsid w:val="005D6F30"/>
    <w:rsid w:val="005D7429"/>
    <w:rsid w:val="005D761F"/>
    <w:rsid w:val="005D7748"/>
    <w:rsid w:val="005D7858"/>
    <w:rsid w:val="005D78CC"/>
    <w:rsid w:val="005D790C"/>
    <w:rsid w:val="005D7BB2"/>
    <w:rsid w:val="005E008F"/>
    <w:rsid w:val="005E0105"/>
    <w:rsid w:val="005E0277"/>
    <w:rsid w:val="005E099D"/>
    <w:rsid w:val="005E0EDE"/>
    <w:rsid w:val="005E0F65"/>
    <w:rsid w:val="005E10CF"/>
    <w:rsid w:val="005E1113"/>
    <w:rsid w:val="005E1812"/>
    <w:rsid w:val="005E1894"/>
    <w:rsid w:val="005E189C"/>
    <w:rsid w:val="005E1AD4"/>
    <w:rsid w:val="005E1CAC"/>
    <w:rsid w:val="005E1DD4"/>
    <w:rsid w:val="005E222F"/>
    <w:rsid w:val="005E2458"/>
    <w:rsid w:val="005E2563"/>
    <w:rsid w:val="005E2E10"/>
    <w:rsid w:val="005E2FC8"/>
    <w:rsid w:val="005E3024"/>
    <w:rsid w:val="005E343D"/>
    <w:rsid w:val="005E3CAA"/>
    <w:rsid w:val="005E3F06"/>
    <w:rsid w:val="005E438D"/>
    <w:rsid w:val="005E450F"/>
    <w:rsid w:val="005E4815"/>
    <w:rsid w:val="005E48F7"/>
    <w:rsid w:val="005E4D01"/>
    <w:rsid w:val="005E54E9"/>
    <w:rsid w:val="005E5875"/>
    <w:rsid w:val="005E5A56"/>
    <w:rsid w:val="005E5BE3"/>
    <w:rsid w:val="005E5DA0"/>
    <w:rsid w:val="005E5ED5"/>
    <w:rsid w:val="005E654A"/>
    <w:rsid w:val="005E6915"/>
    <w:rsid w:val="005E6C6C"/>
    <w:rsid w:val="005E6D07"/>
    <w:rsid w:val="005E6E66"/>
    <w:rsid w:val="005E7111"/>
    <w:rsid w:val="005E7328"/>
    <w:rsid w:val="005E7838"/>
    <w:rsid w:val="005E7908"/>
    <w:rsid w:val="005E7991"/>
    <w:rsid w:val="005E7C1F"/>
    <w:rsid w:val="005E7C53"/>
    <w:rsid w:val="005F041B"/>
    <w:rsid w:val="005F0826"/>
    <w:rsid w:val="005F0BFA"/>
    <w:rsid w:val="005F0C38"/>
    <w:rsid w:val="005F0D84"/>
    <w:rsid w:val="005F1231"/>
    <w:rsid w:val="005F1749"/>
    <w:rsid w:val="005F1CAB"/>
    <w:rsid w:val="005F2345"/>
    <w:rsid w:val="005F2625"/>
    <w:rsid w:val="005F2639"/>
    <w:rsid w:val="005F26F3"/>
    <w:rsid w:val="005F3009"/>
    <w:rsid w:val="005F30DA"/>
    <w:rsid w:val="005F3318"/>
    <w:rsid w:val="005F3359"/>
    <w:rsid w:val="005F357B"/>
    <w:rsid w:val="005F3658"/>
    <w:rsid w:val="005F3710"/>
    <w:rsid w:val="005F3965"/>
    <w:rsid w:val="005F3CE6"/>
    <w:rsid w:val="005F3DDE"/>
    <w:rsid w:val="005F461B"/>
    <w:rsid w:val="005F48B4"/>
    <w:rsid w:val="005F490B"/>
    <w:rsid w:val="005F493B"/>
    <w:rsid w:val="005F4A77"/>
    <w:rsid w:val="005F4B51"/>
    <w:rsid w:val="005F4BA3"/>
    <w:rsid w:val="005F4EBF"/>
    <w:rsid w:val="005F562F"/>
    <w:rsid w:val="005F5889"/>
    <w:rsid w:val="005F5B41"/>
    <w:rsid w:val="005F5DC6"/>
    <w:rsid w:val="005F65B1"/>
    <w:rsid w:val="005F6740"/>
    <w:rsid w:val="005F6AD2"/>
    <w:rsid w:val="005F6AF3"/>
    <w:rsid w:val="005F6BCE"/>
    <w:rsid w:val="005F6D6F"/>
    <w:rsid w:val="005F6D7C"/>
    <w:rsid w:val="005F6F41"/>
    <w:rsid w:val="005F6FBC"/>
    <w:rsid w:val="005F7313"/>
    <w:rsid w:val="005F76AB"/>
    <w:rsid w:val="005F770D"/>
    <w:rsid w:val="005F7A7E"/>
    <w:rsid w:val="005F7DB9"/>
    <w:rsid w:val="005F7E73"/>
    <w:rsid w:val="0060013F"/>
    <w:rsid w:val="00600176"/>
    <w:rsid w:val="006003ED"/>
    <w:rsid w:val="00600D39"/>
    <w:rsid w:val="00601082"/>
    <w:rsid w:val="0060185B"/>
    <w:rsid w:val="006021E9"/>
    <w:rsid w:val="00602A51"/>
    <w:rsid w:val="00602AC4"/>
    <w:rsid w:val="00602AEA"/>
    <w:rsid w:val="00602B51"/>
    <w:rsid w:val="00602C76"/>
    <w:rsid w:val="00602E44"/>
    <w:rsid w:val="00602FA6"/>
    <w:rsid w:val="006032BD"/>
    <w:rsid w:val="006037B2"/>
    <w:rsid w:val="006038CC"/>
    <w:rsid w:val="00603AF2"/>
    <w:rsid w:val="00603E63"/>
    <w:rsid w:val="00604153"/>
    <w:rsid w:val="006041FC"/>
    <w:rsid w:val="006043B8"/>
    <w:rsid w:val="00604883"/>
    <w:rsid w:val="00604C92"/>
    <w:rsid w:val="00604D50"/>
    <w:rsid w:val="0060505A"/>
    <w:rsid w:val="00605168"/>
    <w:rsid w:val="006055B1"/>
    <w:rsid w:val="00605681"/>
    <w:rsid w:val="00605810"/>
    <w:rsid w:val="0060586A"/>
    <w:rsid w:val="00605B89"/>
    <w:rsid w:val="0060604C"/>
    <w:rsid w:val="0060605E"/>
    <w:rsid w:val="006061CD"/>
    <w:rsid w:val="00606562"/>
    <w:rsid w:val="0060659D"/>
    <w:rsid w:val="00606AD6"/>
    <w:rsid w:val="00606DD5"/>
    <w:rsid w:val="00606F6A"/>
    <w:rsid w:val="00610099"/>
    <w:rsid w:val="006100C2"/>
    <w:rsid w:val="006105D5"/>
    <w:rsid w:val="0061061E"/>
    <w:rsid w:val="006107B5"/>
    <w:rsid w:val="006107C5"/>
    <w:rsid w:val="00610853"/>
    <w:rsid w:val="00610CCE"/>
    <w:rsid w:val="00610D7A"/>
    <w:rsid w:val="006111CF"/>
    <w:rsid w:val="006115BB"/>
    <w:rsid w:val="00611794"/>
    <w:rsid w:val="0061181E"/>
    <w:rsid w:val="006119AE"/>
    <w:rsid w:val="006119C7"/>
    <w:rsid w:val="00611BAF"/>
    <w:rsid w:val="00611E61"/>
    <w:rsid w:val="00612058"/>
    <w:rsid w:val="006132C8"/>
    <w:rsid w:val="006132E4"/>
    <w:rsid w:val="006134D1"/>
    <w:rsid w:val="00613595"/>
    <w:rsid w:val="00613805"/>
    <w:rsid w:val="00613A17"/>
    <w:rsid w:val="00613AE5"/>
    <w:rsid w:val="006143BF"/>
    <w:rsid w:val="00614557"/>
    <w:rsid w:val="006146B1"/>
    <w:rsid w:val="00614BCD"/>
    <w:rsid w:val="00614D05"/>
    <w:rsid w:val="00615220"/>
    <w:rsid w:val="00615A42"/>
    <w:rsid w:val="00615AD8"/>
    <w:rsid w:val="00615F68"/>
    <w:rsid w:val="00616325"/>
    <w:rsid w:val="00616689"/>
    <w:rsid w:val="006166F6"/>
    <w:rsid w:val="00616BB5"/>
    <w:rsid w:val="00616C92"/>
    <w:rsid w:val="00616F75"/>
    <w:rsid w:val="006173C7"/>
    <w:rsid w:val="0061769C"/>
    <w:rsid w:val="006202DF"/>
    <w:rsid w:val="0062041E"/>
    <w:rsid w:val="006205BB"/>
    <w:rsid w:val="00620827"/>
    <w:rsid w:val="006208D5"/>
    <w:rsid w:val="00620BA0"/>
    <w:rsid w:val="00621026"/>
    <w:rsid w:val="006211CA"/>
    <w:rsid w:val="00621304"/>
    <w:rsid w:val="00621520"/>
    <w:rsid w:val="006218F4"/>
    <w:rsid w:val="006219CA"/>
    <w:rsid w:val="00621A12"/>
    <w:rsid w:val="00621ABE"/>
    <w:rsid w:val="00621AE2"/>
    <w:rsid w:val="006221FE"/>
    <w:rsid w:val="006222DD"/>
    <w:rsid w:val="00622414"/>
    <w:rsid w:val="0062260E"/>
    <w:rsid w:val="006229A5"/>
    <w:rsid w:val="006229FA"/>
    <w:rsid w:val="00622BAC"/>
    <w:rsid w:val="00622D66"/>
    <w:rsid w:val="00623003"/>
    <w:rsid w:val="00623142"/>
    <w:rsid w:val="006232A7"/>
    <w:rsid w:val="006235E2"/>
    <w:rsid w:val="0062368C"/>
    <w:rsid w:val="006236DA"/>
    <w:rsid w:val="0062389C"/>
    <w:rsid w:val="00623D9D"/>
    <w:rsid w:val="00623F94"/>
    <w:rsid w:val="006240CA"/>
    <w:rsid w:val="00624179"/>
    <w:rsid w:val="006241D9"/>
    <w:rsid w:val="0062448C"/>
    <w:rsid w:val="006244FC"/>
    <w:rsid w:val="00624952"/>
    <w:rsid w:val="00624C49"/>
    <w:rsid w:val="006250EC"/>
    <w:rsid w:val="006253C4"/>
    <w:rsid w:val="006256EF"/>
    <w:rsid w:val="00625B7F"/>
    <w:rsid w:val="00625DC6"/>
    <w:rsid w:val="00625F08"/>
    <w:rsid w:val="006267EB"/>
    <w:rsid w:val="00626C69"/>
    <w:rsid w:val="006270E9"/>
    <w:rsid w:val="00627B30"/>
    <w:rsid w:val="00627B4F"/>
    <w:rsid w:val="00627BE4"/>
    <w:rsid w:val="00627E30"/>
    <w:rsid w:val="00630040"/>
    <w:rsid w:val="006300E3"/>
    <w:rsid w:val="006301EC"/>
    <w:rsid w:val="00630697"/>
    <w:rsid w:val="0063084B"/>
    <w:rsid w:val="006310E9"/>
    <w:rsid w:val="00631464"/>
    <w:rsid w:val="00631535"/>
    <w:rsid w:val="0063153F"/>
    <w:rsid w:val="00631845"/>
    <w:rsid w:val="00631D12"/>
    <w:rsid w:val="00631DB9"/>
    <w:rsid w:val="006321A5"/>
    <w:rsid w:val="006321BA"/>
    <w:rsid w:val="006328E9"/>
    <w:rsid w:val="00632BB1"/>
    <w:rsid w:val="00632BF4"/>
    <w:rsid w:val="00632C3D"/>
    <w:rsid w:val="00633102"/>
    <w:rsid w:val="00633485"/>
    <w:rsid w:val="0063353C"/>
    <w:rsid w:val="0063362B"/>
    <w:rsid w:val="0063390F"/>
    <w:rsid w:val="00633921"/>
    <w:rsid w:val="00634190"/>
    <w:rsid w:val="00634194"/>
    <w:rsid w:val="00634CC9"/>
    <w:rsid w:val="00635170"/>
    <w:rsid w:val="006353D4"/>
    <w:rsid w:val="00635A91"/>
    <w:rsid w:val="00635D20"/>
    <w:rsid w:val="00635E65"/>
    <w:rsid w:val="00636311"/>
    <w:rsid w:val="006363D0"/>
    <w:rsid w:val="006366A7"/>
    <w:rsid w:val="00636B6A"/>
    <w:rsid w:val="006376E1"/>
    <w:rsid w:val="00640054"/>
    <w:rsid w:val="0064008D"/>
    <w:rsid w:val="00640274"/>
    <w:rsid w:val="006403DB"/>
    <w:rsid w:val="00640A17"/>
    <w:rsid w:val="00640A5A"/>
    <w:rsid w:val="00640FA4"/>
    <w:rsid w:val="0064111E"/>
    <w:rsid w:val="0064117E"/>
    <w:rsid w:val="00641483"/>
    <w:rsid w:val="00641544"/>
    <w:rsid w:val="0064165C"/>
    <w:rsid w:val="00641E26"/>
    <w:rsid w:val="00642010"/>
    <w:rsid w:val="006422A1"/>
    <w:rsid w:val="006423D3"/>
    <w:rsid w:val="00642700"/>
    <w:rsid w:val="00642808"/>
    <w:rsid w:val="00642982"/>
    <w:rsid w:val="0064335C"/>
    <w:rsid w:val="00643508"/>
    <w:rsid w:val="00643743"/>
    <w:rsid w:val="006437D0"/>
    <w:rsid w:val="0064385D"/>
    <w:rsid w:val="00643903"/>
    <w:rsid w:val="0064391D"/>
    <w:rsid w:val="00643D72"/>
    <w:rsid w:val="00643E71"/>
    <w:rsid w:val="00643EAD"/>
    <w:rsid w:val="00643F9B"/>
    <w:rsid w:val="00643FB2"/>
    <w:rsid w:val="00643FF2"/>
    <w:rsid w:val="00644013"/>
    <w:rsid w:val="00644451"/>
    <w:rsid w:val="006444D4"/>
    <w:rsid w:val="00644712"/>
    <w:rsid w:val="00644BBC"/>
    <w:rsid w:val="00644D44"/>
    <w:rsid w:val="006451F3"/>
    <w:rsid w:val="00645377"/>
    <w:rsid w:val="00645515"/>
    <w:rsid w:val="006455EA"/>
    <w:rsid w:val="00645667"/>
    <w:rsid w:val="006459A5"/>
    <w:rsid w:val="00645E74"/>
    <w:rsid w:val="00645F4A"/>
    <w:rsid w:val="006461EF"/>
    <w:rsid w:val="00646255"/>
    <w:rsid w:val="006462F7"/>
    <w:rsid w:val="00646582"/>
    <w:rsid w:val="00646655"/>
    <w:rsid w:val="00646950"/>
    <w:rsid w:val="00646CA7"/>
    <w:rsid w:val="00646E5B"/>
    <w:rsid w:val="00646F7B"/>
    <w:rsid w:val="006475AE"/>
    <w:rsid w:val="00647634"/>
    <w:rsid w:val="00647680"/>
    <w:rsid w:val="006478EC"/>
    <w:rsid w:val="00647B11"/>
    <w:rsid w:val="00647B92"/>
    <w:rsid w:val="00647C1D"/>
    <w:rsid w:val="00647F14"/>
    <w:rsid w:val="006500A8"/>
    <w:rsid w:val="00650498"/>
    <w:rsid w:val="0065076C"/>
    <w:rsid w:val="00650921"/>
    <w:rsid w:val="006509FD"/>
    <w:rsid w:val="00650AB6"/>
    <w:rsid w:val="00650C7D"/>
    <w:rsid w:val="00650DA0"/>
    <w:rsid w:val="00650E29"/>
    <w:rsid w:val="00651075"/>
    <w:rsid w:val="00651110"/>
    <w:rsid w:val="00651215"/>
    <w:rsid w:val="00651218"/>
    <w:rsid w:val="00651249"/>
    <w:rsid w:val="006512A3"/>
    <w:rsid w:val="006512A9"/>
    <w:rsid w:val="006513E3"/>
    <w:rsid w:val="00651821"/>
    <w:rsid w:val="00651EA4"/>
    <w:rsid w:val="0065211B"/>
    <w:rsid w:val="006523A4"/>
    <w:rsid w:val="00652548"/>
    <w:rsid w:val="0065280B"/>
    <w:rsid w:val="0065281A"/>
    <w:rsid w:val="006529B2"/>
    <w:rsid w:val="00652CD9"/>
    <w:rsid w:val="00652DB2"/>
    <w:rsid w:val="00652DE4"/>
    <w:rsid w:val="0065393F"/>
    <w:rsid w:val="00653C26"/>
    <w:rsid w:val="00653FF5"/>
    <w:rsid w:val="006540AD"/>
    <w:rsid w:val="00654117"/>
    <w:rsid w:val="00654179"/>
    <w:rsid w:val="00654384"/>
    <w:rsid w:val="006544C7"/>
    <w:rsid w:val="00654B37"/>
    <w:rsid w:val="00654BE7"/>
    <w:rsid w:val="00654F3E"/>
    <w:rsid w:val="006553F5"/>
    <w:rsid w:val="00655782"/>
    <w:rsid w:val="00655805"/>
    <w:rsid w:val="0065599E"/>
    <w:rsid w:val="00655F0A"/>
    <w:rsid w:val="00655F6E"/>
    <w:rsid w:val="006560C0"/>
    <w:rsid w:val="00656128"/>
    <w:rsid w:val="00656571"/>
    <w:rsid w:val="006567BC"/>
    <w:rsid w:val="00656E82"/>
    <w:rsid w:val="00656EDF"/>
    <w:rsid w:val="0065759C"/>
    <w:rsid w:val="00657695"/>
    <w:rsid w:val="00657BC4"/>
    <w:rsid w:val="00657D8B"/>
    <w:rsid w:val="00660008"/>
    <w:rsid w:val="00660092"/>
    <w:rsid w:val="006600A8"/>
    <w:rsid w:val="006600DA"/>
    <w:rsid w:val="00660387"/>
    <w:rsid w:val="006608EF"/>
    <w:rsid w:val="00660BA6"/>
    <w:rsid w:val="00660E08"/>
    <w:rsid w:val="00661066"/>
    <w:rsid w:val="0066107D"/>
    <w:rsid w:val="00662F27"/>
    <w:rsid w:val="006632DB"/>
    <w:rsid w:val="006635A3"/>
    <w:rsid w:val="00663775"/>
    <w:rsid w:val="00663984"/>
    <w:rsid w:val="00664478"/>
    <w:rsid w:val="00664500"/>
    <w:rsid w:val="00664591"/>
    <w:rsid w:val="006645AA"/>
    <w:rsid w:val="006648FF"/>
    <w:rsid w:val="00664A68"/>
    <w:rsid w:val="00664D19"/>
    <w:rsid w:val="0066500F"/>
    <w:rsid w:val="006654A2"/>
    <w:rsid w:val="00665808"/>
    <w:rsid w:val="00665AC9"/>
    <w:rsid w:val="006666EB"/>
    <w:rsid w:val="00666FC9"/>
    <w:rsid w:val="00667328"/>
    <w:rsid w:val="006673B1"/>
    <w:rsid w:val="00667536"/>
    <w:rsid w:val="0066758F"/>
    <w:rsid w:val="006675CD"/>
    <w:rsid w:val="0066788F"/>
    <w:rsid w:val="00667AF3"/>
    <w:rsid w:val="00667F2A"/>
    <w:rsid w:val="0067048E"/>
    <w:rsid w:val="00670609"/>
    <w:rsid w:val="00670618"/>
    <w:rsid w:val="006706EF"/>
    <w:rsid w:val="006707A2"/>
    <w:rsid w:val="00670F1A"/>
    <w:rsid w:val="00670F7F"/>
    <w:rsid w:val="006711A7"/>
    <w:rsid w:val="00671FC5"/>
    <w:rsid w:val="00672093"/>
    <w:rsid w:val="006725A2"/>
    <w:rsid w:val="00672A65"/>
    <w:rsid w:val="00672AA9"/>
    <w:rsid w:val="00672D7A"/>
    <w:rsid w:val="006731BA"/>
    <w:rsid w:val="0067337D"/>
    <w:rsid w:val="00673468"/>
    <w:rsid w:val="00673524"/>
    <w:rsid w:val="006735AA"/>
    <w:rsid w:val="00673885"/>
    <w:rsid w:val="00673989"/>
    <w:rsid w:val="006739F4"/>
    <w:rsid w:val="0067410D"/>
    <w:rsid w:val="0067411C"/>
    <w:rsid w:val="00674125"/>
    <w:rsid w:val="00674473"/>
    <w:rsid w:val="006745B2"/>
    <w:rsid w:val="00674921"/>
    <w:rsid w:val="00674C62"/>
    <w:rsid w:val="00674C85"/>
    <w:rsid w:val="00674D4E"/>
    <w:rsid w:val="00675013"/>
    <w:rsid w:val="00675018"/>
    <w:rsid w:val="00675039"/>
    <w:rsid w:val="0067506B"/>
    <w:rsid w:val="00675803"/>
    <w:rsid w:val="00675C69"/>
    <w:rsid w:val="00675CCE"/>
    <w:rsid w:val="00675DB8"/>
    <w:rsid w:val="0067698E"/>
    <w:rsid w:val="00676A0D"/>
    <w:rsid w:val="00676A9C"/>
    <w:rsid w:val="00676B79"/>
    <w:rsid w:val="00676D3C"/>
    <w:rsid w:val="00677085"/>
    <w:rsid w:val="00677099"/>
    <w:rsid w:val="0067752B"/>
    <w:rsid w:val="006776BA"/>
    <w:rsid w:val="006776CF"/>
    <w:rsid w:val="0067780B"/>
    <w:rsid w:val="0067783D"/>
    <w:rsid w:val="006779EA"/>
    <w:rsid w:val="00677F5E"/>
    <w:rsid w:val="006800B3"/>
    <w:rsid w:val="00680CCA"/>
    <w:rsid w:val="00680F23"/>
    <w:rsid w:val="0068215A"/>
    <w:rsid w:val="0068241A"/>
    <w:rsid w:val="006829AD"/>
    <w:rsid w:val="00682A8D"/>
    <w:rsid w:val="00682CDC"/>
    <w:rsid w:val="00683161"/>
    <w:rsid w:val="006835EE"/>
    <w:rsid w:val="00683680"/>
    <w:rsid w:val="00683682"/>
    <w:rsid w:val="00683A0F"/>
    <w:rsid w:val="00683AC5"/>
    <w:rsid w:val="00683CA7"/>
    <w:rsid w:val="00683F24"/>
    <w:rsid w:val="00684611"/>
    <w:rsid w:val="00684919"/>
    <w:rsid w:val="00684AB3"/>
    <w:rsid w:val="00684D9B"/>
    <w:rsid w:val="00684EC3"/>
    <w:rsid w:val="00685174"/>
    <w:rsid w:val="006854E5"/>
    <w:rsid w:val="00685915"/>
    <w:rsid w:val="00685EE8"/>
    <w:rsid w:val="006861EF"/>
    <w:rsid w:val="00686424"/>
    <w:rsid w:val="00686563"/>
    <w:rsid w:val="00686B07"/>
    <w:rsid w:val="00686C91"/>
    <w:rsid w:val="00686CBD"/>
    <w:rsid w:val="00687547"/>
    <w:rsid w:val="0068781A"/>
    <w:rsid w:val="006879CB"/>
    <w:rsid w:val="006879D0"/>
    <w:rsid w:val="0069004E"/>
    <w:rsid w:val="00690155"/>
    <w:rsid w:val="0069091A"/>
    <w:rsid w:val="00690AC9"/>
    <w:rsid w:val="00690D9F"/>
    <w:rsid w:val="00690FA7"/>
    <w:rsid w:val="00691A9C"/>
    <w:rsid w:val="00691ADC"/>
    <w:rsid w:val="00691D21"/>
    <w:rsid w:val="00691D84"/>
    <w:rsid w:val="00691DFE"/>
    <w:rsid w:val="00691EFE"/>
    <w:rsid w:val="0069208C"/>
    <w:rsid w:val="00692160"/>
    <w:rsid w:val="006923A8"/>
    <w:rsid w:val="006925D4"/>
    <w:rsid w:val="00692989"/>
    <w:rsid w:val="00692A32"/>
    <w:rsid w:val="00692B0E"/>
    <w:rsid w:val="00692D63"/>
    <w:rsid w:val="00692FC3"/>
    <w:rsid w:val="0069352A"/>
    <w:rsid w:val="00693650"/>
    <w:rsid w:val="006937AA"/>
    <w:rsid w:val="00693B91"/>
    <w:rsid w:val="00693F88"/>
    <w:rsid w:val="00694138"/>
    <w:rsid w:val="0069444F"/>
    <w:rsid w:val="00694568"/>
    <w:rsid w:val="00694885"/>
    <w:rsid w:val="00694BC8"/>
    <w:rsid w:val="00694E03"/>
    <w:rsid w:val="00694FCD"/>
    <w:rsid w:val="006956A3"/>
    <w:rsid w:val="00695B58"/>
    <w:rsid w:val="00695CEF"/>
    <w:rsid w:val="00696554"/>
    <w:rsid w:val="00696592"/>
    <w:rsid w:val="0069660B"/>
    <w:rsid w:val="00696618"/>
    <w:rsid w:val="006966AB"/>
    <w:rsid w:val="006966DC"/>
    <w:rsid w:val="0069673C"/>
    <w:rsid w:val="00696CF4"/>
    <w:rsid w:val="00696E1C"/>
    <w:rsid w:val="00696E58"/>
    <w:rsid w:val="006970CF"/>
    <w:rsid w:val="0069713F"/>
    <w:rsid w:val="006973E5"/>
    <w:rsid w:val="00697556"/>
    <w:rsid w:val="00697BD8"/>
    <w:rsid w:val="006A0564"/>
    <w:rsid w:val="006A0590"/>
    <w:rsid w:val="006A06C6"/>
    <w:rsid w:val="006A0808"/>
    <w:rsid w:val="006A0F3F"/>
    <w:rsid w:val="006A129C"/>
    <w:rsid w:val="006A137B"/>
    <w:rsid w:val="006A14B5"/>
    <w:rsid w:val="006A1684"/>
    <w:rsid w:val="006A1B9F"/>
    <w:rsid w:val="006A2161"/>
    <w:rsid w:val="006A23C8"/>
    <w:rsid w:val="006A27C6"/>
    <w:rsid w:val="006A2D1D"/>
    <w:rsid w:val="006A2E2C"/>
    <w:rsid w:val="006A2E43"/>
    <w:rsid w:val="006A32BB"/>
    <w:rsid w:val="006A33FF"/>
    <w:rsid w:val="006A34CD"/>
    <w:rsid w:val="006A3773"/>
    <w:rsid w:val="006A3862"/>
    <w:rsid w:val="006A3C1C"/>
    <w:rsid w:val="006A3D0A"/>
    <w:rsid w:val="006A3FB1"/>
    <w:rsid w:val="006A4289"/>
    <w:rsid w:val="006A42F9"/>
    <w:rsid w:val="006A4DA4"/>
    <w:rsid w:val="006A50C9"/>
    <w:rsid w:val="006A51F8"/>
    <w:rsid w:val="006A5622"/>
    <w:rsid w:val="006A5A29"/>
    <w:rsid w:val="006A5BD7"/>
    <w:rsid w:val="006A5CC5"/>
    <w:rsid w:val="006A60CB"/>
    <w:rsid w:val="006A61E7"/>
    <w:rsid w:val="006A6452"/>
    <w:rsid w:val="006A6739"/>
    <w:rsid w:val="006A7008"/>
    <w:rsid w:val="006A71B1"/>
    <w:rsid w:val="006A71F5"/>
    <w:rsid w:val="006A7392"/>
    <w:rsid w:val="006A7498"/>
    <w:rsid w:val="006A7592"/>
    <w:rsid w:val="006A77E5"/>
    <w:rsid w:val="006A7868"/>
    <w:rsid w:val="006A7DAA"/>
    <w:rsid w:val="006A7DBE"/>
    <w:rsid w:val="006B02AF"/>
    <w:rsid w:val="006B03DA"/>
    <w:rsid w:val="006B0EAB"/>
    <w:rsid w:val="006B11C0"/>
    <w:rsid w:val="006B12CB"/>
    <w:rsid w:val="006B1334"/>
    <w:rsid w:val="006B160F"/>
    <w:rsid w:val="006B187C"/>
    <w:rsid w:val="006B1B40"/>
    <w:rsid w:val="006B1D85"/>
    <w:rsid w:val="006B1DB6"/>
    <w:rsid w:val="006B1E1E"/>
    <w:rsid w:val="006B23A9"/>
    <w:rsid w:val="006B23D8"/>
    <w:rsid w:val="006B26DD"/>
    <w:rsid w:val="006B2AC4"/>
    <w:rsid w:val="006B2C70"/>
    <w:rsid w:val="006B2CA2"/>
    <w:rsid w:val="006B3133"/>
    <w:rsid w:val="006B3540"/>
    <w:rsid w:val="006B3A25"/>
    <w:rsid w:val="006B3AF7"/>
    <w:rsid w:val="006B3E48"/>
    <w:rsid w:val="006B438E"/>
    <w:rsid w:val="006B45B8"/>
    <w:rsid w:val="006B4647"/>
    <w:rsid w:val="006B481B"/>
    <w:rsid w:val="006B491B"/>
    <w:rsid w:val="006B4C2B"/>
    <w:rsid w:val="006B4EAF"/>
    <w:rsid w:val="006B5131"/>
    <w:rsid w:val="006B554F"/>
    <w:rsid w:val="006B66D4"/>
    <w:rsid w:val="006B66FC"/>
    <w:rsid w:val="006B6D47"/>
    <w:rsid w:val="006B6DA5"/>
    <w:rsid w:val="006B6EB7"/>
    <w:rsid w:val="006B70A2"/>
    <w:rsid w:val="006B7101"/>
    <w:rsid w:val="006B7314"/>
    <w:rsid w:val="006B77A4"/>
    <w:rsid w:val="006B79E9"/>
    <w:rsid w:val="006B7DCE"/>
    <w:rsid w:val="006B7EE8"/>
    <w:rsid w:val="006C01EF"/>
    <w:rsid w:val="006C035B"/>
    <w:rsid w:val="006C081E"/>
    <w:rsid w:val="006C0907"/>
    <w:rsid w:val="006C0ED5"/>
    <w:rsid w:val="006C1442"/>
    <w:rsid w:val="006C1585"/>
    <w:rsid w:val="006C1911"/>
    <w:rsid w:val="006C1D77"/>
    <w:rsid w:val="006C203D"/>
    <w:rsid w:val="006C23C9"/>
    <w:rsid w:val="006C2956"/>
    <w:rsid w:val="006C2A8E"/>
    <w:rsid w:val="006C3136"/>
    <w:rsid w:val="006C40D7"/>
    <w:rsid w:val="006C4101"/>
    <w:rsid w:val="006C413C"/>
    <w:rsid w:val="006C42CE"/>
    <w:rsid w:val="006C442E"/>
    <w:rsid w:val="006C4F01"/>
    <w:rsid w:val="006C51CA"/>
    <w:rsid w:val="006C5374"/>
    <w:rsid w:val="006C5AFE"/>
    <w:rsid w:val="006C5DF0"/>
    <w:rsid w:val="006C5F79"/>
    <w:rsid w:val="006C5F80"/>
    <w:rsid w:val="006C6330"/>
    <w:rsid w:val="006C6484"/>
    <w:rsid w:val="006C649A"/>
    <w:rsid w:val="006C7136"/>
    <w:rsid w:val="006C74DC"/>
    <w:rsid w:val="006C7CC3"/>
    <w:rsid w:val="006D0453"/>
    <w:rsid w:val="006D0550"/>
    <w:rsid w:val="006D071E"/>
    <w:rsid w:val="006D0B9D"/>
    <w:rsid w:val="006D0CFD"/>
    <w:rsid w:val="006D0D51"/>
    <w:rsid w:val="006D0E7F"/>
    <w:rsid w:val="006D12AB"/>
    <w:rsid w:val="006D1330"/>
    <w:rsid w:val="006D14DC"/>
    <w:rsid w:val="006D15E9"/>
    <w:rsid w:val="006D1BCC"/>
    <w:rsid w:val="006D1CE2"/>
    <w:rsid w:val="006D226C"/>
    <w:rsid w:val="006D2557"/>
    <w:rsid w:val="006D2817"/>
    <w:rsid w:val="006D2B92"/>
    <w:rsid w:val="006D3074"/>
    <w:rsid w:val="006D30FF"/>
    <w:rsid w:val="006D31D1"/>
    <w:rsid w:val="006D326D"/>
    <w:rsid w:val="006D345F"/>
    <w:rsid w:val="006D347A"/>
    <w:rsid w:val="006D3884"/>
    <w:rsid w:val="006D394A"/>
    <w:rsid w:val="006D3BA1"/>
    <w:rsid w:val="006D3BEB"/>
    <w:rsid w:val="006D3C32"/>
    <w:rsid w:val="006D3C42"/>
    <w:rsid w:val="006D3E0D"/>
    <w:rsid w:val="006D3F38"/>
    <w:rsid w:val="006D489D"/>
    <w:rsid w:val="006D49EE"/>
    <w:rsid w:val="006D4B43"/>
    <w:rsid w:val="006D50F4"/>
    <w:rsid w:val="006D5297"/>
    <w:rsid w:val="006D55D4"/>
    <w:rsid w:val="006D594A"/>
    <w:rsid w:val="006D5A35"/>
    <w:rsid w:val="006D643D"/>
    <w:rsid w:val="006D6563"/>
    <w:rsid w:val="006D65EC"/>
    <w:rsid w:val="006D6A32"/>
    <w:rsid w:val="006D6D1F"/>
    <w:rsid w:val="006D6E63"/>
    <w:rsid w:val="006D6E6F"/>
    <w:rsid w:val="006D73D6"/>
    <w:rsid w:val="006D7420"/>
    <w:rsid w:val="006D757F"/>
    <w:rsid w:val="006D774E"/>
    <w:rsid w:val="006D77C2"/>
    <w:rsid w:val="006D77DF"/>
    <w:rsid w:val="006D7C8F"/>
    <w:rsid w:val="006D7D66"/>
    <w:rsid w:val="006D7EEB"/>
    <w:rsid w:val="006D7EF7"/>
    <w:rsid w:val="006E06F1"/>
    <w:rsid w:val="006E0D31"/>
    <w:rsid w:val="006E108D"/>
    <w:rsid w:val="006E1153"/>
    <w:rsid w:val="006E2120"/>
    <w:rsid w:val="006E2174"/>
    <w:rsid w:val="006E22B6"/>
    <w:rsid w:val="006E24AF"/>
    <w:rsid w:val="006E255F"/>
    <w:rsid w:val="006E2873"/>
    <w:rsid w:val="006E297B"/>
    <w:rsid w:val="006E2A92"/>
    <w:rsid w:val="006E338D"/>
    <w:rsid w:val="006E352D"/>
    <w:rsid w:val="006E369C"/>
    <w:rsid w:val="006E36D6"/>
    <w:rsid w:val="006E37DD"/>
    <w:rsid w:val="006E42CE"/>
    <w:rsid w:val="006E443E"/>
    <w:rsid w:val="006E51BF"/>
    <w:rsid w:val="006E5435"/>
    <w:rsid w:val="006E5FEB"/>
    <w:rsid w:val="006E6542"/>
    <w:rsid w:val="006E6BE9"/>
    <w:rsid w:val="006E6DF5"/>
    <w:rsid w:val="006E712D"/>
    <w:rsid w:val="006E7571"/>
    <w:rsid w:val="006E7581"/>
    <w:rsid w:val="006E7CB2"/>
    <w:rsid w:val="006F00C8"/>
    <w:rsid w:val="006F0147"/>
    <w:rsid w:val="006F0A87"/>
    <w:rsid w:val="006F0D44"/>
    <w:rsid w:val="006F0E57"/>
    <w:rsid w:val="006F11A3"/>
    <w:rsid w:val="006F1B43"/>
    <w:rsid w:val="006F1C1C"/>
    <w:rsid w:val="006F1E9F"/>
    <w:rsid w:val="006F2052"/>
    <w:rsid w:val="006F21D6"/>
    <w:rsid w:val="006F21EA"/>
    <w:rsid w:val="006F23AC"/>
    <w:rsid w:val="006F2BC9"/>
    <w:rsid w:val="006F2C11"/>
    <w:rsid w:val="006F2F91"/>
    <w:rsid w:val="006F36E5"/>
    <w:rsid w:val="006F3A82"/>
    <w:rsid w:val="006F3D6E"/>
    <w:rsid w:val="006F4510"/>
    <w:rsid w:val="006F4BA4"/>
    <w:rsid w:val="006F4C1B"/>
    <w:rsid w:val="006F4D92"/>
    <w:rsid w:val="006F5120"/>
    <w:rsid w:val="006F52F2"/>
    <w:rsid w:val="006F55A6"/>
    <w:rsid w:val="006F57C3"/>
    <w:rsid w:val="006F58A1"/>
    <w:rsid w:val="006F5AA7"/>
    <w:rsid w:val="006F5AD7"/>
    <w:rsid w:val="006F611E"/>
    <w:rsid w:val="006F65EE"/>
    <w:rsid w:val="006F6A9F"/>
    <w:rsid w:val="006F6D95"/>
    <w:rsid w:val="006F6E04"/>
    <w:rsid w:val="006F74A5"/>
    <w:rsid w:val="006F75C6"/>
    <w:rsid w:val="006F75E6"/>
    <w:rsid w:val="006F7B4F"/>
    <w:rsid w:val="006F7D98"/>
    <w:rsid w:val="00700199"/>
    <w:rsid w:val="0070069E"/>
    <w:rsid w:val="00700ABE"/>
    <w:rsid w:val="0070130A"/>
    <w:rsid w:val="0070157F"/>
    <w:rsid w:val="00701DA0"/>
    <w:rsid w:val="00701E77"/>
    <w:rsid w:val="00701F4A"/>
    <w:rsid w:val="00701FB5"/>
    <w:rsid w:val="007026B9"/>
    <w:rsid w:val="00702ABF"/>
    <w:rsid w:val="00702AE5"/>
    <w:rsid w:val="00702CC9"/>
    <w:rsid w:val="00702DFD"/>
    <w:rsid w:val="00703054"/>
    <w:rsid w:val="00703123"/>
    <w:rsid w:val="007031F7"/>
    <w:rsid w:val="00703443"/>
    <w:rsid w:val="00703AFB"/>
    <w:rsid w:val="007042D3"/>
    <w:rsid w:val="00704B23"/>
    <w:rsid w:val="00704BAE"/>
    <w:rsid w:val="00704DE8"/>
    <w:rsid w:val="00704E43"/>
    <w:rsid w:val="0070524E"/>
    <w:rsid w:val="007056E7"/>
    <w:rsid w:val="00706863"/>
    <w:rsid w:val="0070687F"/>
    <w:rsid w:val="0070698A"/>
    <w:rsid w:val="00706F13"/>
    <w:rsid w:val="00706F5F"/>
    <w:rsid w:val="00706FA1"/>
    <w:rsid w:val="00706FFA"/>
    <w:rsid w:val="00707017"/>
    <w:rsid w:val="0070702E"/>
    <w:rsid w:val="00707180"/>
    <w:rsid w:val="007072C3"/>
    <w:rsid w:val="007072E8"/>
    <w:rsid w:val="007078BE"/>
    <w:rsid w:val="007079CC"/>
    <w:rsid w:val="007079EB"/>
    <w:rsid w:val="00707ABF"/>
    <w:rsid w:val="00710316"/>
    <w:rsid w:val="00710354"/>
    <w:rsid w:val="00710717"/>
    <w:rsid w:val="0071081E"/>
    <w:rsid w:val="00710970"/>
    <w:rsid w:val="007109A4"/>
    <w:rsid w:val="00710AB2"/>
    <w:rsid w:val="007114EF"/>
    <w:rsid w:val="007117E0"/>
    <w:rsid w:val="00712172"/>
    <w:rsid w:val="0071258C"/>
    <w:rsid w:val="0071261D"/>
    <w:rsid w:val="007127F4"/>
    <w:rsid w:val="00712ADE"/>
    <w:rsid w:val="00712D37"/>
    <w:rsid w:val="00712F5F"/>
    <w:rsid w:val="007130D0"/>
    <w:rsid w:val="007132F9"/>
    <w:rsid w:val="00713CFE"/>
    <w:rsid w:val="00713D0E"/>
    <w:rsid w:val="00713EC6"/>
    <w:rsid w:val="00713FA9"/>
    <w:rsid w:val="00714317"/>
    <w:rsid w:val="00714ACF"/>
    <w:rsid w:val="00714EB2"/>
    <w:rsid w:val="00714F17"/>
    <w:rsid w:val="007150DE"/>
    <w:rsid w:val="007152C4"/>
    <w:rsid w:val="007158C6"/>
    <w:rsid w:val="00715DFF"/>
    <w:rsid w:val="00715E78"/>
    <w:rsid w:val="00715FFE"/>
    <w:rsid w:val="007160FE"/>
    <w:rsid w:val="0071618D"/>
    <w:rsid w:val="00716AE8"/>
    <w:rsid w:val="00716CB2"/>
    <w:rsid w:val="00716EA8"/>
    <w:rsid w:val="007170E0"/>
    <w:rsid w:val="00717A7B"/>
    <w:rsid w:val="00717C79"/>
    <w:rsid w:val="0072061B"/>
    <w:rsid w:val="00720718"/>
    <w:rsid w:val="007207D3"/>
    <w:rsid w:val="00720985"/>
    <w:rsid w:val="0072154E"/>
    <w:rsid w:val="0072179C"/>
    <w:rsid w:val="00721826"/>
    <w:rsid w:val="0072197D"/>
    <w:rsid w:val="00721A16"/>
    <w:rsid w:val="00721CB1"/>
    <w:rsid w:val="00721F7B"/>
    <w:rsid w:val="00721FCA"/>
    <w:rsid w:val="007223CC"/>
    <w:rsid w:val="007224EF"/>
    <w:rsid w:val="00722504"/>
    <w:rsid w:val="007226A7"/>
    <w:rsid w:val="00722A00"/>
    <w:rsid w:val="00722CFF"/>
    <w:rsid w:val="00722F88"/>
    <w:rsid w:val="0072318A"/>
    <w:rsid w:val="00723403"/>
    <w:rsid w:val="007234AF"/>
    <w:rsid w:val="007234FF"/>
    <w:rsid w:val="00723719"/>
    <w:rsid w:val="00723806"/>
    <w:rsid w:val="00723B45"/>
    <w:rsid w:val="00723F19"/>
    <w:rsid w:val="007241B7"/>
    <w:rsid w:val="007241BB"/>
    <w:rsid w:val="007242AD"/>
    <w:rsid w:val="007242D4"/>
    <w:rsid w:val="007245E2"/>
    <w:rsid w:val="00724813"/>
    <w:rsid w:val="007250A7"/>
    <w:rsid w:val="00725235"/>
    <w:rsid w:val="007252CD"/>
    <w:rsid w:val="007252E1"/>
    <w:rsid w:val="007255D3"/>
    <w:rsid w:val="00725FA4"/>
    <w:rsid w:val="007264F3"/>
    <w:rsid w:val="0072678A"/>
    <w:rsid w:val="007267A9"/>
    <w:rsid w:val="007269B1"/>
    <w:rsid w:val="00726EEB"/>
    <w:rsid w:val="00726FFC"/>
    <w:rsid w:val="0072747D"/>
    <w:rsid w:val="0072749E"/>
    <w:rsid w:val="0072754A"/>
    <w:rsid w:val="0072788B"/>
    <w:rsid w:val="007278DB"/>
    <w:rsid w:val="00727F83"/>
    <w:rsid w:val="007301F3"/>
    <w:rsid w:val="007304D6"/>
    <w:rsid w:val="007308EF"/>
    <w:rsid w:val="00730A18"/>
    <w:rsid w:val="00730B27"/>
    <w:rsid w:val="00730B30"/>
    <w:rsid w:val="00731156"/>
    <w:rsid w:val="007312D3"/>
    <w:rsid w:val="007313E8"/>
    <w:rsid w:val="0073143C"/>
    <w:rsid w:val="007319CF"/>
    <w:rsid w:val="00731B22"/>
    <w:rsid w:val="007320F9"/>
    <w:rsid w:val="007325B0"/>
    <w:rsid w:val="00732BDD"/>
    <w:rsid w:val="00732E7F"/>
    <w:rsid w:val="00733971"/>
    <w:rsid w:val="00733C9A"/>
    <w:rsid w:val="007340CF"/>
    <w:rsid w:val="00734321"/>
    <w:rsid w:val="00734675"/>
    <w:rsid w:val="00734AE1"/>
    <w:rsid w:val="00734AF7"/>
    <w:rsid w:val="00734D15"/>
    <w:rsid w:val="00734DE4"/>
    <w:rsid w:val="0073597E"/>
    <w:rsid w:val="007362F4"/>
    <w:rsid w:val="00736377"/>
    <w:rsid w:val="007366F0"/>
    <w:rsid w:val="00736BCC"/>
    <w:rsid w:val="00736F10"/>
    <w:rsid w:val="0073715D"/>
    <w:rsid w:val="00737268"/>
    <w:rsid w:val="00737A85"/>
    <w:rsid w:val="007402FF"/>
    <w:rsid w:val="00740446"/>
    <w:rsid w:val="007410CA"/>
    <w:rsid w:val="007411A0"/>
    <w:rsid w:val="007412F4"/>
    <w:rsid w:val="00741589"/>
    <w:rsid w:val="00741712"/>
    <w:rsid w:val="00741D27"/>
    <w:rsid w:val="00741DC2"/>
    <w:rsid w:val="007427CC"/>
    <w:rsid w:val="00742AD5"/>
    <w:rsid w:val="00742DA0"/>
    <w:rsid w:val="007434E2"/>
    <w:rsid w:val="00743809"/>
    <w:rsid w:val="007438A9"/>
    <w:rsid w:val="00743CCE"/>
    <w:rsid w:val="00743D85"/>
    <w:rsid w:val="00744595"/>
    <w:rsid w:val="0074491E"/>
    <w:rsid w:val="007449F0"/>
    <w:rsid w:val="00745325"/>
    <w:rsid w:val="00745436"/>
    <w:rsid w:val="00745D50"/>
    <w:rsid w:val="00746489"/>
    <w:rsid w:val="007464D5"/>
    <w:rsid w:val="00746AEF"/>
    <w:rsid w:val="00747407"/>
    <w:rsid w:val="00747B9D"/>
    <w:rsid w:val="00747BA6"/>
    <w:rsid w:val="00747C13"/>
    <w:rsid w:val="0075075C"/>
    <w:rsid w:val="00750BA0"/>
    <w:rsid w:val="00750FED"/>
    <w:rsid w:val="00751238"/>
    <w:rsid w:val="007515BC"/>
    <w:rsid w:val="007516F9"/>
    <w:rsid w:val="00751970"/>
    <w:rsid w:val="00751E8F"/>
    <w:rsid w:val="00752031"/>
    <w:rsid w:val="007525C3"/>
    <w:rsid w:val="007532A8"/>
    <w:rsid w:val="007537BE"/>
    <w:rsid w:val="007537F7"/>
    <w:rsid w:val="00753C4B"/>
    <w:rsid w:val="00753EE1"/>
    <w:rsid w:val="007546D0"/>
    <w:rsid w:val="00754AE0"/>
    <w:rsid w:val="00754E32"/>
    <w:rsid w:val="007552CE"/>
    <w:rsid w:val="007553E3"/>
    <w:rsid w:val="00755D44"/>
    <w:rsid w:val="00756468"/>
    <w:rsid w:val="0075661E"/>
    <w:rsid w:val="007567E2"/>
    <w:rsid w:val="00756820"/>
    <w:rsid w:val="00756EC3"/>
    <w:rsid w:val="0075729C"/>
    <w:rsid w:val="00757462"/>
    <w:rsid w:val="00757A3E"/>
    <w:rsid w:val="00757B24"/>
    <w:rsid w:val="00757BDF"/>
    <w:rsid w:val="00760056"/>
    <w:rsid w:val="00760160"/>
    <w:rsid w:val="007602B2"/>
    <w:rsid w:val="00760305"/>
    <w:rsid w:val="0076065E"/>
    <w:rsid w:val="00760746"/>
    <w:rsid w:val="00760D2E"/>
    <w:rsid w:val="00761339"/>
    <w:rsid w:val="007616CD"/>
    <w:rsid w:val="00761738"/>
    <w:rsid w:val="00761976"/>
    <w:rsid w:val="00761A28"/>
    <w:rsid w:val="00761DFA"/>
    <w:rsid w:val="00761F02"/>
    <w:rsid w:val="0076247A"/>
    <w:rsid w:val="007624BB"/>
    <w:rsid w:val="0076284C"/>
    <w:rsid w:val="00762A86"/>
    <w:rsid w:val="00762B86"/>
    <w:rsid w:val="00762E7E"/>
    <w:rsid w:val="007631A4"/>
    <w:rsid w:val="00763314"/>
    <w:rsid w:val="007636CA"/>
    <w:rsid w:val="00763BC2"/>
    <w:rsid w:val="00763BEA"/>
    <w:rsid w:val="00763E5B"/>
    <w:rsid w:val="00764361"/>
    <w:rsid w:val="007644E1"/>
    <w:rsid w:val="0076479F"/>
    <w:rsid w:val="00764FC5"/>
    <w:rsid w:val="0076523D"/>
    <w:rsid w:val="0076544D"/>
    <w:rsid w:val="00765474"/>
    <w:rsid w:val="00765BF3"/>
    <w:rsid w:val="00765F5D"/>
    <w:rsid w:val="00765FB8"/>
    <w:rsid w:val="0076601D"/>
    <w:rsid w:val="0076635A"/>
    <w:rsid w:val="0076654D"/>
    <w:rsid w:val="00766628"/>
    <w:rsid w:val="007667A8"/>
    <w:rsid w:val="00766806"/>
    <w:rsid w:val="00766BD3"/>
    <w:rsid w:val="00766F53"/>
    <w:rsid w:val="007670B5"/>
    <w:rsid w:val="0076771B"/>
    <w:rsid w:val="0076777C"/>
    <w:rsid w:val="00767BD1"/>
    <w:rsid w:val="00767C50"/>
    <w:rsid w:val="00767D7F"/>
    <w:rsid w:val="00770203"/>
    <w:rsid w:val="0077029B"/>
    <w:rsid w:val="00770391"/>
    <w:rsid w:val="007709AC"/>
    <w:rsid w:val="00770C05"/>
    <w:rsid w:val="00770D01"/>
    <w:rsid w:val="00770D7F"/>
    <w:rsid w:val="00771812"/>
    <w:rsid w:val="0077189E"/>
    <w:rsid w:val="007719B1"/>
    <w:rsid w:val="00772996"/>
    <w:rsid w:val="00772C43"/>
    <w:rsid w:val="00772CB0"/>
    <w:rsid w:val="00772E13"/>
    <w:rsid w:val="00772E9C"/>
    <w:rsid w:val="00772F10"/>
    <w:rsid w:val="007732A6"/>
    <w:rsid w:val="00773386"/>
    <w:rsid w:val="00773970"/>
    <w:rsid w:val="0077406F"/>
    <w:rsid w:val="00774B8D"/>
    <w:rsid w:val="00774FF8"/>
    <w:rsid w:val="00775271"/>
    <w:rsid w:val="00775964"/>
    <w:rsid w:val="00775B55"/>
    <w:rsid w:val="00775C05"/>
    <w:rsid w:val="00775C47"/>
    <w:rsid w:val="00776159"/>
    <w:rsid w:val="007765FE"/>
    <w:rsid w:val="00776655"/>
    <w:rsid w:val="007766ED"/>
    <w:rsid w:val="00776775"/>
    <w:rsid w:val="00776A64"/>
    <w:rsid w:val="00776A7A"/>
    <w:rsid w:val="00776BD0"/>
    <w:rsid w:val="00776DFF"/>
    <w:rsid w:val="0077773C"/>
    <w:rsid w:val="00777DBF"/>
    <w:rsid w:val="00780489"/>
    <w:rsid w:val="007804CD"/>
    <w:rsid w:val="0078052E"/>
    <w:rsid w:val="00780B0B"/>
    <w:rsid w:val="00780CD1"/>
    <w:rsid w:val="00780CDF"/>
    <w:rsid w:val="00780CFD"/>
    <w:rsid w:val="00780D7B"/>
    <w:rsid w:val="007810BE"/>
    <w:rsid w:val="00781357"/>
    <w:rsid w:val="007814AE"/>
    <w:rsid w:val="007814E4"/>
    <w:rsid w:val="007818F2"/>
    <w:rsid w:val="0078191E"/>
    <w:rsid w:val="00781E11"/>
    <w:rsid w:val="007826E0"/>
    <w:rsid w:val="00782BA7"/>
    <w:rsid w:val="007833A7"/>
    <w:rsid w:val="007833C9"/>
    <w:rsid w:val="007834B7"/>
    <w:rsid w:val="007834F5"/>
    <w:rsid w:val="007838D1"/>
    <w:rsid w:val="00783BCB"/>
    <w:rsid w:val="00783E94"/>
    <w:rsid w:val="00784186"/>
    <w:rsid w:val="00784482"/>
    <w:rsid w:val="007848DA"/>
    <w:rsid w:val="00784F6E"/>
    <w:rsid w:val="007850D6"/>
    <w:rsid w:val="00785730"/>
    <w:rsid w:val="007857BF"/>
    <w:rsid w:val="00785D62"/>
    <w:rsid w:val="00786347"/>
    <w:rsid w:val="00786458"/>
    <w:rsid w:val="007865B3"/>
    <w:rsid w:val="00786B68"/>
    <w:rsid w:val="00786C2D"/>
    <w:rsid w:val="007870EB"/>
    <w:rsid w:val="00787219"/>
    <w:rsid w:val="00787E0E"/>
    <w:rsid w:val="00787FE3"/>
    <w:rsid w:val="00787FFA"/>
    <w:rsid w:val="00790034"/>
    <w:rsid w:val="007900D6"/>
    <w:rsid w:val="007902A0"/>
    <w:rsid w:val="007905F7"/>
    <w:rsid w:val="00790ABF"/>
    <w:rsid w:val="00790C1E"/>
    <w:rsid w:val="00790E66"/>
    <w:rsid w:val="00790F6D"/>
    <w:rsid w:val="00791706"/>
    <w:rsid w:val="0079177B"/>
    <w:rsid w:val="00791C3B"/>
    <w:rsid w:val="00792487"/>
    <w:rsid w:val="0079267B"/>
    <w:rsid w:val="007927E8"/>
    <w:rsid w:val="00792E83"/>
    <w:rsid w:val="00793A91"/>
    <w:rsid w:val="00793F08"/>
    <w:rsid w:val="00793FB7"/>
    <w:rsid w:val="00793FF3"/>
    <w:rsid w:val="0079406F"/>
    <w:rsid w:val="007940F3"/>
    <w:rsid w:val="00794353"/>
    <w:rsid w:val="0079435F"/>
    <w:rsid w:val="007949F3"/>
    <w:rsid w:val="00794BAC"/>
    <w:rsid w:val="00794E60"/>
    <w:rsid w:val="00795154"/>
    <w:rsid w:val="007951A8"/>
    <w:rsid w:val="00795628"/>
    <w:rsid w:val="00795B57"/>
    <w:rsid w:val="00795BFB"/>
    <w:rsid w:val="00795D2F"/>
    <w:rsid w:val="007963C3"/>
    <w:rsid w:val="00796474"/>
    <w:rsid w:val="0079655C"/>
    <w:rsid w:val="007972F4"/>
    <w:rsid w:val="0079750B"/>
    <w:rsid w:val="00797778"/>
    <w:rsid w:val="00797DC5"/>
    <w:rsid w:val="00797F4A"/>
    <w:rsid w:val="007A024C"/>
    <w:rsid w:val="007A0307"/>
    <w:rsid w:val="007A0729"/>
    <w:rsid w:val="007A0CF3"/>
    <w:rsid w:val="007A0F38"/>
    <w:rsid w:val="007A10D6"/>
    <w:rsid w:val="007A1BA2"/>
    <w:rsid w:val="007A223A"/>
    <w:rsid w:val="007A299D"/>
    <w:rsid w:val="007A2B58"/>
    <w:rsid w:val="007A314B"/>
    <w:rsid w:val="007A328F"/>
    <w:rsid w:val="007A351A"/>
    <w:rsid w:val="007A44AF"/>
    <w:rsid w:val="007A4519"/>
    <w:rsid w:val="007A460E"/>
    <w:rsid w:val="007A4753"/>
    <w:rsid w:val="007A4A3E"/>
    <w:rsid w:val="007A4EFF"/>
    <w:rsid w:val="007A5191"/>
    <w:rsid w:val="007A534A"/>
    <w:rsid w:val="007A5481"/>
    <w:rsid w:val="007A570A"/>
    <w:rsid w:val="007A59A0"/>
    <w:rsid w:val="007A5A0A"/>
    <w:rsid w:val="007A5A36"/>
    <w:rsid w:val="007A5A47"/>
    <w:rsid w:val="007A5C05"/>
    <w:rsid w:val="007A5C4A"/>
    <w:rsid w:val="007A6139"/>
    <w:rsid w:val="007A689F"/>
    <w:rsid w:val="007A69E3"/>
    <w:rsid w:val="007A6B01"/>
    <w:rsid w:val="007A6E07"/>
    <w:rsid w:val="007A6F7F"/>
    <w:rsid w:val="007A766F"/>
    <w:rsid w:val="007A7676"/>
    <w:rsid w:val="007A7A50"/>
    <w:rsid w:val="007A7D76"/>
    <w:rsid w:val="007A7E06"/>
    <w:rsid w:val="007B01D1"/>
    <w:rsid w:val="007B031D"/>
    <w:rsid w:val="007B06DE"/>
    <w:rsid w:val="007B08C5"/>
    <w:rsid w:val="007B095A"/>
    <w:rsid w:val="007B0989"/>
    <w:rsid w:val="007B0F22"/>
    <w:rsid w:val="007B1727"/>
    <w:rsid w:val="007B17E0"/>
    <w:rsid w:val="007B18BC"/>
    <w:rsid w:val="007B1F69"/>
    <w:rsid w:val="007B2357"/>
    <w:rsid w:val="007B2424"/>
    <w:rsid w:val="007B2709"/>
    <w:rsid w:val="007B2760"/>
    <w:rsid w:val="007B2821"/>
    <w:rsid w:val="007B2C1A"/>
    <w:rsid w:val="007B35F6"/>
    <w:rsid w:val="007B361C"/>
    <w:rsid w:val="007B3F96"/>
    <w:rsid w:val="007B4841"/>
    <w:rsid w:val="007B4949"/>
    <w:rsid w:val="007B4CEC"/>
    <w:rsid w:val="007B4E4A"/>
    <w:rsid w:val="007B4F3D"/>
    <w:rsid w:val="007B50AE"/>
    <w:rsid w:val="007B5CAA"/>
    <w:rsid w:val="007B5D12"/>
    <w:rsid w:val="007B5E37"/>
    <w:rsid w:val="007B5E9A"/>
    <w:rsid w:val="007B5F8B"/>
    <w:rsid w:val="007B6A62"/>
    <w:rsid w:val="007B6F4A"/>
    <w:rsid w:val="007B71A2"/>
    <w:rsid w:val="007B7211"/>
    <w:rsid w:val="007B7859"/>
    <w:rsid w:val="007B7869"/>
    <w:rsid w:val="007B796D"/>
    <w:rsid w:val="007B7DAE"/>
    <w:rsid w:val="007B7E11"/>
    <w:rsid w:val="007C068B"/>
    <w:rsid w:val="007C0D9E"/>
    <w:rsid w:val="007C1257"/>
    <w:rsid w:val="007C12EF"/>
    <w:rsid w:val="007C1987"/>
    <w:rsid w:val="007C19FD"/>
    <w:rsid w:val="007C1C5C"/>
    <w:rsid w:val="007C2396"/>
    <w:rsid w:val="007C266F"/>
    <w:rsid w:val="007C2B55"/>
    <w:rsid w:val="007C2CB7"/>
    <w:rsid w:val="007C2D47"/>
    <w:rsid w:val="007C2F35"/>
    <w:rsid w:val="007C2FFE"/>
    <w:rsid w:val="007C3195"/>
    <w:rsid w:val="007C3526"/>
    <w:rsid w:val="007C356F"/>
    <w:rsid w:val="007C3847"/>
    <w:rsid w:val="007C3B49"/>
    <w:rsid w:val="007C3D6F"/>
    <w:rsid w:val="007C3D92"/>
    <w:rsid w:val="007C496F"/>
    <w:rsid w:val="007C4F0D"/>
    <w:rsid w:val="007C51B6"/>
    <w:rsid w:val="007C51F8"/>
    <w:rsid w:val="007C52AB"/>
    <w:rsid w:val="007C543C"/>
    <w:rsid w:val="007C5765"/>
    <w:rsid w:val="007C5866"/>
    <w:rsid w:val="007C59AD"/>
    <w:rsid w:val="007C59D1"/>
    <w:rsid w:val="007C5DC4"/>
    <w:rsid w:val="007C6311"/>
    <w:rsid w:val="007C6478"/>
    <w:rsid w:val="007C651A"/>
    <w:rsid w:val="007C6661"/>
    <w:rsid w:val="007C667B"/>
    <w:rsid w:val="007C66B9"/>
    <w:rsid w:val="007C6720"/>
    <w:rsid w:val="007C689F"/>
    <w:rsid w:val="007C6D30"/>
    <w:rsid w:val="007C6DF4"/>
    <w:rsid w:val="007C7001"/>
    <w:rsid w:val="007C7AB7"/>
    <w:rsid w:val="007C7EB1"/>
    <w:rsid w:val="007D02D9"/>
    <w:rsid w:val="007D030C"/>
    <w:rsid w:val="007D0CAA"/>
    <w:rsid w:val="007D0EBA"/>
    <w:rsid w:val="007D0F59"/>
    <w:rsid w:val="007D0F62"/>
    <w:rsid w:val="007D10C6"/>
    <w:rsid w:val="007D139A"/>
    <w:rsid w:val="007D1460"/>
    <w:rsid w:val="007D1482"/>
    <w:rsid w:val="007D15B2"/>
    <w:rsid w:val="007D16B7"/>
    <w:rsid w:val="007D1E3E"/>
    <w:rsid w:val="007D2144"/>
    <w:rsid w:val="007D2BF0"/>
    <w:rsid w:val="007D2E46"/>
    <w:rsid w:val="007D2EB4"/>
    <w:rsid w:val="007D334A"/>
    <w:rsid w:val="007D39F7"/>
    <w:rsid w:val="007D3F74"/>
    <w:rsid w:val="007D400B"/>
    <w:rsid w:val="007D40FE"/>
    <w:rsid w:val="007D43F8"/>
    <w:rsid w:val="007D47E9"/>
    <w:rsid w:val="007D49B3"/>
    <w:rsid w:val="007D4AC8"/>
    <w:rsid w:val="007D4B0E"/>
    <w:rsid w:val="007D4BDB"/>
    <w:rsid w:val="007D5594"/>
    <w:rsid w:val="007D562A"/>
    <w:rsid w:val="007D57E0"/>
    <w:rsid w:val="007D59BD"/>
    <w:rsid w:val="007D5B60"/>
    <w:rsid w:val="007D5DBF"/>
    <w:rsid w:val="007D6087"/>
    <w:rsid w:val="007D673B"/>
    <w:rsid w:val="007D6784"/>
    <w:rsid w:val="007D67B6"/>
    <w:rsid w:val="007D6E6D"/>
    <w:rsid w:val="007D6ED3"/>
    <w:rsid w:val="007D7881"/>
    <w:rsid w:val="007D793F"/>
    <w:rsid w:val="007E015A"/>
    <w:rsid w:val="007E01D6"/>
    <w:rsid w:val="007E0298"/>
    <w:rsid w:val="007E059D"/>
    <w:rsid w:val="007E090C"/>
    <w:rsid w:val="007E0CC2"/>
    <w:rsid w:val="007E0D98"/>
    <w:rsid w:val="007E0EE1"/>
    <w:rsid w:val="007E13C5"/>
    <w:rsid w:val="007E14A3"/>
    <w:rsid w:val="007E1CD1"/>
    <w:rsid w:val="007E1DDC"/>
    <w:rsid w:val="007E1F89"/>
    <w:rsid w:val="007E28CE"/>
    <w:rsid w:val="007E2E10"/>
    <w:rsid w:val="007E3184"/>
    <w:rsid w:val="007E34CC"/>
    <w:rsid w:val="007E37A6"/>
    <w:rsid w:val="007E3FC9"/>
    <w:rsid w:val="007E4121"/>
    <w:rsid w:val="007E43C4"/>
    <w:rsid w:val="007E44F2"/>
    <w:rsid w:val="007E46DB"/>
    <w:rsid w:val="007E47E3"/>
    <w:rsid w:val="007E4A18"/>
    <w:rsid w:val="007E4A19"/>
    <w:rsid w:val="007E4AF0"/>
    <w:rsid w:val="007E4CBF"/>
    <w:rsid w:val="007E4F98"/>
    <w:rsid w:val="007E50D2"/>
    <w:rsid w:val="007E5448"/>
    <w:rsid w:val="007E56EE"/>
    <w:rsid w:val="007E6029"/>
    <w:rsid w:val="007E6094"/>
    <w:rsid w:val="007E6482"/>
    <w:rsid w:val="007E6C0A"/>
    <w:rsid w:val="007E72CA"/>
    <w:rsid w:val="007E7590"/>
    <w:rsid w:val="007E7AAD"/>
    <w:rsid w:val="007E7DFE"/>
    <w:rsid w:val="007F019B"/>
    <w:rsid w:val="007F0337"/>
    <w:rsid w:val="007F0361"/>
    <w:rsid w:val="007F05C8"/>
    <w:rsid w:val="007F0888"/>
    <w:rsid w:val="007F0C9C"/>
    <w:rsid w:val="007F0D30"/>
    <w:rsid w:val="007F11B9"/>
    <w:rsid w:val="007F12A1"/>
    <w:rsid w:val="007F18A8"/>
    <w:rsid w:val="007F209A"/>
    <w:rsid w:val="007F20DF"/>
    <w:rsid w:val="007F26AF"/>
    <w:rsid w:val="007F2780"/>
    <w:rsid w:val="007F29D9"/>
    <w:rsid w:val="007F3306"/>
    <w:rsid w:val="007F351B"/>
    <w:rsid w:val="007F3D09"/>
    <w:rsid w:val="007F3D18"/>
    <w:rsid w:val="007F4514"/>
    <w:rsid w:val="007F4754"/>
    <w:rsid w:val="007F4E8E"/>
    <w:rsid w:val="007F4EDE"/>
    <w:rsid w:val="007F501B"/>
    <w:rsid w:val="007F50C8"/>
    <w:rsid w:val="007F50C9"/>
    <w:rsid w:val="007F523F"/>
    <w:rsid w:val="007F5801"/>
    <w:rsid w:val="007F5C72"/>
    <w:rsid w:val="007F5D28"/>
    <w:rsid w:val="007F60ED"/>
    <w:rsid w:val="007F657D"/>
    <w:rsid w:val="007F693B"/>
    <w:rsid w:val="007F6AF7"/>
    <w:rsid w:val="007F6CE9"/>
    <w:rsid w:val="007F6EE0"/>
    <w:rsid w:val="007F7077"/>
    <w:rsid w:val="007F76DA"/>
    <w:rsid w:val="007F7A5C"/>
    <w:rsid w:val="007F7AC3"/>
    <w:rsid w:val="007F7E38"/>
    <w:rsid w:val="0080025F"/>
    <w:rsid w:val="008005AD"/>
    <w:rsid w:val="00800A9D"/>
    <w:rsid w:val="00800BD9"/>
    <w:rsid w:val="00800C36"/>
    <w:rsid w:val="00800E56"/>
    <w:rsid w:val="00800E64"/>
    <w:rsid w:val="00801242"/>
    <w:rsid w:val="008015AC"/>
    <w:rsid w:val="00801687"/>
    <w:rsid w:val="00801987"/>
    <w:rsid w:val="00801D1F"/>
    <w:rsid w:val="00801FFA"/>
    <w:rsid w:val="00802002"/>
    <w:rsid w:val="008021B4"/>
    <w:rsid w:val="008023D4"/>
    <w:rsid w:val="008024FC"/>
    <w:rsid w:val="00802682"/>
    <w:rsid w:val="00802727"/>
    <w:rsid w:val="00802762"/>
    <w:rsid w:val="00802974"/>
    <w:rsid w:val="00802C8D"/>
    <w:rsid w:val="0080309A"/>
    <w:rsid w:val="0080345F"/>
    <w:rsid w:val="008035EB"/>
    <w:rsid w:val="00803936"/>
    <w:rsid w:val="00804137"/>
    <w:rsid w:val="0080425C"/>
    <w:rsid w:val="00804950"/>
    <w:rsid w:val="00804C4D"/>
    <w:rsid w:val="00804EEE"/>
    <w:rsid w:val="00804F44"/>
    <w:rsid w:val="00804FC6"/>
    <w:rsid w:val="008050B8"/>
    <w:rsid w:val="00805567"/>
    <w:rsid w:val="00805874"/>
    <w:rsid w:val="00805A37"/>
    <w:rsid w:val="00805F15"/>
    <w:rsid w:val="008061E9"/>
    <w:rsid w:val="00806C01"/>
    <w:rsid w:val="00806C87"/>
    <w:rsid w:val="00806D69"/>
    <w:rsid w:val="00807273"/>
    <w:rsid w:val="008073F3"/>
    <w:rsid w:val="00807552"/>
    <w:rsid w:val="00807A08"/>
    <w:rsid w:val="00807EDF"/>
    <w:rsid w:val="00807F05"/>
    <w:rsid w:val="00810403"/>
    <w:rsid w:val="0081092A"/>
    <w:rsid w:val="00810995"/>
    <w:rsid w:val="00810BE0"/>
    <w:rsid w:val="008112BC"/>
    <w:rsid w:val="008113E4"/>
    <w:rsid w:val="00811718"/>
    <w:rsid w:val="00812301"/>
    <w:rsid w:val="00812397"/>
    <w:rsid w:val="00812641"/>
    <w:rsid w:val="008129CC"/>
    <w:rsid w:val="00812AD9"/>
    <w:rsid w:val="00812B73"/>
    <w:rsid w:val="00812F31"/>
    <w:rsid w:val="0081302C"/>
    <w:rsid w:val="0081364B"/>
    <w:rsid w:val="008137D1"/>
    <w:rsid w:val="00813839"/>
    <w:rsid w:val="00813908"/>
    <w:rsid w:val="00813A24"/>
    <w:rsid w:val="00813A98"/>
    <w:rsid w:val="00813B6B"/>
    <w:rsid w:val="00813C04"/>
    <w:rsid w:val="00813F26"/>
    <w:rsid w:val="0081418D"/>
    <w:rsid w:val="008146DB"/>
    <w:rsid w:val="0081481D"/>
    <w:rsid w:val="008148CC"/>
    <w:rsid w:val="00814B85"/>
    <w:rsid w:val="00814D59"/>
    <w:rsid w:val="00814EE0"/>
    <w:rsid w:val="00815408"/>
    <w:rsid w:val="0081554E"/>
    <w:rsid w:val="00815FA7"/>
    <w:rsid w:val="008160BF"/>
    <w:rsid w:val="008162AF"/>
    <w:rsid w:val="0081630D"/>
    <w:rsid w:val="008165E4"/>
    <w:rsid w:val="008167B6"/>
    <w:rsid w:val="00816AE3"/>
    <w:rsid w:val="00816B26"/>
    <w:rsid w:val="00816E04"/>
    <w:rsid w:val="0081708A"/>
    <w:rsid w:val="00817625"/>
    <w:rsid w:val="008176EA"/>
    <w:rsid w:val="00817843"/>
    <w:rsid w:val="00817846"/>
    <w:rsid w:val="0082025D"/>
    <w:rsid w:val="008205EB"/>
    <w:rsid w:val="00820673"/>
    <w:rsid w:val="00820794"/>
    <w:rsid w:val="0082089B"/>
    <w:rsid w:val="008209C8"/>
    <w:rsid w:val="008211A4"/>
    <w:rsid w:val="00821298"/>
    <w:rsid w:val="00821797"/>
    <w:rsid w:val="008218CA"/>
    <w:rsid w:val="00821938"/>
    <w:rsid w:val="0082196A"/>
    <w:rsid w:val="00821A08"/>
    <w:rsid w:val="00821AA9"/>
    <w:rsid w:val="00821EC1"/>
    <w:rsid w:val="008226F9"/>
    <w:rsid w:val="0082292F"/>
    <w:rsid w:val="00822B26"/>
    <w:rsid w:val="00822BE6"/>
    <w:rsid w:val="00822D51"/>
    <w:rsid w:val="00822DC6"/>
    <w:rsid w:val="0082340B"/>
    <w:rsid w:val="0082345D"/>
    <w:rsid w:val="008234E2"/>
    <w:rsid w:val="00823B81"/>
    <w:rsid w:val="0082417E"/>
    <w:rsid w:val="00824625"/>
    <w:rsid w:val="00824641"/>
    <w:rsid w:val="008248DF"/>
    <w:rsid w:val="00824DFE"/>
    <w:rsid w:val="00824E94"/>
    <w:rsid w:val="00824F24"/>
    <w:rsid w:val="0082505D"/>
    <w:rsid w:val="008254FC"/>
    <w:rsid w:val="008259F5"/>
    <w:rsid w:val="00826017"/>
    <w:rsid w:val="0082601D"/>
    <w:rsid w:val="008263EB"/>
    <w:rsid w:val="008268F5"/>
    <w:rsid w:val="00826AE0"/>
    <w:rsid w:val="00826CC6"/>
    <w:rsid w:val="00826D92"/>
    <w:rsid w:val="0082750D"/>
    <w:rsid w:val="0082751A"/>
    <w:rsid w:val="00827718"/>
    <w:rsid w:val="0082774E"/>
    <w:rsid w:val="008277B6"/>
    <w:rsid w:val="00827893"/>
    <w:rsid w:val="008302DF"/>
    <w:rsid w:val="008303E9"/>
    <w:rsid w:val="00830737"/>
    <w:rsid w:val="00830DFB"/>
    <w:rsid w:val="00831159"/>
    <w:rsid w:val="008316B9"/>
    <w:rsid w:val="00831A19"/>
    <w:rsid w:val="00831DC1"/>
    <w:rsid w:val="00831FCD"/>
    <w:rsid w:val="0083274D"/>
    <w:rsid w:val="00832F05"/>
    <w:rsid w:val="00833312"/>
    <w:rsid w:val="008334AE"/>
    <w:rsid w:val="008339A3"/>
    <w:rsid w:val="00833B08"/>
    <w:rsid w:val="00833C0D"/>
    <w:rsid w:val="00833DC8"/>
    <w:rsid w:val="00834042"/>
    <w:rsid w:val="008340A3"/>
    <w:rsid w:val="00834411"/>
    <w:rsid w:val="008346AF"/>
    <w:rsid w:val="00834A37"/>
    <w:rsid w:val="00834BF1"/>
    <w:rsid w:val="00834D0F"/>
    <w:rsid w:val="0083509A"/>
    <w:rsid w:val="00835290"/>
    <w:rsid w:val="0083556A"/>
    <w:rsid w:val="00835931"/>
    <w:rsid w:val="00835D25"/>
    <w:rsid w:val="00835FF0"/>
    <w:rsid w:val="008360FC"/>
    <w:rsid w:val="008362A7"/>
    <w:rsid w:val="008365C2"/>
    <w:rsid w:val="00836609"/>
    <w:rsid w:val="008368F1"/>
    <w:rsid w:val="00836977"/>
    <w:rsid w:val="00836AD5"/>
    <w:rsid w:val="00836D40"/>
    <w:rsid w:val="0083705E"/>
    <w:rsid w:val="0083717F"/>
    <w:rsid w:val="0083734E"/>
    <w:rsid w:val="008373F0"/>
    <w:rsid w:val="00837537"/>
    <w:rsid w:val="00837F44"/>
    <w:rsid w:val="008404DF"/>
    <w:rsid w:val="00840845"/>
    <w:rsid w:val="00840AAC"/>
    <w:rsid w:val="00841F41"/>
    <w:rsid w:val="00842138"/>
    <w:rsid w:val="00842429"/>
    <w:rsid w:val="00842C02"/>
    <w:rsid w:val="00842D73"/>
    <w:rsid w:val="00843239"/>
    <w:rsid w:val="0084339E"/>
    <w:rsid w:val="008436F9"/>
    <w:rsid w:val="00843CE8"/>
    <w:rsid w:val="00844603"/>
    <w:rsid w:val="008455F4"/>
    <w:rsid w:val="00846651"/>
    <w:rsid w:val="00846757"/>
    <w:rsid w:val="008467E2"/>
    <w:rsid w:val="00846EBD"/>
    <w:rsid w:val="008470D3"/>
    <w:rsid w:val="0084730E"/>
    <w:rsid w:val="008474AA"/>
    <w:rsid w:val="0084779A"/>
    <w:rsid w:val="008479FF"/>
    <w:rsid w:val="00847B74"/>
    <w:rsid w:val="00847D47"/>
    <w:rsid w:val="00847D6C"/>
    <w:rsid w:val="008508A8"/>
    <w:rsid w:val="008509CD"/>
    <w:rsid w:val="00850AC3"/>
    <w:rsid w:val="00851065"/>
    <w:rsid w:val="00851155"/>
    <w:rsid w:val="00851AD4"/>
    <w:rsid w:val="00851B5A"/>
    <w:rsid w:val="00851C34"/>
    <w:rsid w:val="00851EBD"/>
    <w:rsid w:val="0085240E"/>
    <w:rsid w:val="008527B5"/>
    <w:rsid w:val="00852BA6"/>
    <w:rsid w:val="00852BBA"/>
    <w:rsid w:val="00853133"/>
    <w:rsid w:val="0085317C"/>
    <w:rsid w:val="008532F7"/>
    <w:rsid w:val="00853568"/>
    <w:rsid w:val="0085379E"/>
    <w:rsid w:val="00853889"/>
    <w:rsid w:val="00853915"/>
    <w:rsid w:val="00853E1A"/>
    <w:rsid w:val="00853F51"/>
    <w:rsid w:val="00853F5D"/>
    <w:rsid w:val="0085445E"/>
    <w:rsid w:val="00854640"/>
    <w:rsid w:val="0085488E"/>
    <w:rsid w:val="00854910"/>
    <w:rsid w:val="00854A95"/>
    <w:rsid w:val="00854F09"/>
    <w:rsid w:val="00855277"/>
    <w:rsid w:val="008555CC"/>
    <w:rsid w:val="0085560F"/>
    <w:rsid w:val="008557F9"/>
    <w:rsid w:val="0085582A"/>
    <w:rsid w:val="008558F5"/>
    <w:rsid w:val="008561DA"/>
    <w:rsid w:val="00856592"/>
    <w:rsid w:val="008568EF"/>
    <w:rsid w:val="008569DF"/>
    <w:rsid w:val="00856DB0"/>
    <w:rsid w:val="00856F03"/>
    <w:rsid w:val="00856FB5"/>
    <w:rsid w:val="008570D6"/>
    <w:rsid w:val="008577D0"/>
    <w:rsid w:val="00857A4B"/>
    <w:rsid w:val="00857E01"/>
    <w:rsid w:val="008600C8"/>
    <w:rsid w:val="00860101"/>
    <w:rsid w:val="008608E6"/>
    <w:rsid w:val="0086092D"/>
    <w:rsid w:val="00860C48"/>
    <w:rsid w:val="00860EB4"/>
    <w:rsid w:val="008617C9"/>
    <w:rsid w:val="008619AD"/>
    <w:rsid w:val="00861E00"/>
    <w:rsid w:val="00862010"/>
    <w:rsid w:val="0086245E"/>
    <w:rsid w:val="00862BC4"/>
    <w:rsid w:val="00862C82"/>
    <w:rsid w:val="00862FD1"/>
    <w:rsid w:val="00863A13"/>
    <w:rsid w:val="00863B7D"/>
    <w:rsid w:val="008641A3"/>
    <w:rsid w:val="008641B1"/>
    <w:rsid w:val="00864DF2"/>
    <w:rsid w:val="00865302"/>
    <w:rsid w:val="00865658"/>
    <w:rsid w:val="008657E9"/>
    <w:rsid w:val="00865DD0"/>
    <w:rsid w:val="00865F1E"/>
    <w:rsid w:val="00865FC7"/>
    <w:rsid w:val="008662E3"/>
    <w:rsid w:val="0086631E"/>
    <w:rsid w:val="008663E6"/>
    <w:rsid w:val="00866A78"/>
    <w:rsid w:val="00866AE7"/>
    <w:rsid w:val="00866B2F"/>
    <w:rsid w:val="00866BB7"/>
    <w:rsid w:val="00866CA4"/>
    <w:rsid w:val="008670FD"/>
    <w:rsid w:val="0086730C"/>
    <w:rsid w:val="00867437"/>
    <w:rsid w:val="0086781C"/>
    <w:rsid w:val="0087001A"/>
    <w:rsid w:val="00870164"/>
    <w:rsid w:val="0087038A"/>
    <w:rsid w:val="00870498"/>
    <w:rsid w:val="0087054E"/>
    <w:rsid w:val="008705E5"/>
    <w:rsid w:val="0087105D"/>
    <w:rsid w:val="00871127"/>
    <w:rsid w:val="00871143"/>
    <w:rsid w:val="00871381"/>
    <w:rsid w:val="0087144F"/>
    <w:rsid w:val="00871853"/>
    <w:rsid w:val="00871AE7"/>
    <w:rsid w:val="00871AE8"/>
    <w:rsid w:val="00871FE5"/>
    <w:rsid w:val="008720ED"/>
    <w:rsid w:val="00872237"/>
    <w:rsid w:val="00872782"/>
    <w:rsid w:val="00872A86"/>
    <w:rsid w:val="00872ACB"/>
    <w:rsid w:val="00872E02"/>
    <w:rsid w:val="00872FA6"/>
    <w:rsid w:val="00873150"/>
    <w:rsid w:val="00873161"/>
    <w:rsid w:val="00873DE8"/>
    <w:rsid w:val="008749B9"/>
    <w:rsid w:val="008749EF"/>
    <w:rsid w:val="00874ABF"/>
    <w:rsid w:val="00874ADA"/>
    <w:rsid w:val="0087515C"/>
    <w:rsid w:val="0087518A"/>
    <w:rsid w:val="00875906"/>
    <w:rsid w:val="008762AB"/>
    <w:rsid w:val="0087657D"/>
    <w:rsid w:val="00876BDA"/>
    <w:rsid w:val="00876CC1"/>
    <w:rsid w:val="008772B7"/>
    <w:rsid w:val="008774E6"/>
    <w:rsid w:val="00877B1D"/>
    <w:rsid w:val="008803F3"/>
    <w:rsid w:val="008806F1"/>
    <w:rsid w:val="008807D5"/>
    <w:rsid w:val="00880832"/>
    <w:rsid w:val="008817B3"/>
    <w:rsid w:val="008817DA"/>
    <w:rsid w:val="00881968"/>
    <w:rsid w:val="00881A2C"/>
    <w:rsid w:val="00881E4D"/>
    <w:rsid w:val="00881F95"/>
    <w:rsid w:val="00882046"/>
    <w:rsid w:val="00882944"/>
    <w:rsid w:val="00882F4B"/>
    <w:rsid w:val="00882FCD"/>
    <w:rsid w:val="00883135"/>
    <w:rsid w:val="00883319"/>
    <w:rsid w:val="008841E5"/>
    <w:rsid w:val="00884320"/>
    <w:rsid w:val="00884344"/>
    <w:rsid w:val="0088438E"/>
    <w:rsid w:val="00884584"/>
    <w:rsid w:val="00884860"/>
    <w:rsid w:val="00884B2B"/>
    <w:rsid w:val="00884B80"/>
    <w:rsid w:val="00884D15"/>
    <w:rsid w:val="00884F63"/>
    <w:rsid w:val="008851DB"/>
    <w:rsid w:val="00885733"/>
    <w:rsid w:val="00885BE0"/>
    <w:rsid w:val="008862FD"/>
    <w:rsid w:val="00886992"/>
    <w:rsid w:val="00886CB1"/>
    <w:rsid w:val="00886EE1"/>
    <w:rsid w:val="0088727D"/>
    <w:rsid w:val="008874AE"/>
    <w:rsid w:val="00887778"/>
    <w:rsid w:val="00887AEB"/>
    <w:rsid w:val="00887B3B"/>
    <w:rsid w:val="00887F9A"/>
    <w:rsid w:val="00890B60"/>
    <w:rsid w:val="00890C1C"/>
    <w:rsid w:val="00890D0C"/>
    <w:rsid w:val="008910BE"/>
    <w:rsid w:val="00891689"/>
    <w:rsid w:val="008916E7"/>
    <w:rsid w:val="00891804"/>
    <w:rsid w:val="00891C4A"/>
    <w:rsid w:val="008920AF"/>
    <w:rsid w:val="00892200"/>
    <w:rsid w:val="00892218"/>
    <w:rsid w:val="00892417"/>
    <w:rsid w:val="0089257E"/>
    <w:rsid w:val="0089259C"/>
    <w:rsid w:val="008926CC"/>
    <w:rsid w:val="00892933"/>
    <w:rsid w:val="00892C9F"/>
    <w:rsid w:val="00892DAF"/>
    <w:rsid w:val="00892FE7"/>
    <w:rsid w:val="0089361E"/>
    <w:rsid w:val="0089421C"/>
    <w:rsid w:val="00894DEA"/>
    <w:rsid w:val="008950E9"/>
    <w:rsid w:val="0089510E"/>
    <w:rsid w:val="0089515B"/>
    <w:rsid w:val="00895B2C"/>
    <w:rsid w:val="00895C66"/>
    <w:rsid w:val="00895FEB"/>
    <w:rsid w:val="008961C0"/>
    <w:rsid w:val="0089652A"/>
    <w:rsid w:val="00896C47"/>
    <w:rsid w:val="00896DC1"/>
    <w:rsid w:val="008970D2"/>
    <w:rsid w:val="0089722B"/>
    <w:rsid w:val="0089738E"/>
    <w:rsid w:val="008976DF"/>
    <w:rsid w:val="00897A5D"/>
    <w:rsid w:val="00897C75"/>
    <w:rsid w:val="008A003A"/>
    <w:rsid w:val="008A0243"/>
    <w:rsid w:val="008A04B1"/>
    <w:rsid w:val="008A0519"/>
    <w:rsid w:val="008A05A7"/>
    <w:rsid w:val="008A061C"/>
    <w:rsid w:val="008A066F"/>
    <w:rsid w:val="008A075A"/>
    <w:rsid w:val="008A0AED"/>
    <w:rsid w:val="008A0B31"/>
    <w:rsid w:val="008A12F3"/>
    <w:rsid w:val="008A1383"/>
    <w:rsid w:val="008A15A2"/>
    <w:rsid w:val="008A18EC"/>
    <w:rsid w:val="008A1B0A"/>
    <w:rsid w:val="008A1C4D"/>
    <w:rsid w:val="008A1C82"/>
    <w:rsid w:val="008A205F"/>
    <w:rsid w:val="008A2549"/>
    <w:rsid w:val="008A2A01"/>
    <w:rsid w:val="008A2F58"/>
    <w:rsid w:val="008A308F"/>
    <w:rsid w:val="008A3206"/>
    <w:rsid w:val="008A38F4"/>
    <w:rsid w:val="008A3960"/>
    <w:rsid w:val="008A3AC4"/>
    <w:rsid w:val="008A3B05"/>
    <w:rsid w:val="008A40CE"/>
    <w:rsid w:val="008A4176"/>
    <w:rsid w:val="008A452D"/>
    <w:rsid w:val="008A4C49"/>
    <w:rsid w:val="008A4DD5"/>
    <w:rsid w:val="008A4F0C"/>
    <w:rsid w:val="008A5141"/>
    <w:rsid w:val="008A573A"/>
    <w:rsid w:val="008A58C5"/>
    <w:rsid w:val="008A5A4D"/>
    <w:rsid w:val="008A5D27"/>
    <w:rsid w:val="008A609C"/>
    <w:rsid w:val="008A6471"/>
    <w:rsid w:val="008A67FF"/>
    <w:rsid w:val="008A6FA1"/>
    <w:rsid w:val="008A721B"/>
    <w:rsid w:val="008A72BE"/>
    <w:rsid w:val="008A74DB"/>
    <w:rsid w:val="008A756A"/>
    <w:rsid w:val="008A7885"/>
    <w:rsid w:val="008A78F5"/>
    <w:rsid w:val="008A7E41"/>
    <w:rsid w:val="008A7F92"/>
    <w:rsid w:val="008B0BCA"/>
    <w:rsid w:val="008B0C20"/>
    <w:rsid w:val="008B12D3"/>
    <w:rsid w:val="008B1501"/>
    <w:rsid w:val="008B151A"/>
    <w:rsid w:val="008B1543"/>
    <w:rsid w:val="008B173B"/>
    <w:rsid w:val="008B1C47"/>
    <w:rsid w:val="008B2089"/>
    <w:rsid w:val="008B220D"/>
    <w:rsid w:val="008B2589"/>
    <w:rsid w:val="008B2722"/>
    <w:rsid w:val="008B2E04"/>
    <w:rsid w:val="008B3584"/>
    <w:rsid w:val="008B370B"/>
    <w:rsid w:val="008B385E"/>
    <w:rsid w:val="008B3B03"/>
    <w:rsid w:val="008B3C18"/>
    <w:rsid w:val="008B3D84"/>
    <w:rsid w:val="008B3E68"/>
    <w:rsid w:val="008B416F"/>
    <w:rsid w:val="008B46CC"/>
    <w:rsid w:val="008B49A0"/>
    <w:rsid w:val="008B4BAD"/>
    <w:rsid w:val="008B5071"/>
    <w:rsid w:val="008B549E"/>
    <w:rsid w:val="008B5A82"/>
    <w:rsid w:val="008B5F43"/>
    <w:rsid w:val="008B61EF"/>
    <w:rsid w:val="008B6902"/>
    <w:rsid w:val="008B6940"/>
    <w:rsid w:val="008B6AE6"/>
    <w:rsid w:val="008B6EED"/>
    <w:rsid w:val="008B7087"/>
    <w:rsid w:val="008B70FE"/>
    <w:rsid w:val="008B7720"/>
    <w:rsid w:val="008B79D5"/>
    <w:rsid w:val="008B79DB"/>
    <w:rsid w:val="008B7D85"/>
    <w:rsid w:val="008B7E2F"/>
    <w:rsid w:val="008B7F2D"/>
    <w:rsid w:val="008B7F7A"/>
    <w:rsid w:val="008C019F"/>
    <w:rsid w:val="008C032B"/>
    <w:rsid w:val="008C0690"/>
    <w:rsid w:val="008C0852"/>
    <w:rsid w:val="008C0AE5"/>
    <w:rsid w:val="008C1130"/>
    <w:rsid w:val="008C1B5B"/>
    <w:rsid w:val="008C1B6A"/>
    <w:rsid w:val="008C2048"/>
    <w:rsid w:val="008C20D1"/>
    <w:rsid w:val="008C247C"/>
    <w:rsid w:val="008C2CD3"/>
    <w:rsid w:val="008C2D5D"/>
    <w:rsid w:val="008C303A"/>
    <w:rsid w:val="008C3224"/>
    <w:rsid w:val="008C374E"/>
    <w:rsid w:val="008C3941"/>
    <w:rsid w:val="008C3E52"/>
    <w:rsid w:val="008C401E"/>
    <w:rsid w:val="008C4069"/>
    <w:rsid w:val="008C42F5"/>
    <w:rsid w:val="008C43DC"/>
    <w:rsid w:val="008C464D"/>
    <w:rsid w:val="008C4AE9"/>
    <w:rsid w:val="008C4B6D"/>
    <w:rsid w:val="008C4BAE"/>
    <w:rsid w:val="008C4DB9"/>
    <w:rsid w:val="008C4DCC"/>
    <w:rsid w:val="008C4DD6"/>
    <w:rsid w:val="008C4E2A"/>
    <w:rsid w:val="008C4EAF"/>
    <w:rsid w:val="008C4EC1"/>
    <w:rsid w:val="008C4F81"/>
    <w:rsid w:val="008C50F1"/>
    <w:rsid w:val="008C571F"/>
    <w:rsid w:val="008C583F"/>
    <w:rsid w:val="008C62B9"/>
    <w:rsid w:val="008C64E3"/>
    <w:rsid w:val="008C65A0"/>
    <w:rsid w:val="008C66E6"/>
    <w:rsid w:val="008C66ED"/>
    <w:rsid w:val="008C66FB"/>
    <w:rsid w:val="008C68CC"/>
    <w:rsid w:val="008C7267"/>
    <w:rsid w:val="008C7804"/>
    <w:rsid w:val="008C79A9"/>
    <w:rsid w:val="008C7FDB"/>
    <w:rsid w:val="008D00A6"/>
    <w:rsid w:val="008D0251"/>
    <w:rsid w:val="008D081D"/>
    <w:rsid w:val="008D0F22"/>
    <w:rsid w:val="008D1130"/>
    <w:rsid w:val="008D13AF"/>
    <w:rsid w:val="008D14A0"/>
    <w:rsid w:val="008D18E6"/>
    <w:rsid w:val="008D1CA0"/>
    <w:rsid w:val="008D1D97"/>
    <w:rsid w:val="008D1E18"/>
    <w:rsid w:val="008D201E"/>
    <w:rsid w:val="008D2104"/>
    <w:rsid w:val="008D227C"/>
    <w:rsid w:val="008D228A"/>
    <w:rsid w:val="008D2C28"/>
    <w:rsid w:val="008D2F15"/>
    <w:rsid w:val="008D31DE"/>
    <w:rsid w:val="008D325D"/>
    <w:rsid w:val="008D32F0"/>
    <w:rsid w:val="008D3424"/>
    <w:rsid w:val="008D36C8"/>
    <w:rsid w:val="008D398F"/>
    <w:rsid w:val="008D4013"/>
    <w:rsid w:val="008D4272"/>
    <w:rsid w:val="008D4513"/>
    <w:rsid w:val="008D462E"/>
    <w:rsid w:val="008D47F9"/>
    <w:rsid w:val="008D4963"/>
    <w:rsid w:val="008D4B3B"/>
    <w:rsid w:val="008D4BCA"/>
    <w:rsid w:val="008D4C8B"/>
    <w:rsid w:val="008D4D0D"/>
    <w:rsid w:val="008D4DF5"/>
    <w:rsid w:val="008D51A3"/>
    <w:rsid w:val="008D538A"/>
    <w:rsid w:val="008D55A9"/>
    <w:rsid w:val="008D5ABE"/>
    <w:rsid w:val="008D6A65"/>
    <w:rsid w:val="008D6FC3"/>
    <w:rsid w:val="008D715C"/>
    <w:rsid w:val="008D78F4"/>
    <w:rsid w:val="008D78F7"/>
    <w:rsid w:val="008D7A9B"/>
    <w:rsid w:val="008E0267"/>
    <w:rsid w:val="008E095C"/>
    <w:rsid w:val="008E0AD8"/>
    <w:rsid w:val="008E0AE0"/>
    <w:rsid w:val="008E0BEE"/>
    <w:rsid w:val="008E0D4D"/>
    <w:rsid w:val="008E0E01"/>
    <w:rsid w:val="008E1A9E"/>
    <w:rsid w:val="008E1C05"/>
    <w:rsid w:val="008E2118"/>
    <w:rsid w:val="008E2DAC"/>
    <w:rsid w:val="008E2F4A"/>
    <w:rsid w:val="008E30A7"/>
    <w:rsid w:val="008E35EB"/>
    <w:rsid w:val="008E3878"/>
    <w:rsid w:val="008E409D"/>
    <w:rsid w:val="008E43AA"/>
    <w:rsid w:val="008E4750"/>
    <w:rsid w:val="008E4844"/>
    <w:rsid w:val="008E4A02"/>
    <w:rsid w:val="008E4B42"/>
    <w:rsid w:val="008E4C26"/>
    <w:rsid w:val="008E560B"/>
    <w:rsid w:val="008E57E5"/>
    <w:rsid w:val="008E5B20"/>
    <w:rsid w:val="008E5D8F"/>
    <w:rsid w:val="008E63F0"/>
    <w:rsid w:val="008E64DD"/>
    <w:rsid w:val="008E6F6E"/>
    <w:rsid w:val="008E7073"/>
    <w:rsid w:val="008E70DD"/>
    <w:rsid w:val="008E7191"/>
    <w:rsid w:val="008E76AC"/>
    <w:rsid w:val="008E77B0"/>
    <w:rsid w:val="008E7D39"/>
    <w:rsid w:val="008E7E50"/>
    <w:rsid w:val="008F035E"/>
    <w:rsid w:val="008F0438"/>
    <w:rsid w:val="008F057E"/>
    <w:rsid w:val="008F087B"/>
    <w:rsid w:val="008F0D29"/>
    <w:rsid w:val="008F11DD"/>
    <w:rsid w:val="008F1290"/>
    <w:rsid w:val="008F12AE"/>
    <w:rsid w:val="008F1403"/>
    <w:rsid w:val="008F15E0"/>
    <w:rsid w:val="008F189C"/>
    <w:rsid w:val="008F18D2"/>
    <w:rsid w:val="008F19AF"/>
    <w:rsid w:val="008F1AE9"/>
    <w:rsid w:val="008F1B6C"/>
    <w:rsid w:val="008F2086"/>
    <w:rsid w:val="008F209A"/>
    <w:rsid w:val="008F20FD"/>
    <w:rsid w:val="008F21F6"/>
    <w:rsid w:val="008F23EE"/>
    <w:rsid w:val="008F2649"/>
    <w:rsid w:val="008F29A2"/>
    <w:rsid w:val="008F3209"/>
    <w:rsid w:val="008F343B"/>
    <w:rsid w:val="008F3E7B"/>
    <w:rsid w:val="008F3FAA"/>
    <w:rsid w:val="008F411B"/>
    <w:rsid w:val="008F460B"/>
    <w:rsid w:val="008F4D05"/>
    <w:rsid w:val="008F4F4C"/>
    <w:rsid w:val="008F4F52"/>
    <w:rsid w:val="008F52BC"/>
    <w:rsid w:val="008F52C3"/>
    <w:rsid w:val="008F54FF"/>
    <w:rsid w:val="008F5513"/>
    <w:rsid w:val="008F5958"/>
    <w:rsid w:val="008F5A34"/>
    <w:rsid w:val="008F5ADA"/>
    <w:rsid w:val="008F67D9"/>
    <w:rsid w:val="008F6F01"/>
    <w:rsid w:val="008F708E"/>
    <w:rsid w:val="008F727D"/>
    <w:rsid w:val="008F7434"/>
    <w:rsid w:val="008F7600"/>
    <w:rsid w:val="008F77BA"/>
    <w:rsid w:val="008F7B68"/>
    <w:rsid w:val="008F7D94"/>
    <w:rsid w:val="008F7F7E"/>
    <w:rsid w:val="009000A9"/>
    <w:rsid w:val="009003DE"/>
    <w:rsid w:val="00900681"/>
    <w:rsid w:val="00900A11"/>
    <w:rsid w:val="00900DE2"/>
    <w:rsid w:val="00900FAF"/>
    <w:rsid w:val="0090118C"/>
    <w:rsid w:val="0090144C"/>
    <w:rsid w:val="00901472"/>
    <w:rsid w:val="00901E63"/>
    <w:rsid w:val="009025CA"/>
    <w:rsid w:val="0090264D"/>
    <w:rsid w:val="00902B8A"/>
    <w:rsid w:val="00902E08"/>
    <w:rsid w:val="00902F24"/>
    <w:rsid w:val="00903235"/>
    <w:rsid w:val="009033FA"/>
    <w:rsid w:val="009039F3"/>
    <w:rsid w:val="00903E1A"/>
    <w:rsid w:val="00903ECC"/>
    <w:rsid w:val="0090471A"/>
    <w:rsid w:val="00904C56"/>
    <w:rsid w:val="009051FA"/>
    <w:rsid w:val="00905281"/>
    <w:rsid w:val="00905366"/>
    <w:rsid w:val="0090539D"/>
    <w:rsid w:val="009054BC"/>
    <w:rsid w:val="00905DA0"/>
    <w:rsid w:val="00905FDE"/>
    <w:rsid w:val="00906711"/>
    <w:rsid w:val="00906903"/>
    <w:rsid w:val="00906B3E"/>
    <w:rsid w:val="00906C0D"/>
    <w:rsid w:val="00906E99"/>
    <w:rsid w:val="009076EF"/>
    <w:rsid w:val="009079C6"/>
    <w:rsid w:val="00907BB1"/>
    <w:rsid w:val="00907CBD"/>
    <w:rsid w:val="00907CCB"/>
    <w:rsid w:val="00910265"/>
    <w:rsid w:val="00910511"/>
    <w:rsid w:val="0091055B"/>
    <w:rsid w:val="00910695"/>
    <w:rsid w:val="009107EC"/>
    <w:rsid w:val="00910EC5"/>
    <w:rsid w:val="00911132"/>
    <w:rsid w:val="009115EE"/>
    <w:rsid w:val="00911619"/>
    <w:rsid w:val="00911877"/>
    <w:rsid w:val="00911DCA"/>
    <w:rsid w:val="00911DE7"/>
    <w:rsid w:val="00911F63"/>
    <w:rsid w:val="00911FA6"/>
    <w:rsid w:val="009122A2"/>
    <w:rsid w:val="009124F3"/>
    <w:rsid w:val="00912537"/>
    <w:rsid w:val="0091270D"/>
    <w:rsid w:val="00912AD1"/>
    <w:rsid w:val="00912CD1"/>
    <w:rsid w:val="00912E33"/>
    <w:rsid w:val="00913079"/>
    <w:rsid w:val="009132EF"/>
    <w:rsid w:val="009133C4"/>
    <w:rsid w:val="009133E9"/>
    <w:rsid w:val="009138D1"/>
    <w:rsid w:val="00913D6F"/>
    <w:rsid w:val="00913E26"/>
    <w:rsid w:val="0091416A"/>
    <w:rsid w:val="00914212"/>
    <w:rsid w:val="009142BF"/>
    <w:rsid w:val="009148E0"/>
    <w:rsid w:val="00914A6F"/>
    <w:rsid w:val="00914AB8"/>
    <w:rsid w:val="00914D53"/>
    <w:rsid w:val="00915502"/>
    <w:rsid w:val="009156E7"/>
    <w:rsid w:val="00915787"/>
    <w:rsid w:val="00915A28"/>
    <w:rsid w:val="00915BD9"/>
    <w:rsid w:val="009160C9"/>
    <w:rsid w:val="009164EC"/>
    <w:rsid w:val="00916598"/>
    <w:rsid w:val="00916751"/>
    <w:rsid w:val="00916C72"/>
    <w:rsid w:val="00916E0C"/>
    <w:rsid w:val="00916E79"/>
    <w:rsid w:val="00916F09"/>
    <w:rsid w:val="00916F62"/>
    <w:rsid w:val="0091733C"/>
    <w:rsid w:val="0091743C"/>
    <w:rsid w:val="00917894"/>
    <w:rsid w:val="00917B83"/>
    <w:rsid w:val="00917B9B"/>
    <w:rsid w:val="00920018"/>
    <w:rsid w:val="009202E4"/>
    <w:rsid w:val="009204CE"/>
    <w:rsid w:val="00920585"/>
    <w:rsid w:val="00920B9B"/>
    <w:rsid w:val="00920E83"/>
    <w:rsid w:val="00920ECD"/>
    <w:rsid w:val="00920F0D"/>
    <w:rsid w:val="009210C4"/>
    <w:rsid w:val="009218A2"/>
    <w:rsid w:val="00921ED2"/>
    <w:rsid w:val="009220AF"/>
    <w:rsid w:val="00922112"/>
    <w:rsid w:val="00922328"/>
    <w:rsid w:val="0092237A"/>
    <w:rsid w:val="009223EB"/>
    <w:rsid w:val="009224AA"/>
    <w:rsid w:val="009227C2"/>
    <w:rsid w:val="009227DB"/>
    <w:rsid w:val="00922A42"/>
    <w:rsid w:val="00922A54"/>
    <w:rsid w:val="00922C76"/>
    <w:rsid w:val="00922DB3"/>
    <w:rsid w:val="00923477"/>
    <w:rsid w:val="0092364C"/>
    <w:rsid w:val="00923892"/>
    <w:rsid w:val="00923B6D"/>
    <w:rsid w:val="00923CEA"/>
    <w:rsid w:val="00923F34"/>
    <w:rsid w:val="00923FD5"/>
    <w:rsid w:val="0092401A"/>
    <w:rsid w:val="009251E0"/>
    <w:rsid w:val="009253DC"/>
    <w:rsid w:val="00925D29"/>
    <w:rsid w:val="00925FBD"/>
    <w:rsid w:val="00926167"/>
    <w:rsid w:val="009261FB"/>
    <w:rsid w:val="0092636A"/>
    <w:rsid w:val="0092672C"/>
    <w:rsid w:val="0092690C"/>
    <w:rsid w:val="00926A15"/>
    <w:rsid w:val="00926F6F"/>
    <w:rsid w:val="00926FC7"/>
    <w:rsid w:val="00927002"/>
    <w:rsid w:val="0092740C"/>
    <w:rsid w:val="00927C27"/>
    <w:rsid w:val="0093007D"/>
    <w:rsid w:val="00930242"/>
    <w:rsid w:val="00930357"/>
    <w:rsid w:val="009303B3"/>
    <w:rsid w:val="009304C4"/>
    <w:rsid w:val="009307A4"/>
    <w:rsid w:val="00930A68"/>
    <w:rsid w:val="00930AE7"/>
    <w:rsid w:val="00930C59"/>
    <w:rsid w:val="00930CDB"/>
    <w:rsid w:val="009311FB"/>
    <w:rsid w:val="009315F9"/>
    <w:rsid w:val="00931691"/>
    <w:rsid w:val="009317D5"/>
    <w:rsid w:val="0093195E"/>
    <w:rsid w:val="00931FC2"/>
    <w:rsid w:val="0093219A"/>
    <w:rsid w:val="009322BE"/>
    <w:rsid w:val="009324BE"/>
    <w:rsid w:val="00932631"/>
    <w:rsid w:val="00932A23"/>
    <w:rsid w:val="00932C6A"/>
    <w:rsid w:val="00932CB0"/>
    <w:rsid w:val="00932D49"/>
    <w:rsid w:val="00933503"/>
    <w:rsid w:val="00934163"/>
    <w:rsid w:val="0093456F"/>
    <w:rsid w:val="00934598"/>
    <w:rsid w:val="009345F7"/>
    <w:rsid w:val="009350BF"/>
    <w:rsid w:val="009353DF"/>
    <w:rsid w:val="009357DB"/>
    <w:rsid w:val="00935BDA"/>
    <w:rsid w:val="00936069"/>
    <w:rsid w:val="00936416"/>
    <w:rsid w:val="009368DB"/>
    <w:rsid w:val="00936D61"/>
    <w:rsid w:val="00936F4F"/>
    <w:rsid w:val="00937D03"/>
    <w:rsid w:val="00937E6A"/>
    <w:rsid w:val="00940779"/>
    <w:rsid w:val="00940929"/>
    <w:rsid w:val="0094106B"/>
    <w:rsid w:val="00941395"/>
    <w:rsid w:val="009413F9"/>
    <w:rsid w:val="00941BBD"/>
    <w:rsid w:val="0094240E"/>
    <w:rsid w:val="009424E6"/>
    <w:rsid w:val="009426E4"/>
    <w:rsid w:val="00942862"/>
    <w:rsid w:val="00942BA3"/>
    <w:rsid w:val="00942BCC"/>
    <w:rsid w:val="00942DB7"/>
    <w:rsid w:val="00943110"/>
    <w:rsid w:val="009431FC"/>
    <w:rsid w:val="009434D0"/>
    <w:rsid w:val="009434E7"/>
    <w:rsid w:val="009438BD"/>
    <w:rsid w:val="0094390A"/>
    <w:rsid w:val="00943A49"/>
    <w:rsid w:val="00943C28"/>
    <w:rsid w:val="00943D9B"/>
    <w:rsid w:val="009443B2"/>
    <w:rsid w:val="0094468A"/>
    <w:rsid w:val="009449EB"/>
    <w:rsid w:val="00944D54"/>
    <w:rsid w:val="00944E5F"/>
    <w:rsid w:val="00944FF1"/>
    <w:rsid w:val="009454C6"/>
    <w:rsid w:val="009457B1"/>
    <w:rsid w:val="0094588A"/>
    <w:rsid w:val="009458C2"/>
    <w:rsid w:val="00945C7D"/>
    <w:rsid w:val="00946CD2"/>
    <w:rsid w:val="00946E05"/>
    <w:rsid w:val="00947256"/>
    <w:rsid w:val="00947A45"/>
    <w:rsid w:val="00947AC0"/>
    <w:rsid w:val="00947D16"/>
    <w:rsid w:val="00947E01"/>
    <w:rsid w:val="00947E4E"/>
    <w:rsid w:val="009500B9"/>
    <w:rsid w:val="009502EA"/>
    <w:rsid w:val="0095052C"/>
    <w:rsid w:val="00950D25"/>
    <w:rsid w:val="00950FF5"/>
    <w:rsid w:val="00951E8C"/>
    <w:rsid w:val="00951EEF"/>
    <w:rsid w:val="00951F79"/>
    <w:rsid w:val="009525A9"/>
    <w:rsid w:val="00952E1C"/>
    <w:rsid w:val="00952E6F"/>
    <w:rsid w:val="0095336D"/>
    <w:rsid w:val="00953A19"/>
    <w:rsid w:val="00953AA7"/>
    <w:rsid w:val="00953AAB"/>
    <w:rsid w:val="00953BE2"/>
    <w:rsid w:val="00953D94"/>
    <w:rsid w:val="00954291"/>
    <w:rsid w:val="009543B6"/>
    <w:rsid w:val="009548BF"/>
    <w:rsid w:val="00954AE9"/>
    <w:rsid w:val="00954CC9"/>
    <w:rsid w:val="00955001"/>
    <w:rsid w:val="0095532A"/>
    <w:rsid w:val="009553D4"/>
    <w:rsid w:val="009556A3"/>
    <w:rsid w:val="0095575E"/>
    <w:rsid w:val="009559E5"/>
    <w:rsid w:val="00955C28"/>
    <w:rsid w:val="009563B1"/>
    <w:rsid w:val="00956604"/>
    <w:rsid w:val="0095673E"/>
    <w:rsid w:val="00956B1B"/>
    <w:rsid w:val="00956B6C"/>
    <w:rsid w:val="0095702B"/>
    <w:rsid w:val="0095737C"/>
    <w:rsid w:val="00957984"/>
    <w:rsid w:val="00957AFA"/>
    <w:rsid w:val="00957B17"/>
    <w:rsid w:val="00957D0C"/>
    <w:rsid w:val="00957D90"/>
    <w:rsid w:val="009602D5"/>
    <w:rsid w:val="00960719"/>
    <w:rsid w:val="00960830"/>
    <w:rsid w:val="009608BF"/>
    <w:rsid w:val="009610B9"/>
    <w:rsid w:val="009611A0"/>
    <w:rsid w:val="00961272"/>
    <w:rsid w:val="009614D8"/>
    <w:rsid w:val="00961714"/>
    <w:rsid w:val="009617BA"/>
    <w:rsid w:val="009618CE"/>
    <w:rsid w:val="00961D9C"/>
    <w:rsid w:val="00961DAC"/>
    <w:rsid w:val="00961E52"/>
    <w:rsid w:val="00961E8D"/>
    <w:rsid w:val="0096222F"/>
    <w:rsid w:val="00962AA1"/>
    <w:rsid w:val="00962E49"/>
    <w:rsid w:val="00962EE6"/>
    <w:rsid w:val="00962F94"/>
    <w:rsid w:val="00963079"/>
    <w:rsid w:val="009630CB"/>
    <w:rsid w:val="009634E9"/>
    <w:rsid w:val="009635B7"/>
    <w:rsid w:val="00963668"/>
    <w:rsid w:val="009641E0"/>
    <w:rsid w:val="00964837"/>
    <w:rsid w:val="009648C0"/>
    <w:rsid w:val="009651CB"/>
    <w:rsid w:val="009661FC"/>
    <w:rsid w:val="009668C2"/>
    <w:rsid w:val="00966D3C"/>
    <w:rsid w:val="0096779C"/>
    <w:rsid w:val="00967818"/>
    <w:rsid w:val="00967846"/>
    <w:rsid w:val="00967A03"/>
    <w:rsid w:val="009702EF"/>
    <w:rsid w:val="0097042F"/>
    <w:rsid w:val="00970665"/>
    <w:rsid w:val="009707ED"/>
    <w:rsid w:val="00970AB5"/>
    <w:rsid w:val="00970ADA"/>
    <w:rsid w:val="00970EC2"/>
    <w:rsid w:val="00970F05"/>
    <w:rsid w:val="00970F61"/>
    <w:rsid w:val="0097137B"/>
    <w:rsid w:val="00971721"/>
    <w:rsid w:val="009717DD"/>
    <w:rsid w:val="00971A2F"/>
    <w:rsid w:val="00971C1D"/>
    <w:rsid w:val="00971CAE"/>
    <w:rsid w:val="00971CEF"/>
    <w:rsid w:val="00971DBA"/>
    <w:rsid w:val="00972067"/>
    <w:rsid w:val="009723B5"/>
    <w:rsid w:val="00972532"/>
    <w:rsid w:val="00972810"/>
    <w:rsid w:val="00972820"/>
    <w:rsid w:val="0097296B"/>
    <w:rsid w:val="00972999"/>
    <w:rsid w:val="00972AF9"/>
    <w:rsid w:val="00972B52"/>
    <w:rsid w:val="00972F2D"/>
    <w:rsid w:val="0097332C"/>
    <w:rsid w:val="00973799"/>
    <w:rsid w:val="009737EF"/>
    <w:rsid w:val="00973876"/>
    <w:rsid w:val="00973A40"/>
    <w:rsid w:val="00973B27"/>
    <w:rsid w:val="00973B4F"/>
    <w:rsid w:val="00973E80"/>
    <w:rsid w:val="009740AD"/>
    <w:rsid w:val="0097484B"/>
    <w:rsid w:val="009749BF"/>
    <w:rsid w:val="00974A51"/>
    <w:rsid w:val="00974AB5"/>
    <w:rsid w:val="00974B16"/>
    <w:rsid w:val="00974BB8"/>
    <w:rsid w:val="00974E14"/>
    <w:rsid w:val="00974F4F"/>
    <w:rsid w:val="00974FE7"/>
    <w:rsid w:val="009750D2"/>
    <w:rsid w:val="009754B4"/>
    <w:rsid w:val="009754BF"/>
    <w:rsid w:val="00975782"/>
    <w:rsid w:val="00975FE2"/>
    <w:rsid w:val="00976FA3"/>
    <w:rsid w:val="009772FE"/>
    <w:rsid w:val="009773D9"/>
    <w:rsid w:val="0097762F"/>
    <w:rsid w:val="00977B56"/>
    <w:rsid w:val="00977ECE"/>
    <w:rsid w:val="0098014A"/>
    <w:rsid w:val="00980611"/>
    <w:rsid w:val="00980986"/>
    <w:rsid w:val="00980A80"/>
    <w:rsid w:val="00980CC0"/>
    <w:rsid w:val="00980CE6"/>
    <w:rsid w:val="00980F1A"/>
    <w:rsid w:val="00981010"/>
    <w:rsid w:val="00981454"/>
    <w:rsid w:val="00981870"/>
    <w:rsid w:val="00981CB3"/>
    <w:rsid w:val="00981EC9"/>
    <w:rsid w:val="00982133"/>
    <w:rsid w:val="00982911"/>
    <w:rsid w:val="00982C98"/>
    <w:rsid w:val="00983035"/>
    <w:rsid w:val="0098306D"/>
    <w:rsid w:val="009835A3"/>
    <w:rsid w:val="009838BB"/>
    <w:rsid w:val="009839A5"/>
    <w:rsid w:val="009839DB"/>
    <w:rsid w:val="00983AC3"/>
    <w:rsid w:val="009849EF"/>
    <w:rsid w:val="00984A11"/>
    <w:rsid w:val="00984E68"/>
    <w:rsid w:val="00984F50"/>
    <w:rsid w:val="009856DC"/>
    <w:rsid w:val="009858BC"/>
    <w:rsid w:val="00985E0A"/>
    <w:rsid w:val="00985FFB"/>
    <w:rsid w:val="0098603E"/>
    <w:rsid w:val="009860FF"/>
    <w:rsid w:val="00986168"/>
    <w:rsid w:val="009861D3"/>
    <w:rsid w:val="00986299"/>
    <w:rsid w:val="00986853"/>
    <w:rsid w:val="0098685C"/>
    <w:rsid w:val="009868C9"/>
    <w:rsid w:val="00986A33"/>
    <w:rsid w:val="00986B8E"/>
    <w:rsid w:val="00986D00"/>
    <w:rsid w:val="0098704F"/>
    <w:rsid w:val="0098706D"/>
    <w:rsid w:val="00987341"/>
    <w:rsid w:val="00987434"/>
    <w:rsid w:val="009876D2"/>
    <w:rsid w:val="009876DD"/>
    <w:rsid w:val="00987A3B"/>
    <w:rsid w:val="00987A78"/>
    <w:rsid w:val="0099026C"/>
    <w:rsid w:val="009906B3"/>
    <w:rsid w:val="00990D34"/>
    <w:rsid w:val="00991053"/>
    <w:rsid w:val="00991221"/>
    <w:rsid w:val="00991279"/>
    <w:rsid w:val="00991664"/>
    <w:rsid w:val="0099183C"/>
    <w:rsid w:val="00991C8F"/>
    <w:rsid w:val="00991D03"/>
    <w:rsid w:val="0099215C"/>
    <w:rsid w:val="0099278C"/>
    <w:rsid w:val="00992E67"/>
    <w:rsid w:val="00992F78"/>
    <w:rsid w:val="00993170"/>
    <w:rsid w:val="009935FB"/>
    <w:rsid w:val="00993642"/>
    <w:rsid w:val="00993C4E"/>
    <w:rsid w:val="0099403D"/>
    <w:rsid w:val="009943F7"/>
    <w:rsid w:val="009947A4"/>
    <w:rsid w:val="00994890"/>
    <w:rsid w:val="00994DE7"/>
    <w:rsid w:val="009956BB"/>
    <w:rsid w:val="009956EB"/>
    <w:rsid w:val="00995829"/>
    <w:rsid w:val="00995A85"/>
    <w:rsid w:val="00995CD6"/>
    <w:rsid w:val="009964AC"/>
    <w:rsid w:val="00996623"/>
    <w:rsid w:val="00996A90"/>
    <w:rsid w:val="00996ACC"/>
    <w:rsid w:val="00996FBB"/>
    <w:rsid w:val="00997427"/>
    <w:rsid w:val="0099791B"/>
    <w:rsid w:val="00997BE3"/>
    <w:rsid w:val="00997DB6"/>
    <w:rsid w:val="009A0232"/>
    <w:rsid w:val="009A02CF"/>
    <w:rsid w:val="009A09C1"/>
    <w:rsid w:val="009A0A82"/>
    <w:rsid w:val="009A0BE3"/>
    <w:rsid w:val="009A1546"/>
    <w:rsid w:val="009A1585"/>
    <w:rsid w:val="009A1B32"/>
    <w:rsid w:val="009A20FA"/>
    <w:rsid w:val="009A2471"/>
    <w:rsid w:val="009A2A6E"/>
    <w:rsid w:val="009A2C2D"/>
    <w:rsid w:val="009A2E8A"/>
    <w:rsid w:val="009A358A"/>
    <w:rsid w:val="009A3593"/>
    <w:rsid w:val="009A3699"/>
    <w:rsid w:val="009A3750"/>
    <w:rsid w:val="009A3CB4"/>
    <w:rsid w:val="009A40CB"/>
    <w:rsid w:val="009A42B4"/>
    <w:rsid w:val="009A48BD"/>
    <w:rsid w:val="009A4937"/>
    <w:rsid w:val="009A4FAA"/>
    <w:rsid w:val="009A5058"/>
    <w:rsid w:val="009A5085"/>
    <w:rsid w:val="009A589C"/>
    <w:rsid w:val="009A5A79"/>
    <w:rsid w:val="009A5B84"/>
    <w:rsid w:val="009A608A"/>
    <w:rsid w:val="009A6E9E"/>
    <w:rsid w:val="009A6F4C"/>
    <w:rsid w:val="009A718C"/>
    <w:rsid w:val="009A7199"/>
    <w:rsid w:val="009A71C9"/>
    <w:rsid w:val="009A7465"/>
    <w:rsid w:val="009A7FBB"/>
    <w:rsid w:val="009B01DE"/>
    <w:rsid w:val="009B0512"/>
    <w:rsid w:val="009B0DB1"/>
    <w:rsid w:val="009B0EAA"/>
    <w:rsid w:val="009B0F5D"/>
    <w:rsid w:val="009B16DD"/>
    <w:rsid w:val="009B1977"/>
    <w:rsid w:val="009B1E44"/>
    <w:rsid w:val="009B2032"/>
    <w:rsid w:val="009B213F"/>
    <w:rsid w:val="009B2266"/>
    <w:rsid w:val="009B2381"/>
    <w:rsid w:val="009B23A4"/>
    <w:rsid w:val="009B2868"/>
    <w:rsid w:val="009B2AE1"/>
    <w:rsid w:val="009B2CD0"/>
    <w:rsid w:val="009B2E22"/>
    <w:rsid w:val="009B2E29"/>
    <w:rsid w:val="009B2F65"/>
    <w:rsid w:val="009B32EF"/>
    <w:rsid w:val="009B343E"/>
    <w:rsid w:val="009B3947"/>
    <w:rsid w:val="009B3F11"/>
    <w:rsid w:val="009B3FBE"/>
    <w:rsid w:val="009B42E2"/>
    <w:rsid w:val="009B4418"/>
    <w:rsid w:val="009B47B8"/>
    <w:rsid w:val="009B4C13"/>
    <w:rsid w:val="009B4EC1"/>
    <w:rsid w:val="009B4F0B"/>
    <w:rsid w:val="009B4FC6"/>
    <w:rsid w:val="009B5B47"/>
    <w:rsid w:val="009B5BF0"/>
    <w:rsid w:val="009B5EDA"/>
    <w:rsid w:val="009B62C2"/>
    <w:rsid w:val="009B650E"/>
    <w:rsid w:val="009B684E"/>
    <w:rsid w:val="009B6907"/>
    <w:rsid w:val="009B69E7"/>
    <w:rsid w:val="009B6A4D"/>
    <w:rsid w:val="009B6DAF"/>
    <w:rsid w:val="009B702E"/>
    <w:rsid w:val="009B719C"/>
    <w:rsid w:val="009B71F7"/>
    <w:rsid w:val="009B7201"/>
    <w:rsid w:val="009B7BBD"/>
    <w:rsid w:val="009B7F13"/>
    <w:rsid w:val="009C02E5"/>
    <w:rsid w:val="009C040A"/>
    <w:rsid w:val="009C049D"/>
    <w:rsid w:val="009C0538"/>
    <w:rsid w:val="009C105F"/>
    <w:rsid w:val="009C1259"/>
    <w:rsid w:val="009C1881"/>
    <w:rsid w:val="009C18DF"/>
    <w:rsid w:val="009C19AF"/>
    <w:rsid w:val="009C1D34"/>
    <w:rsid w:val="009C1D88"/>
    <w:rsid w:val="009C1F98"/>
    <w:rsid w:val="009C21FE"/>
    <w:rsid w:val="009C24E9"/>
    <w:rsid w:val="009C2C73"/>
    <w:rsid w:val="009C2CDC"/>
    <w:rsid w:val="009C2D1C"/>
    <w:rsid w:val="009C2FE7"/>
    <w:rsid w:val="009C3251"/>
    <w:rsid w:val="009C345C"/>
    <w:rsid w:val="009C39E9"/>
    <w:rsid w:val="009C3CEE"/>
    <w:rsid w:val="009C43A9"/>
    <w:rsid w:val="009C4611"/>
    <w:rsid w:val="009C47AB"/>
    <w:rsid w:val="009C4929"/>
    <w:rsid w:val="009C4E15"/>
    <w:rsid w:val="009C5008"/>
    <w:rsid w:val="009C5517"/>
    <w:rsid w:val="009C5638"/>
    <w:rsid w:val="009C5B8B"/>
    <w:rsid w:val="009C5DF9"/>
    <w:rsid w:val="009C5EF8"/>
    <w:rsid w:val="009C5F1B"/>
    <w:rsid w:val="009C6342"/>
    <w:rsid w:val="009C6414"/>
    <w:rsid w:val="009C6972"/>
    <w:rsid w:val="009C7149"/>
    <w:rsid w:val="009C728B"/>
    <w:rsid w:val="009C7377"/>
    <w:rsid w:val="009C74E9"/>
    <w:rsid w:val="009C7639"/>
    <w:rsid w:val="009C7834"/>
    <w:rsid w:val="009C7972"/>
    <w:rsid w:val="009C7A26"/>
    <w:rsid w:val="009C7B12"/>
    <w:rsid w:val="009C7C72"/>
    <w:rsid w:val="009C7F0C"/>
    <w:rsid w:val="009C7F5D"/>
    <w:rsid w:val="009D0182"/>
    <w:rsid w:val="009D02E2"/>
    <w:rsid w:val="009D030F"/>
    <w:rsid w:val="009D059A"/>
    <w:rsid w:val="009D0A13"/>
    <w:rsid w:val="009D10D0"/>
    <w:rsid w:val="009D11D3"/>
    <w:rsid w:val="009D125B"/>
    <w:rsid w:val="009D1490"/>
    <w:rsid w:val="009D1597"/>
    <w:rsid w:val="009D181B"/>
    <w:rsid w:val="009D228A"/>
    <w:rsid w:val="009D26E4"/>
    <w:rsid w:val="009D26EF"/>
    <w:rsid w:val="009D29B9"/>
    <w:rsid w:val="009D2B42"/>
    <w:rsid w:val="009D2B92"/>
    <w:rsid w:val="009D2B9D"/>
    <w:rsid w:val="009D2DFE"/>
    <w:rsid w:val="009D326D"/>
    <w:rsid w:val="009D3946"/>
    <w:rsid w:val="009D3AC6"/>
    <w:rsid w:val="009D3F90"/>
    <w:rsid w:val="009D42DC"/>
    <w:rsid w:val="009D4480"/>
    <w:rsid w:val="009D4DA8"/>
    <w:rsid w:val="009D5092"/>
    <w:rsid w:val="009D525E"/>
    <w:rsid w:val="009D526F"/>
    <w:rsid w:val="009D53AA"/>
    <w:rsid w:val="009D5B19"/>
    <w:rsid w:val="009D5D24"/>
    <w:rsid w:val="009D6011"/>
    <w:rsid w:val="009D68B0"/>
    <w:rsid w:val="009D6B30"/>
    <w:rsid w:val="009D6B6E"/>
    <w:rsid w:val="009D7300"/>
    <w:rsid w:val="009D737A"/>
    <w:rsid w:val="009D75A2"/>
    <w:rsid w:val="009D7E92"/>
    <w:rsid w:val="009D7FB4"/>
    <w:rsid w:val="009E01CC"/>
    <w:rsid w:val="009E040C"/>
    <w:rsid w:val="009E045A"/>
    <w:rsid w:val="009E09B7"/>
    <w:rsid w:val="009E09D7"/>
    <w:rsid w:val="009E0C1F"/>
    <w:rsid w:val="009E0E69"/>
    <w:rsid w:val="009E133F"/>
    <w:rsid w:val="009E1442"/>
    <w:rsid w:val="009E1480"/>
    <w:rsid w:val="009E149A"/>
    <w:rsid w:val="009E1533"/>
    <w:rsid w:val="009E1760"/>
    <w:rsid w:val="009E17DE"/>
    <w:rsid w:val="009E1D42"/>
    <w:rsid w:val="009E1E55"/>
    <w:rsid w:val="009E2565"/>
    <w:rsid w:val="009E2572"/>
    <w:rsid w:val="009E2709"/>
    <w:rsid w:val="009E2BC5"/>
    <w:rsid w:val="009E2C2B"/>
    <w:rsid w:val="009E2E8F"/>
    <w:rsid w:val="009E3062"/>
    <w:rsid w:val="009E3420"/>
    <w:rsid w:val="009E3519"/>
    <w:rsid w:val="009E3536"/>
    <w:rsid w:val="009E3B2E"/>
    <w:rsid w:val="009E3FBC"/>
    <w:rsid w:val="009E4E09"/>
    <w:rsid w:val="009E5101"/>
    <w:rsid w:val="009E529E"/>
    <w:rsid w:val="009E5581"/>
    <w:rsid w:val="009E5D0C"/>
    <w:rsid w:val="009E5FE5"/>
    <w:rsid w:val="009E63AA"/>
    <w:rsid w:val="009E6687"/>
    <w:rsid w:val="009E66DF"/>
    <w:rsid w:val="009E6E50"/>
    <w:rsid w:val="009E7186"/>
    <w:rsid w:val="009E7381"/>
    <w:rsid w:val="009E77A4"/>
    <w:rsid w:val="009E7833"/>
    <w:rsid w:val="009E7D6E"/>
    <w:rsid w:val="009F00F4"/>
    <w:rsid w:val="009F014E"/>
    <w:rsid w:val="009F01C6"/>
    <w:rsid w:val="009F01D6"/>
    <w:rsid w:val="009F05C2"/>
    <w:rsid w:val="009F0BBD"/>
    <w:rsid w:val="009F0CFE"/>
    <w:rsid w:val="009F0EA9"/>
    <w:rsid w:val="009F0FE4"/>
    <w:rsid w:val="009F1067"/>
    <w:rsid w:val="009F11F6"/>
    <w:rsid w:val="009F1422"/>
    <w:rsid w:val="009F14F4"/>
    <w:rsid w:val="009F17A4"/>
    <w:rsid w:val="009F1C65"/>
    <w:rsid w:val="009F1EDE"/>
    <w:rsid w:val="009F2008"/>
    <w:rsid w:val="009F2291"/>
    <w:rsid w:val="009F245C"/>
    <w:rsid w:val="009F2528"/>
    <w:rsid w:val="009F27EF"/>
    <w:rsid w:val="009F2D06"/>
    <w:rsid w:val="009F308B"/>
    <w:rsid w:val="009F30C3"/>
    <w:rsid w:val="009F356D"/>
    <w:rsid w:val="009F356E"/>
    <w:rsid w:val="009F3C15"/>
    <w:rsid w:val="009F3EAA"/>
    <w:rsid w:val="009F4523"/>
    <w:rsid w:val="009F46E8"/>
    <w:rsid w:val="009F4A54"/>
    <w:rsid w:val="009F4BBF"/>
    <w:rsid w:val="009F4BEC"/>
    <w:rsid w:val="009F5560"/>
    <w:rsid w:val="009F55E7"/>
    <w:rsid w:val="009F5975"/>
    <w:rsid w:val="009F5C52"/>
    <w:rsid w:val="009F5D09"/>
    <w:rsid w:val="009F6271"/>
    <w:rsid w:val="009F62AA"/>
    <w:rsid w:val="009F637F"/>
    <w:rsid w:val="009F66BE"/>
    <w:rsid w:val="009F69B2"/>
    <w:rsid w:val="009F6DE0"/>
    <w:rsid w:val="009F6FF3"/>
    <w:rsid w:val="009F7280"/>
    <w:rsid w:val="009F7684"/>
    <w:rsid w:val="009F7735"/>
    <w:rsid w:val="009F77AD"/>
    <w:rsid w:val="009F7F99"/>
    <w:rsid w:val="00A00412"/>
    <w:rsid w:val="00A00840"/>
    <w:rsid w:val="00A00868"/>
    <w:rsid w:val="00A0087D"/>
    <w:rsid w:val="00A00AB6"/>
    <w:rsid w:val="00A00CAD"/>
    <w:rsid w:val="00A010F0"/>
    <w:rsid w:val="00A010F1"/>
    <w:rsid w:val="00A011D8"/>
    <w:rsid w:val="00A01227"/>
    <w:rsid w:val="00A01532"/>
    <w:rsid w:val="00A01657"/>
    <w:rsid w:val="00A0182F"/>
    <w:rsid w:val="00A02005"/>
    <w:rsid w:val="00A02785"/>
    <w:rsid w:val="00A028EC"/>
    <w:rsid w:val="00A02A35"/>
    <w:rsid w:val="00A02D41"/>
    <w:rsid w:val="00A0308D"/>
    <w:rsid w:val="00A03552"/>
    <w:rsid w:val="00A035BA"/>
    <w:rsid w:val="00A035D1"/>
    <w:rsid w:val="00A0383E"/>
    <w:rsid w:val="00A0390F"/>
    <w:rsid w:val="00A03FAD"/>
    <w:rsid w:val="00A04410"/>
    <w:rsid w:val="00A04891"/>
    <w:rsid w:val="00A04BAA"/>
    <w:rsid w:val="00A04D07"/>
    <w:rsid w:val="00A04D78"/>
    <w:rsid w:val="00A052DA"/>
    <w:rsid w:val="00A0572E"/>
    <w:rsid w:val="00A058BC"/>
    <w:rsid w:val="00A05918"/>
    <w:rsid w:val="00A05EB0"/>
    <w:rsid w:val="00A06419"/>
    <w:rsid w:val="00A06684"/>
    <w:rsid w:val="00A06C9A"/>
    <w:rsid w:val="00A06EBF"/>
    <w:rsid w:val="00A07019"/>
    <w:rsid w:val="00A0746F"/>
    <w:rsid w:val="00A0773B"/>
    <w:rsid w:val="00A10266"/>
    <w:rsid w:val="00A10296"/>
    <w:rsid w:val="00A1057A"/>
    <w:rsid w:val="00A11034"/>
    <w:rsid w:val="00A1129E"/>
    <w:rsid w:val="00A114C1"/>
    <w:rsid w:val="00A118C7"/>
    <w:rsid w:val="00A11A8C"/>
    <w:rsid w:val="00A11B69"/>
    <w:rsid w:val="00A11DBB"/>
    <w:rsid w:val="00A12030"/>
    <w:rsid w:val="00A12305"/>
    <w:rsid w:val="00A12626"/>
    <w:rsid w:val="00A12B6F"/>
    <w:rsid w:val="00A12BEB"/>
    <w:rsid w:val="00A12F7B"/>
    <w:rsid w:val="00A12F81"/>
    <w:rsid w:val="00A12FC8"/>
    <w:rsid w:val="00A12FCC"/>
    <w:rsid w:val="00A12FF9"/>
    <w:rsid w:val="00A13066"/>
    <w:rsid w:val="00A13243"/>
    <w:rsid w:val="00A13B74"/>
    <w:rsid w:val="00A13E30"/>
    <w:rsid w:val="00A14123"/>
    <w:rsid w:val="00A14505"/>
    <w:rsid w:val="00A15167"/>
    <w:rsid w:val="00A1540B"/>
    <w:rsid w:val="00A157A4"/>
    <w:rsid w:val="00A15A77"/>
    <w:rsid w:val="00A15B44"/>
    <w:rsid w:val="00A15F34"/>
    <w:rsid w:val="00A16106"/>
    <w:rsid w:val="00A16111"/>
    <w:rsid w:val="00A162AE"/>
    <w:rsid w:val="00A1665C"/>
    <w:rsid w:val="00A169CF"/>
    <w:rsid w:val="00A16A22"/>
    <w:rsid w:val="00A16A55"/>
    <w:rsid w:val="00A1714D"/>
    <w:rsid w:val="00A1729C"/>
    <w:rsid w:val="00A1739D"/>
    <w:rsid w:val="00A20240"/>
    <w:rsid w:val="00A20326"/>
    <w:rsid w:val="00A20444"/>
    <w:rsid w:val="00A20616"/>
    <w:rsid w:val="00A20677"/>
    <w:rsid w:val="00A20B36"/>
    <w:rsid w:val="00A20E4C"/>
    <w:rsid w:val="00A2102B"/>
    <w:rsid w:val="00A219C8"/>
    <w:rsid w:val="00A21CC5"/>
    <w:rsid w:val="00A22D80"/>
    <w:rsid w:val="00A22F07"/>
    <w:rsid w:val="00A23014"/>
    <w:rsid w:val="00A233AD"/>
    <w:rsid w:val="00A238DE"/>
    <w:rsid w:val="00A23903"/>
    <w:rsid w:val="00A240AC"/>
    <w:rsid w:val="00A253A8"/>
    <w:rsid w:val="00A254F9"/>
    <w:rsid w:val="00A25BE5"/>
    <w:rsid w:val="00A25FD7"/>
    <w:rsid w:val="00A2614F"/>
    <w:rsid w:val="00A26546"/>
    <w:rsid w:val="00A26683"/>
    <w:rsid w:val="00A266DE"/>
    <w:rsid w:val="00A2683E"/>
    <w:rsid w:val="00A26F7D"/>
    <w:rsid w:val="00A2736F"/>
    <w:rsid w:val="00A27537"/>
    <w:rsid w:val="00A275C1"/>
    <w:rsid w:val="00A27965"/>
    <w:rsid w:val="00A27C03"/>
    <w:rsid w:val="00A27CFB"/>
    <w:rsid w:val="00A27DFA"/>
    <w:rsid w:val="00A27E29"/>
    <w:rsid w:val="00A27F03"/>
    <w:rsid w:val="00A304F5"/>
    <w:rsid w:val="00A30C52"/>
    <w:rsid w:val="00A30E91"/>
    <w:rsid w:val="00A31737"/>
    <w:rsid w:val="00A3174D"/>
    <w:rsid w:val="00A31C48"/>
    <w:rsid w:val="00A31D66"/>
    <w:rsid w:val="00A323F1"/>
    <w:rsid w:val="00A3258E"/>
    <w:rsid w:val="00A32BB8"/>
    <w:rsid w:val="00A32DD0"/>
    <w:rsid w:val="00A32F10"/>
    <w:rsid w:val="00A33184"/>
    <w:rsid w:val="00A33637"/>
    <w:rsid w:val="00A337AA"/>
    <w:rsid w:val="00A337E2"/>
    <w:rsid w:val="00A33A56"/>
    <w:rsid w:val="00A33B76"/>
    <w:rsid w:val="00A33E67"/>
    <w:rsid w:val="00A33E9B"/>
    <w:rsid w:val="00A3416B"/>
    <w:rsid w:val="00A341F3"/>
    <w:rsid w:val="00A348B3"/>
    <w:rsid w:val="00A34D17"/>
    <w:rsid w:val="00A351C4"/>
    <w:rsid w:val="00A3527E"/>
    <w:rsid w:val="00A3557C"/>
    <w:rsid w:val="00A3558E"/>
    <w:rsid w:val="00A3564A"/>
    <w:rsid w:val="00A3581D"/>
    <w:rsid w:val="00A359C2"/>
    <w:rsid w:val="00A35E74"/>
    <w:rsid w:val="00A35EE8"/>
    <w:rsid w:val="00A35F6B"/>
    <w:rsid w:val="00A3618F"/>
    <w:rsid w:val="00A361EC"/>
    <w:rsid w:val="00A366D3"/>
    <w:rsid w:val="00A3682E"/>
    <w:rsid w:val="00A3699D"/>
    <w:rsid w:val="00A36D39"/>
    <w:rsid w:val="00A3700D"/>
    <w:rsid w:val="00A377D8"/>
    <w:rsid w:val="00A37AB7"/>
    <w:rsid w:val="00A37CE1"/>
    <w:rsid w:val="00A4007F"/>
    <w:rsid w:val="00A40606"/>
    <w:rsid w:val="00A40671"/>
    <w:rsid w:val="00A40881"/>
    <w:rsid w:val="00A408B9"/>
    <w:rsid w:val="00A40A32"/>
    <w:rsid w:val="00A410FB"/>
    <w:rsid w:val="00A42310"/>
    <w:rsid w:val="00A42388"/>
    <w:rsid w:val="00A434F1"/>
    <w:rsid w:val="00A4385A"/>
    <w:rsid w:val="00A43AFF"/>
    <w:rsid w:val="00A43FA7"/>
    <w:rsid w:val="00A4407F"/>
    <w:rsid w:val="00A442BD"/>
    <w:rsid w:val="00A44AEF"/>
    <w:rsid w:val="00A45147"/>
    <w:rsid w:val="00A451E4"/>
    <w:rsid w:val="00A452A4"/>
    <w:rsid w:val="00A452D1"/>
    <w:rsid w:val="00A4530E"/>
    <w:rsid w:val="00A45A18"/>
    <w:rsid w:val="00A45AA5"/>
    <w:rsid w:val="00A46251"/>
    <w:rsid w:val="00A46955"/>
    <w:rsid w:val="00A46C2D"/>
    <w:rsid w:val="00A46C3E"/>
    <w:rsid w:val="00A4786E"/>
    <w:rsid w:val="00A4790E"/>
    <w:rsid w:val="00A479A3"/>
    <w:rsid w:val="00A47AE3"/>
    <w:rsid w:val="00A47BEC"/>
    <w:rsid w:val="00A47C96"/>
    <w:rsid w:val="00A50631"/>
    <w:rsid w:val="00A50763"/>
    <w:rsid w:val="00A508EB"/>
    <w:rsid w:val="00A50EC5"/>
    <w:rsid w:val="00A511B7"/>
    <w:rsid w:val="00A5127A"/>
    <w:rsid w:val="00A51B54"/>
    <w:rsid w:val="00A522F5"/>
    <w:rsid w:val="00A52406"/>
    <w:rsid w:val="00A52666"/>
    <w:rsid w:val="00A52D2D"/>
    <w:rsid w:val="00A52E4E"/>
    <w:rsid w:val="00A53893"/>
    <w:rsid w:val="00A53DAA"/>
    <w:rsid w:val="00A53DD8"/>
    <w:rsid w:val="00A54264"/>
    <w:rsid w:val="00A5443C"/>
    <w:rsid w:val="00A54A10"/>
    <w:rsid w:val="00A54A51"/>
    <w:rsid w:val="00A54C49"/>
    <w:rsid w:val="00A5514A"/>
    <w:rsid w:val="00A559E7"/>
    <w:rsid w:val="00A55EE3"/>
    <w:rsid w:val="00A56D38"/>
    <w:rsid w:val="00A57CB6"/>
    <w:rsid w:val="00A57D95"/>
    <w:rsid w:val="00A57EF0"/>
    <w:rsid w:val="00A57F5A"/>
    <w:rsid w:val="00A57FA1"/>
    <w:rsid w:val="00A603F4"/>
    <w:rsid w:val="00A60688"/>
    <w:rsid w:val="00A6087F"/>
    <w:rsid w:val="00A60AF5"/>
    <w:rsid w:val="00A60E96"/>
    <w:rsid w:val="00A61334"/>
    <w:rsid w:val="00A61552"/>
    <w:rsid w:val="00A61663"/>
    <w:rsid w:val="00A61A77"/>
    <w:rsid w:val="00A61AAE"/>
    <w:rsid w:val="00A61AE1"/>
    <w:rsid w:val="00A61D7A"/>
    <w:rsid w:val="00A61EFC"/>
    <w:rsid w:val="00A62242"/>
    <w:rsid w:val="00A624A6"/>
    <w:rsid w:val="00A6287F"/>
    <w:rsid w:val="00A62A1D"/>
    <w:rsid w:val="00A62ACD"/>
    <w:rsid w:val="00A62B6E"/>
    <w:rsid w:val="00A62BDD"/>
    <w:rsid w:val="00A62FEF"/>
    <w:rsid w:val="00A630EE"/>
    <w:rsid w:val="00A631F2"/>
    <w:rsid w:val="00A63358"/>
    <w:rsid w:val="00A634DC"/>
    <w:rsid w:val="00A63753"/>
    <w:rsid w:val="00A63ADA"/>
    <w:rsid w:val="00A63D62"/>
    <w:rsid w:val="00A63E56"/>
    <w:rsid w:val="00A63F79"/>
    <w:rsid w:val="00A64924"/>
    <w:rsid w:val="00A64AC8"/>
    <w:rsid w:val="00A64B7E"/>
    <w:rsid w:val="00A6541A"/>
    <w:rsid w:val="00A6561B"/>
    <w:rsid w:val="00A656DE"/>
    <w:rsid w:val="00A6582E"/>
    <w:rsid w:val="00A65874"/>
    <w:rsid w:val="00A65EAC"/>
    <w:rsid w:val="00A65FFB"/>
    <w:rsid w:val="00A661A7"/>
    <w:rsid w:val="00A66345"/>
    <w:rsid w:val="00A66776"/>
    <w:rsid w:val="00A66989"/>
    <w:rsid w:val="00A66C9B"/>
    <w:rsid w:val="00A66DA7"/>
    <w:rsid w:val="00A66F82"/>
    <w:rsid w:val="00A6732D"/>
    <w:rsid w:val="00A6744E"/>
    <w:rsid w:val="00A6763D"/>
    <w:rsid w:val="00A67878"/>
    <w:rsid w:val="00A67899"/>
    <w:rsid w:val="00A67918"/>
    <w:rsid w:val="00A7005F"/>
    <w:rsid w:val="00A7042D"/>
    <w:rsid w:val="00A70544"/>
    <w:rsid w:val="00A70A1B"/>
    <w:rsid w:val="00A70ED0"/>
    <w:rsid w:val="00A71211"/>
    <w:rsid w:val="00A712C5"/>
    <w:rsid w:val="00A71ACE"/>
    <w:rsid w:val="00A71B09"/>
    <w:rsid w:val="00A72114"/>
    <w:rsid w:val="00A72250"/>
    <w:rsid w:val="00A72B8D"/>
    <w:rsid w:val="00A72BCA"/>
    <w:rsid w:val="00A72BCB"/>
    <w:rsid w:val="00A72D25"/>
    <w:rsid w:val="00A736DD"/>
    <w:rsid w:val="00A73CB8"/>
    <w:rsid w:val="00A73F54"/>
    <w:rsid w:val="00A743FA"/>
    <w:rsid w:val="00A74472"/>
    <w:rsid w:val="00A74774"/>
    <w:rsid w:val="00A74DC3"/>
    <w:rsid w:val="00A75155"/>
    <w:rsid w:val="00A75391"/>
    <w:rsid w:val="00A75927"/>
    <w:rsid w:val="00A75C0D"/>
    <w:rsid w:val="00A75CDD"/>
    <w:rsid w:val="00A75D40"/>
    <w:rsid w:val="00A75D5E"/>
    <w:rsid w:val="00A76023"/>
    <w:rsid w:val="00A76034"/>
    <w:rsid w:val="00A76077"/>
    <w:rsid w:val="00A760C5"/>
    <w:rsid w:val="00A76208"/>
    <w:rsid w:val="00A76606"/>
    <w:rsid w:val="00A768B0"/>
    <w:rsid w:val="00A76B0E"/>
    <w:rsid w:val="00A76BB5"/>
    <w:rsid w:val="00A76EA1"/>
    <w:rsid w:val="00A7719A"/>
    <w:rsid w:val="00A77273"/>
    <w:rsid w:val="00A77302"/>
    <w:rsid w:val="00A77319"/>
    <w:rsid w:val="00A77928"/>
    <w:rsid w:val="00A7793A"/>
    <w:rsid w:val="00A77AB5"/>
    <w:rsid w:val="00A77FB0"/>
    <w:rsid w:val="00A77FDE"/>
    <w:rsid w:val="00A803A3"/>
    <w:rsid w:val="00A80485"/>
    <w:rsid w:val="00A80AC1"/>
    <w:rsid w:val="00A80CED"/>
    <w:rsid w:val="00A8104D"/>
    <w:rsid w:val="00A81051"/>
    <w:rsid w:val="00A810E4"/>
    <w:rsid w:val="00A81112"/>
    <w:rsid w:val="00A812A0"/>
    <w:rsid w:val="00A81D48"/>
    <w:rsid w:val="00A81FE0"/>
    <w:rsid w:val="00A82222"/>
    <w:rsid w:val="00A82289"/>
    <w:rsid w:val="00A82472"/>
    <w:rsid w:val="00A82593"/>
    <w:rsid w:val="00A82B3B"/>
    <w:rsid w:val="00A838A1"/>
    <w:rsid w:val="00A83A27"/>
    <w:rsid w:val="00A83AAF"/>
    <w:rsid w:val="00A83D0D"/>
    <w:rsid w:val="00A83DDF"/>
    <w:rsid w:val="00A83FFA"/>
    <w:rsid w:val="00A8406C"/>
    <w:rsid w:val="00A8433E"/>
    <w:rsid w:val="00A8491D"/>
    <w:rsid w:val="00A84A77"/>
    <w:rsid w:val="00A84B6E"/>
    <w:rsid w:val="00A851A8"/>
    <w:rsid w:val="00A854F5"/>
    <w:rsid w:val="00A8592C"/>
    <w:rsid w:val="00A8593A"/>
    <w:rsid w:val="00A85BEC"/>
    <w:rsid w:val="00A86003"/>
    <w:rsid w:val="00A861EE"/>
    <w:rsid w:val="00A8699C"/>
    <w:rsid w:val="00A86E2F"/>
    <w:rsid w:val="00A86EF0"/>
    <w:rsid w:val="00A870E3"/>
    <w:rsid w:val="00A871C7"/>
    <w:rsid w:val="00A871F0"/>
    <w:rsid w:val="00A871FB"/>
    <w:rsid w:val="00A87373"/>
    <w:rsid w:val="00A87850"/>
    <w:rsid w:val="00A87B9B"/>
    <w:rsid w:val="00A87BBA"/>
    <w:rsid w:val="00A90036"/>
    <w:rsid w:val="00A9003C"/>
    <w:rsid w:val="00A90274"/>
    <w:rsid w:val="00A9030A"/>
    <w:rsid w:val="00A909B9"/>
    <w:rsid w:val="00A90BD9"/>
    <w:rsid w:val="00A90D90"/>
    <w:rsid w:val="00A90EEB"/>
    <w:rsid w:val="00A91294"/>
    <w:rsid w:val="00A913E7"/>
    <w:rsid w:val="00A913F2"/>
    <w:rsid w:val="00A91462"/>
    <w:rsid w:val="00A9179E"/>
    <w:rsid w:val="00A917C2"/>
    <w:rsid w:val="00A919A8"/>
    <w:rsid w:val="00A91D37"/>
    <w:rsid w:val="00A92721"/>
    <w:rsid w:val="00A92F5C"/>
    <w:rsid w:val="00A930B0"/>
    <w:rsid w:val="00A9394D"/>
    <w:rsid w:val="00A9395A"/>
    <w:rsid w:val="00A93D5C"/>
    <w:rsid w:val="00A93FB1"/>
    <w:rsid w:val="00A94166"/>
    <w:rsid w:val="00A94392"/>
    <w:rsid w:val="00A94D54"/>
    <w:rsid w:val="00A9538B"/>
    <w:rsid w:val="00A9559A"/>
    <w:rsid w:val="00A955B9"/>
    <w:rsid w:val="00A955CE"/>
    <w:rsid w:val="00A958D0"/>
    <w:rsid w:val="00A95AFF"/>
    <w:rsid w:val="00A95F82"/>
    <w:rsid w:val="00A963D2"/>
    <w:rsid w:val="00A970DD"/>
    <w:rsid w:val="00A97364"/>
    <w:rsid w:val="00A974B6"/>
    <w:rsid w:val="00A97767"/>
    <w:rsid w:val="00A97A28"/>
    <w:rsid w:val="00AA0063"/>
    <w:rsid w:val="00AA06B3"/>
    <w:rsid w:val="00AA0A5C"/>
    <w:rsid w:val="00AA1586"/>
    <w:rsid w:val="00AA1639"/>
    <w:rsid w:val="00AA1657"/>
    <w:rsid w:val="00AA1F72"/>
    <w:rsid w:val="00AA227F"/>
    <w:rsid w:val="00AA234F"/>
    <w:rsid w:val="00AA258A"/>
    <w:rsid w:val="00AA25B8"/>
    <w:rsid w:val="00AA2953"/>
    <w:rsid w:val="00AA2AF6"/>
    <w:rsid w:val="00AA2B56"/>
    <w:rsid w:val="00AA30D0"/>
    <w:rsid w:val="00AA31FC"/>
    <w:rsid w:val="00AA3555"/>
    <w:rsid w:val="00AA35A0"/>
    <w:rsid w:val="00AA386A"/>
    <w:rsid w:val="00AA3B8C"/>
    <w:rsid w:val="00AA3BE6"/>
    <w:rsid w:val="00AA42CF"/>
    <w:rsid w:val="00AA4697"/>
    <w:rsid w:val="00AA4838"/>
    <w:rsid w:val="00AA4CC7"/>
    <w:rsid w:val="00AA4CD9"/>
    <w:rsid w:val="00AA4FBB"/>
    <w:rsid w:val="00AA5183"/>
    <w:rsid w:val="00AA555B"/>
    <w:rsid w:val="00AA55C3"/>
    <w:rsid w:val="00AA5B59"/>
    <w:rsid w:val="00AA5B90"/>
    <w:rsid w:val="00AA5BDF"/>
    <w:rsid w:val="00AA5E8E"/>
    <w:rsid w:val="00AA608C"/>
    <w:rsid w:val="00AA6264"/>
    <w:rsid w:val="00AA66F9"/>
    <w:rsid w:val="00AA6778"/>
    <w:rsid w:val="00AA67DE"/>
    <w:rsid w:val="00AA684A"/>
    <w:rsid w:val="00AA6CF3"/>
    <w:rsid w:val="00AA6DC3"/>
    <w:rsid w:val="00AA6F1B"/>
    <w:rsid w:val="00AA73FF"/>
    <w:rsid w:val="00AA74BE"/>
    <w:rsid w:val="00AA75CA"/>
    <w:rsid w:val="00AA77F4"/>
    <w:rsid w:val="00AB0031"/>
    <w:rsid w:val="00AB00B2"/>
    <w:rsid w:val="00AB0472"/>
    <w:rsid w:val="00AB07C8"/>
    <w:rsid w:val="00AB07EB"/>
    <w:rsid w:val="00AB0B66"/>
    <w:rsid w:val="00AB0DDF"/>
    <w:rsid w:val="00AB0E1B"/>
    <w:rsid w:val="00AB0EBA"/>
    <w:rsid w:val="00AB0F0F"/>
    <w:rsid w:val="00AB103D"/>
    <w:rsid w:val="00AB1601"/>
    <w:rsid w:val="00AB1DEF"/>
    <w:rsid w:val="00AB1EFA"/>
    <w:rsid w:val="00AB2597"/>
    <w:rsid w:val="00AB2B39"/>
    <w:rsid w:val="00AB2DE9"/>
    <w:rsid w:val="00AB2FA7"/>
    <w:rsid w:val="00AB43AB"/>
    <w:rsid w:val="00AB43D6"/>
    <w:rsid w:val="00AB4443"/>
    <w:rsid w:val="00AB47A5"/>
    <w:rsid w:val="00AB4A5F"/>
    <w:rsid w:val="00AB4D00"/>
    <w:rsid w:val="00AB580D"/>
    <w:rsid w:val="00AB5929"/>
    <w:rsid w:val="00AB5DBF"/>
    <w:rsid w:val="00AB6147"/>
    <w:rsid w:val="00AB67A5"/>
    <w:rsid w:val="00AB6A80"/>
    <w:rsid w:val="00AB6CA7"/>
    <w:rsid w:val="00AB6D4B"/>
    <w:rsid w:val="00AB718D"/>
    <w:rsid w:val="00AB7531"/>
    <w:rsid w:val="00AB77DB"/>
    <w:rsid w:val="00AB7B36"/>
    <w:rsid w:val="00AB7B39"/>
    <w:rsid w:val="00AB7DA1"/>
    <w:rsid w:val="00AC018C"/>
    <w:rsid w:val="00AC08F0"/>
    <w:rsid w:val="00AC08F3"/>
    <w:rsid w:val="00AC0A76"/>
    <w:rsid w:val="00AC1119"/>
    <w:rsid w:val="00AC120B"/>
    <w:rsid w:val="00AC18BB"/>
    <w:rsid w:val="00AC2065"/>
    <w:rsid w:val="00AC2827"/>
    <w:rsid w:val="00AC2A93"/>
    <w:rsid w:val="00AC2CDE"/>
    <w:rsid w:val="00AC3021"/>
    <w:rsid w:val="00AC3500"/>
    <w:rsid w:val="00AC3523"/>
    <w:rsid w:val="00AC3532"/>
    <w:rsid w:val="00AC3F60"/>
    <w:rsid w:val="00AC4338"/>
    <w:rsid w:val="00AC434A"/>
    <w:rsid w:val="00AC4399"/>
    <w:rsid w:val="00AC4502"/>
    <w:rsid w:val="00AC4625"/>
    <w:rsid w:val="00AC4CC9"/>
    <w:rsid w:val="00AC5633"/>
    <w:rsid w:val="00AC56F7"/>
    <w:rsid w:val="00AC582F"/>
    <w:rsid w:val="00AC5979"/>
    <w:rsid w:val="00AC5BCF"/>
    <w:rsid w:val="00AC5CA5"/>
    <w:rsid w:val="00AC64BD"/>
    <w:rsid w:val="00AC67AC"/>
    <w:rsid w:val="00AC6A1F"/>
    <w:rsid w:val="00AC7333"/>
    <w:rsid w:val="00AC7985"/>
    <w:rsid w:val="00AC7A66"/>
    <w:rsid w:val="00AC7BA7"/>
    <w:rsid w:val="00AC7BF3"/>
    <w:rsid w:val="00AC7C41"/>
    <w:rsid w:val="00AD01E4"/>
    <w:rsid w:val="00AD0858"/>
    <w:rsid w:val="00AD0EBF"/>
    <w:rsid w:val="00AD1077"/>
    <w:rsid w:val="00AD14A1"/>
    <w:rsid w:val="00AD17DB"/>
    <w:rsid w:val="00AD1885"/>
    <w:rsid w:val="00AD1A5B"/>
    <w:rsid w:val="00AD1B36"/>
    <w:rsid w:val="00AD1CD2"/>
    <w:rsid w:val="00AD1D78"/>
    <w:rsid w:val="00AD2007"/>
    <w:rsid w:val="00AD217E"/>
    <w:rsid w:val="00AD2855"/>
    <w:rsid w:val="00AD2F53"/>
    <w:rsid w:val="00AD318F"/>
    <w:rsid w:val="00AD3368"/>
    <w:rsid w:val="00AD396D"/>
    <w:rsid w:val="00AD3B88"/>
    <w:rsid w:val="00AD3F7E"/>
    <w:rsid w:val="00AD4277"/>
    <w:rsid w:val="00AD4358"/>
    <w:rsid w:val="00AD4D3F"/>
    <w:rsid w:val="00AD4E76"/>
    <w:rsid w:val="00AD4F16"/>
    <w:rsid w:val="00AD50FF"/>
    <w:rsid w:val="00AD5422"/>
    <w:rsid w:val="00AD587E"/>
    <w:rsid w:val="00AD5D76"/>
    <w:rsid w:val="00AD6297"/>
    <w:rsid w:val="00AD6884"/>
    <w:rsid w:val="00AD6AEC"/>
    <w:rsid w:val="00AD6B04"/>
    <w:rsid w:val="00AD6D52"/>
    <w:rsid w:val="00AD6D53"/>
    <w:rsid w:val="00AD701D"/>
    <w:rsid w:val="00AD71C2"/>
    <w:rsid w:val="00AD766F"/>
    <w:rsid w:val="00AD781B"/>
    <w:rsid w:val="00AD794A"/>
    <w:rsid w:val="00AD7D7E"/>
    <w:rsid w:val="00AD7F9E"/>
    <w:rsid w:val="00AE007B"/>
    <w:rsid w:val="00AE09E1"/>
    <w:rsid w:val="00AE0FB8"/>
    <w:rsid w:val="00AE1112"/>
    <w:rsid w:val="00AE1220"/>
    <w:rsid w:val="00AE1487"/>
    <w:rsid w:val="00AE1DB4"/>
    <w:rsid w:val="00AE1F1B"/>
    <w:rsid w:val="00AE1FD5"/>
    <w:rsid w:val="00AE1FDC"/>
    <w:rsid w:val="00AE20D7"/>
    <w:rsid w:val="00AE2B23"/>
    <w:rsid w:val="00AE2B46"/>
    <w:rsid w:val="00AE2B86"/>
    <w:rsid w:val="00AE3009"/>
    <w:rsid w:val="00AE32AC"/>
    <w:rsid w:val="00AE3667"/>
    <w:rsid w:val="00AE368F"/>
    <w:rsid w:val="00AE389E"/>
    <w:rsid w:val="00AE392E"/>
    <w:rsid w:val="00AE4353"/>
    <w:rsid w:val="00AE4521"/>
    <w:rsid w:val="00AE4611"/>
    <w:rsid w:val="00AE4CB4"/>
    <w:rsid w:val="00AE5083"/>
    <w:rsid w:val="00AE5126"/>
    <w:rsid w:val="00AE5971"/>
    <w:rsid w:val="00AE5CEB"/>
    <w:rsid w:val="00AE6237"/>
    <w:rsid w:val="00AE63FE"/>
    <w:rsid w:val="00AE6421"/>
    <w:rsid w:val="00AE68DF"/>
    <w:rsid w:val="00AE6A0A"/>
    <w:rsid w:val="00AE6B85"/>
    <w:rsid w:val="00AE6BE5"/>
    <w:rsid w:val="00AE6D42"/>
    <w:rsid w:val="00AE6E06"/>
    <w:rsid w:val="00AE6E4A"/>
    <w:rsid w:val="00AE71B0"/>
    <w:rsid w:val="00AE730D"/>
    <w:rsid w:val="00AE7340"/>
    <w:rsid w:val="00AE739C"/>
    <w:rsid w:val="00AE7D23"/>
    <w:rsid w:val="00AE7FAE"/>
    <w:rsid w:val="00AF04C4"/>
    <w:rsid w:val="00AF053B"/>
    <w:rsid w:val="00AF060E"/>
    <w:rsid w:val="00AF091A"/>
    <w:rsid w:val="00AF0C0C"/>
    <w:rsid w:val="00AF0F8F"/>
    <w:rsid w:val="00AF109D"/>
    <w:rsid w:val="00AF173E"/>
    <w:rsid w:val="00AF184D"/>
    <w:rsid w:val="00AF1BBD"/>
    <w:rsid w:val="00AF2373"/>
    <w:rsid w:val="00AF26A6"/>
    <w:rsid w:val="00AF274E"/>
    <w:rsid w:val="00AF28F2"/>
    <w:rsid w:val="00AF2A98"/>
    <w:rsid w:val="00AF2DAB"/>
    <w:rsid w:val="00AF3067"/>
    <w:rsid w:val="00AF3635"/>
    <w:rsid w:val="00AF3F0F"/>
    <w:rsid w:val="00AF4340"/>
    <w:rsid w:val="00AF491D"/>
    <w:rsid w:val="00AF5197"/>
    <w:rsid w:val="00AF59F5"/>
    <w:rsid w:val="00AF5F4E"/>
    <w:rsid w:val="00AF626D"/>
    <w:rsid w:val="00AF63EE"/>
    <w:rsid w:val="00AF6726"/>
    <w:rsid w:val="00AF6CA1"/>
    <w:rsid w:val="00AF6D23"/>
    <w:rsid w:val="00AF6FF3"/>
    <w:rsid w:val="00AF7658"/>
    <w:rsid w:val="00AF7767"/>
    <w:rsid w:val="00AF7E26"/>
    <w:rsid w:val="00B00376"/>
    <w:rsid w:val="00B006A8"/>
    <w:rsid w:val="00B00887"/>
    <w:rsid w:val="00B00922"/>
    <w:rsid w:val="00B00B58"/>
    <w:rsid w:val="00B00BF0"/>
    <w:rsid w:val="00B00C5D"/>
    <w:rsid w:val="00B00EAC"/>
    <w:rsid w:val="00B01266"/>
    <w:rsid w:val="00B0134E"/>
    <w:rsid w:val="00B0176E"/>
    <w:rsid w:val="00B01E05"/>
    <w:rsid w:val="00B0295C"/>
    <w:rsid w:val="00B02CDD"/>
    <w:rsid w:val="00B0307F"/>
    <w:rsid w:val="00B03280"/>
    <w:rsid w:val="00B03414"/>
    <w:rsid w:val="00B03738"/>
    <w:rsid w:val="00B0373C"/>
    <w:rsid w:val="00B03A3A"/>
    <w:rsid w:val="00B04003"/>
    <w:rsid w:val="00B04463"/>
    <w:rsid w:val="00B045EE"/>
    <w:rsid w:val="00B04A9F"/>
    <w:rsid w:val="00B04B7C"/>
    <w:rsid w:val="00B04E55"/>
    <w:rsid w:val="00B0524B"/>
    <w:rsid w:val="00B05A1D"/>
    <w:rsid w:val="00B05BEA"/>
    <w:rsid w:val="00B05D18"/>
    <w:rsid w:val="00B05E5B"/>
    <w:rsid w:val="00B05F30"/>
    <w:rsid w:val="00B06465"/>
    <w:rsid w:val="00B06594"/>
    <w:rsid w:val="00B06766"/>
    <w:rsid w:val="00B0677C"/>
    <w:rsid w:val="00B06798"/>
    <w:rsid w:val="00B069D5"/>
    <w:rsid w:val="00B0737E"/>
    <w:rsid w:val="00B07612"/>
    <w:rsid w:val="00B07649"/>
    <w:rsid w:val="00B078D9"/>
    <w:rsid w:val="00B07B2F"/>
    <w:rsid w:val="00B07E5C"/>
    <w:rsid w:val="00B07E93"/>
    <w:rsid w:val="00B07E9B"/>
    <w:rsid w:val="00B10207"/>
    <w:rsid w:val="00B10324"/>
    <w:rsid w:val="00B107E0"/>
    <w:rsid w:val="00B10819"/>
    <w:rsid w:val="00B10CE6"/>
    <w:rsid w:val="00B10DCE"/>
    <w:rsid w:val="00B10E1E"/>
    <w:rsid w:val="00B10E9A"/>
    <w:rsid w:val="00B11B92"/>
    <w:rsid w:val="00B11CE0"/>
    <w:rsid w:val="00B11DB2"/>
    <w:rsid w:val="00B11E55"/>
    <w:rsid w:val="00B120D4"/>
    <w:rsid w:val="00B12284"/>
    <w:rsid w:val="00B123BC"/>
    <w:rsid w:val="00B128EA"/>
    <w:rsid w:val="00B12C8C"/>
    <w:rsid w:val="00B12D02"/>
    <w:rsid w:val="00B12D6C"/>
    <w:rsid w:val="00B12EB8"/>
    <w:rsid w:val="00B12F4E"/>
    <w:rsid w:val="00B13634"/>
    <w:rsid w:val="00B13C5C"/>
    <w:rsid w:val="00B141E7"/>
    <w:rsid w:val="00B14556"/>
    <w:rsid w:val="00B14726"/>
    <w:rsid w:val="00B14F80"/>
    <w:rsid w:val="00B14FF5"/>
    <w:rsid w:val="00B152D1"/>
    <w:rsid w:val="00B166A3"/>
    <w:rsid w:val="00B16BAF"/>
    <w:rsid w:val="00B20213"/>
    <w:rsid w:val="00B20524"/>
    <w:rsid w:val="00B20585"/>
    <w:rsid w:val="00B20589"/>
    <w:rsid w:val="00B209A6"/>
    <w:rsid w:val="00B216FC"/>
    <w:rsid w:val="00B21ABC"/>
    <w:rsid w:val="00B21B3C"/>
    <w:rsid w:val="00B21DAA"/>
    <w:rsid w:val="00B21F6C"/>
    <w:rsid w:val="00B22337"/>
    <w:rsid w:val="00B22423"/>
    <w:rsid w:val="00B22D59"/>
    <w:rsid w:val="00B235D5"/>
    <w:rsid w:val="00B23645"/>
    <w:rsid w:val="00B237BA"/>
    <w:rsid w:val="00B237CA"/>
    <w:rsid w:val="00B23F04"/>
    <w:rsid w:val="00B24256"/>
    <w:rsid w:val="00B243D4"/>
    <w:rsid w:val="00B25528"/>
    <w:rsid w:val="00B2568B"/>
    <w:rsid w:val="00B25747"/>
    <w:rsid w:val="00B25B45"/>
    <w:rsid w:val="00B25F8B"/>
    <w:rsid w:val="00B264B5"/>
    <w:rsid w:val="00B264BB"/>
    <w:rsid w:val="00B26586"/>
    <w:rsid w:val="00B26FBE"/>
    <w:rsid w:val="00B27123"/>
    <w:rsid w:val="00B2761F"/>
    <w:rsid w:val="00B3045D"/>
    <w:rsid w:val="00B306B4"/>
    <w:rsid w:val="00B306BC"/>
    <w:rsid w:val="00B31031"/>
    <w:rsid w:val="00B310CA"/>
    <w:rsid w:val="00B316E2"/>
    <w:rsid w:val="00B317BB"/>
    <w:rsid w:val="00B31A5F"/>
    <w:rsid w:val="00B32148"/>
    <w:rsid w:val="00B32781"/>
    <w:rsid w:val="00B327B1"/>
    <w:rsid w:val="00B32C7B"/>
    <w:rsid w:val="00B32EB3"/>
    <w:rsid w:val="00B330AC"/>
    <w:rsid w:val="00B3310A"/>
    <w:rsid w:val="00B33AEF"/>
    <w:rsid w:val="00B33BC7"/>
    <w:rsid w:val="00B340F3"/>
    <w:rsid w:val="00B3484D"/>
    <w:rsid w:val="00B349B6"/>
    <w:rsid w:val="00B34AE0"/>
    <w:rsid w:val="00B351B4"/>
    <w:rsid w:val="00B3577F"/>
    <w:rsid w:val="00B3583F"/>
    <w:rsid w:val="00B35B70"/>
    <w:rsid w:val="00B35DB9"/>
    <w:rsid w:val="00B36153"/>
    <w:rsid w:val="00B362BF"/>
    <w:rsid w:val="00B365ED"/>
    <w:rsid w:val="00B36CF7"/>
    <w:rsid w:val="00B37429"/>
    <w:rsid w:val="00B3752E"/>
    <w:rsid w:val="00B3785C"/>
    <w:rsid w:val="00B37CAB"/>
    <w:rsid w:val="00B37CF6"/>
    <w:rsid w:val="00B37F7E"/>
    <w:rsid w:val="00B4007C"/>
    <w:rsid w:val="00B40200"/>
    <w:rsid w:val="00B40335"/>
    <w:rsid w:val="00B403A3"/>
    <w:rsid w:val="00B40BDC"/>
    <w:rsid w:val="00B41118"/>
    <w:rsid w:val="00B414C3"/>
    <w:rsid w:val="00B41583"/>
    <w:rsid w:val="00B41631"/>
    <w:rsid w:val="00B416D3"/>
    <w:rsid w:val="00B416F5"/>
    <w:rsid w:val="00B4190E"/>
    <w:rsid w:val="00B41B02"/>
    <w:rsid w:val="00B41DD4"/>
    <w:rsid w:val="00B42776"/>
    <w:rsid w:val="00B42959"/>
    <w:rsid w:val="00B42C6D"/>
    <w:rsid w:val="00B42CF3"/>
    <w:rsid w:val="00B42EBB"/>
    <w:rsid w:val="00B4318C"/>
    <w:rsid w:val="00B4324F"/>
    <w:rsid w:val="00B43EEF"/>
    <w:rsid w:val="00B44398"/>
    <w:rsid w:val="00B443BC"/>
    <w:rsid w:val="00B44484"/>
    <w:rsid w:val="00B44E1F"/>
    <w:rsid w:val="00B44ED7"/>
    <w:rsid w:val="00B44EED"/>
    <w:rsid w:val="00B44F73"/>
    <w:rsid w:val="00B454C6"/>
    <w:rsid w:val="00B45549"/>
    <w:rsid w:val="00B456AC"/>
    <w:rsid w:val="00B4596C"/>
    <w:rsid w:val="00B459B3"/>
    <w:rsid w:val="00B459C1"/>
    <w:rsid w:val="00B45CBB"/>
    <w:rsid w:val="00B461DE"/>
    <w:rsid w:val="00B46476"/>
    <w:rsid w:val="00B467FA"/>
    <w:rsid w:val="00B46BCA"/>
    <w:rsid w:val="00B46BD6"/>
    <w:rsid w:val="00B46F87"/>
    <w:rsid w:val="00B472BF"/>
    <w:rsid w:val="00B4767D"/>
    <w:rsid w:val="00B476F6"/>
    <w:rsid w:val="00B478A0"/>
    <w:rsid w:val="00B47932"/>
    <w:rsid w:val="00B47A85"/>
    <w:rsid w:val="00B47C82"/>
    <w:rsid w:val="00B50148"/>
    <w:rsid w:val="00B5058C"/>
    <w:rsid w:val="00B50591"/>
    <w:rsid w:val="00B506C9"/>
    <w:rsid w:val="00B508E1"/>
    <w:rsid w:val="00B50DB7"/>
    <w:rsid w:val="00B50F14"/>
    <w:rsid w:val="00B510DE"/>
    <w:rsid w:val="00B511E5"/>
    <w:rsid w:val="00B51502"/>
    <w:rsid w:val="00B51756"/>
    <w:rsid w:val="00B51F50"/>
    <w:rsid w:val="00B52612"/>
    <w:rsid w:val="00B52979"/>
    <w:rsid w:val="00B52B6B"/>
    <w:rsid w:val="00B52CC6"/>
    <w:rsid w:val="00B52DFD"/>
    <w:rsid w:val="00B52F27"/>
    <w:rsid w:val="00B53643"/>
    <w:rsid w:val="00B5372F"/>
    <w:rsid w:val="00B53767"/>
    <w:rsid w:val="00B53D86"/>
    <w:rsid w:val="00B54206"/>
    <w:rsid w:val="00B545F4"/>
    <w:rsid w:val="00B54919"/>
    <w:rsid w:val="00B54C2F"/>
    <w:rsid w:val="00B54D5D"/>
    <w:rsid w:val="00B54F96"/>
    <w:rsid w:val="00B55469"/>
    <w:rsid w:val="00B55891"/>
    <w:rsid w:val="00B55C17"/>
    <w:rsid w:val="00B55C22"/>
    <w:rsid w:val="00B55F6D"/>
    <w:rsid w:val="00B5692C"/>
    <w:rsid w:val="00B576C8"/>
    <w:rsid w:val="00B579BE"/>
    <w:rsid w:val="00B57BC4"/>
    <w:rsid w:val="00B57E70"/>
    <w:rsid w:val="00B57F09"/>
    <w:rsid w:val="00B607CD"/>
    <w:rsid w:val="00B608E3"/>
    <w:rsid w:val="00B60C0D"/>
    <w:rsid w:val="00B60EE3"/>
    <w:rsid w:val="00B60F21"/>
    <w:rsid w:val="00B61525"/>
    <w:rsid w:val="00B61691"/>
    <w:rsid w:val="00B616F2"/>
    <w:rsid w:val="00B61A85"/>
    <w:rsid w:val="00B61C8B"/>
    <w:rsid w:val="00B61D6B"/>
    <w:rsid w:val="00B61ED0"/>
    <w:rsid w:val="00B62246"/>
    <w:rsid w:val="00B623EE"/>
    <w:rsid w:val="00B629BC"/>
    <w:rsid w:val="00B62EDD"/>
    <w:rsid w:val="00B641C3"/>
    <w:rsid w:val="00B64977"/>
    <w:rsid w:val="00B64AA7"/>
    <w:rsid w:val="00B64E7D"/>
    <w:rsid w:val="00B64FD2"/>
    <w:rsid w:val="00B651EE"/>
    <w:rsid w:val="00B6530C"/>
    <w:rsid w:val="00B65341"/>
    <w:rsid w:val="00B65858"/>
    <w:rsid w:val="00B65917"/>
    <w:rsid w:val="00B65C08"/>
    <w:rsid w:val="00B661C6"/>
    <w:rsid w:val="00B6680C"/>
    <w:rsid w:val="00B66D1C"/>
    <w:rsid w:val="00B6788F"/>
    <w:rsid w:val="00B67C9C"/>
    <w:rsid w:val="00B7004F"/>
    <w:rsid w:val="00B70231"/>
    <w:rsid w:val="00B702B5"/>
    <w:rsid w:val="00B70355"/>
    <w:rsid w:val="00B70962"/>
    <w:rsid w:val="00B70D0C"/>
    <w:rsid w:val="00B71387"/>
    <w:rsid w:val="00B714F5"/>
    <w:rsid w:val="00B719E7"/>
    <w:rsid w:val="00B71A89"/>
    <w:rsid w:val="00B72053"/>
    <w:rsid w:val="00B722BC"/>
    <w:rsid w:val="00B726D6"/>
    <w:rsid w:val="00B72B2D"/>
    <w:rsid w:val="00B72B7B"/>
    <w:rsid w:val="00B72E47"/>
    <w:rsid w:val="00B73087"/>
    <w:rsid w:val="00B7387A"/>
    <w:rsid w:val="00B739EB"/>
    <w:rsid w:val="00B74422"/>
    <w:rsid w:val="00B744B4"/>
    <w:rsid w:val="00B746A5"/>
    <w:rsid w:val="00B74C51"/>
    <w:rsid w:val="00B74C67"/>
    <w:rsid w:val="00B75249"/>
    <w:rsid w:val="00B753E5"/>
    <w:rsid w:val="00B756FD"/>
    <w:rsid w:val="00B75C1F"/>
    <w:rsid w:val="00B76279"/>
    <w:rsid w:val="00B7662D"/>
    <w:rsid w:val="00B76740"/>
    <w:rsid w:val="00B768C0"/>
    <w:rsid w:val="00B777DA"/>
    <w:rsid w:val="00B77F88"/>
    <w:rsid w:val="00B80181"/>
    <w:rsid w:val="00B80276"/>
    <w:rsid w:val="00B8074B"/>
    <w:rsid w:val="00B8115C"/>
    <w:rsid w:val="00B814CD"/>
    <w:rsid w:val="00B8157B"/>
    <w:rsid w:val="00B8161D"/>
    <w:rsid w:val="00B8164C"/>
    <w:rsid w:val="00B81769"/>
    <w:rsid w:val="00B81A52"/>
    <w:rsid w:val="00B81D9F"/>
    <w:rsid w:val="00B81E58"/>
    <w:rsid w:val="00B821C5"/>
    <w:rsid w:val="00B82438"/>
    <w:rsid w:val="00B82452"/>
    <w:rsid w:val="00B824A3"/>
    <w:rsid w:val="00B824E4"/>
    <w:rsid w:val="00B82E72"/>
    <w:rsid w:val="00B83BC3"/>
    <w:rsid w:val="00B83CE4"/>
    <w:rsid w:val="00B83D0A"/>
    <w:rsid w:val="00B84135"/>
    <w:rsid w:val="00B84481"/>
    <w:rsid w:val="00B845C2"/>
    <w:rsid w:val="00B84630"/>
    <w:rsid w:val="00B84636"/>
    <w:rsid w:val="00B84700"/>
    <w:rsid w:val="00B84A5B"/>
    <w:rsid w:val="00B84EF1"/>
    <w:rsid w:val="00B852BE"/>
    <w:rsid w:val="00B85376"/>
    <w:rsid w:val="00B856FB"/>
    <w:rsid w:val="00B859DD"/>
    <w:rsid w:val="00B863FA"/>
    <w:rsid w:val="00B86837"/>
    <w:rsid w:val="00B8689F"/>
    <w:rsid w:val="00B87806"/>
    <w:rsid w:val="00B879C6"/>
    <w:rsid w:val="00B87BC1"/>
    <w:rsid w:val="00B87EC9"/>
    <w:rsid w:val="00B90564"/>
    <w:rsid w:val="00B90874"/>
    <w:rsid w:val="00B90904"/>
    <w:rsid w:val="00B90936"/>
    <w:rsid w:val="00B910D1"/>
    <w:rsid w:val="00B91433"/>
    <w:rsid w:val="00B9156A"/>
    <w:rsid w:val="00B9176F"/>
    <w:rsid w:val="00B91BD8"/>
    <w:rsid w:val="00B91C88"/>
    <w:rsid w:val="00B91FCC"/>
    <w:rsid w:val="00B91FFD"/>
    <w:rsid w:val="00B92352"/>
    <w:rsid w:val="00B9253E"/>
    <w:rsid w:val="00B9272B"/>
    <w:rsid w:val="00B930DE"/>
    <w:rsid w:val="00B9313E"/>
    <w:rsid w:val="00B9317C"/>
    <w:rsid w:val="00B93181"/>
    <w:rsid w:val="00B93474"/>
    <w:rsid w:val="00B938FD"/>
    <w:rsid w:val="00B9393F"/>
    <w:rsid w:val="00B93CCC"/>
    <w:rsid w:val="00B94475"/>
    <w:rsid w:val="00B94561"/>
    <w:rsid w:val="00B94A3B"/>
    <w:rsid w:val="00B94A56"/>
    <w:rsid w:val="00B94A92"/>
    <w:rsid w:val="00B94D02"/>
    <w:rsid w:val="00B94F9D"/>
    <w:rsid w:val="00B953F3"/>
    <w:rsid w:val="00B95458"/>
    <w:rsid w:val="00B954F4"/>
    <w:rsid w:val="00B95AC7"/>
    <w:rsid w:val="00B95CC9"/>
    <w:rsid w:val="00B96280"/>
    <w:rsid w:val="00B96437"/>
    <w:rsid w:val="00B964B2"/>
    <w:rsid w:val="00B96A5E"/>
    <w:rsid w:val="00B96BE0"/>
    <w:rsid w:val="00B97001"/>
    <w:rsid w:val="00B970F9"/>
    <w:rsid w:val="00B9739D"/>
    <w:rsid w:val="00B97FD3"/>
    <w:rsid w:val="00BA0415"/>
    <w:rsid w:val="00BA0537"/>
    <w:rsid w:val="00BA063D"/>
    <w:rsid w:val="00BA07D6"/>
    <w:rsid w:val="00BA132B"/>
    <w:rsid w:val="00BA1364"/>
    <w:rsid w:val="00BA15E6"/>
    <w:rsid w:val="00BA1A50"/>
    <w:rsid w:val="00BA1CF6"/>
    <w:rsid w:val="00BA21F0"/>
    <w:rsid w:val="00BA2405"/>
    <w:rsid w:val="00BA27A4"/>
    <w:rsid w:val="00BA2BA9"/>
    <w:rsid w:val="00BA2D07"/>
    <w:rsid w:val="00BA37EF"/>
    <w:rsid w:val="00BA38BE"/>
    <w:rsid w:val="00BA390A"/>
    <w:rsid w:val="00BA4571"/>
    <w:rsid w:val="00BA47D9"/>
    <w:rsid w:val="00BA4969"/>
    <w:rsid w:val="00BA554F"/>
    <w:rsid w:val="00BA652B"/>
    <w:rsid w:val="00BA6AC6"/>
    <w:rsid w:val="00BA6B17"/>
    <w:rsid w:val="00BA6BBA"/>
    <w:rsid w:val="00BA6C71"/>
    <w:rsid w:val="00BA707E"/>
    <w:rsid w:val="00BA7371"/>
    <w:rsid w:val="00BA77FD"/>
    <w:rsid w:val="00BA794F"/>
    <w:rsid w:val="00BA7EB0"/>
    <w:rsid w:val="00BB01AC"/>
    <w:rsid w:val="00BB0741"/>
    <w:rsid w:val="00BB08A5"/>
    <w:rsid w:val="00BB0D0D"/>
    <w:rsid w:val="00BB0EE6"/>
    <w:rsid w:val="00BB147F"/>
    <w:rsid w:val="00BB1695"/>
    <w:rsid w:val="00BB20E5"/>
    <w:rsid w:val="00BB229E"/>
    <w:rsid w:val="00BB240E"/>
    <w:rsid w:val="00BB25B6"/>
    <w:rsid w:val="00BB2AF2"/>
    <w:rsid w:val="00BB3004"/>
    <w:rsid w:val="00BB30A5"/>
    <w:rsid w:val="00BB359A"/>
    <w:rsid w:val="00BB36A0"/>
    <w:rsid w:val="00BB4946"/>
    <w:rsid w:val="00BB4A3D"/>
    <w:rsid w:val="00BB4BB0"/>
    <w:rsid w:val="00BB4CE3"/>
    <w:rsid w:val="00BB4DA1"/>
    <w:rsid w:val="00BB4FB4"/>
    <w:rsid w:val="00BB542C"/>
    <w:rsid w:val="00BB583C"/>
    <w:rsid w:val="00BB59F2"/>
    <w:rsid w:val="00BB5A33"/>
    <w:rsid w:val="00BB5E19"/>
    <w:rsid w:val="00BB625B"/>
    <w:rsid w:val="00BB62C3"/>
    <w:rsid w:val="00BB63FA"/>
    <w:rsid w:val="00BB6CD2"/>
    <w:rsid w:val="00BB7406"/>
    <w:rsid w:val="00BB74BD"/>
    <w:rsid w:val="00BB75AD"/>
    <w:rsid w:val="00BB7B92"/>
    <w:rsid w:val="00BC01CB"/>
    <w:rsid w:val="00BC0437"/>
    <w:rsid w:val="00BC04AE"/>
    <w:rsid w:val="00BC09C9"/>
    <w:rsid w:val="00BC0B76"/>
    <w:rsid w:val="00BC0C38"/>
    <w:rsid w:val="00BC0CEC"/>
    <w:rsid w:val="00BC1012"/>
    <w:rsid w:val="00BC11F8"/>
    <w:rsid w:val="00BC1A23"/>
    <w:rsid w:val="00BC1BDF"/>
    <w:rsid w:val="00BC2413"/>
    <w:rsid w:val="00BC2487"/>
    <w:rsid w:val="00BC24A9"/>
    <w:rsid w:val="00BC2534"/>
    <w:rsid w:val="00BC271C"/>
    <w:rsid w:val="00BC342B"/>
    <w:rsid w:val="00BC35ED"/>
    <w:rsid w:val="00BC37CC"/>
    <w:rsid w:val="00BC389C"/>
    <w:rsid w:val="00BC38FD"/>
    <w:rsid w:val="00BC3FA6"/>
    <w:rsid w:val="00BC428B"/>
    <w:rsid w:val="00BC4C2F"/>
    <w:rsid w:val="00BC4F60"/>
    <w:rsid w:val="00BC507A"/>
    <w:rsid w:val="00BC5252"/>
    <w:rsid w:val="00BC5603"/>
    <w:rsid w:val="00BC5C8E"/>
    <w:rsid w:val="00BC5D47"/>
    <w:rsid w:val="00BC6374"/>
    <w:rsid w:val="00BC68F6"/>
    <w:rsid w:val="00BC6E42"/>
    <w:rsid w:val="00BC789D"/>
    <w:rsid w:val="00BC7A34"/>
    <w:rsid w:val="00BC7B02"/>
    <w:rsid w:val="00BD02F8"/>
    <w:rsid w:val="00BD03EE"/>
    <w:rsid w:val="00BD0654"/>
    <w:rsid w:val="00BD072A"/>
    <w:rsid w:val="00BD08B5"/>
    <w:rsid w:val="00BD0D7B"/>
    <w:rsid w:val="00BD0FC7"/>
    <w:rsid w:val="00BD10CF"/>
    <w:rsid w:val="00BD1386"/>
    <w:rsid w:val="00BD1774"/>
    <w:rsid w:val="00BD17B8"/>
    <w:rsid w:val="00BD1D5D"/>
    <w:rsid w:val="00BD1D5F"/>
    <w:rsid w:val="00BD20B8"/>
    <w:rsid w:val="00BD220D"/>
    <w:rsid w:val="00BD2447"/>
    <w:rsid w:val="00BD2615"/>
    <w:rsid w:val="00BD2E6B"/>
    <w:rsid w:val="00BD338B"/>
    <w:rsid w:val="00BD48A4"/>
    <w:rsid w:val="00BD4983"/>
    <w:rsid w:val="00BD4B60"/>
    <w:rsid w:val="00BD4CF3"/>
    <w:rsid w:val="00BD4F58"/>
    <w:rsid w:val="00BD52B5"/>
    <w:rsid w:val="00BD550F"/>
    <w:rsid w:val="00BD56BB"/>
    <w:rsid w:val="00BD58E3"/>
    <w:rsid w:val="00BD5E99"/>
    <w:rsid w:val="00BD60BA"/>
    <w:rsid w:val="00BD692E"/>
    <w:rsid w:val="00BD6BC6"/>
    <w:rsid w:val="00BD6E5A"/>
    <w:rsid w:val="00BD7145"/>
    <w:rsid w:val="00BD7368"/>
    <w:rsid w:val="00BD736A"/>
    <w:rsid w:val="00BD7635"/>
    <w:rsid w:val="00BD773A"/>
    <w:rsid w:val="00BE0262"/>
    <w:rsid w:val="00BE0A2F"/>
    <w:rsid w:val="00BE10E0"/>
    <w:rsid w:val="00BE1163"/>
    <w:rsid w:val="00BE1428"/>
    <w:rsid w:val="00BE1884"/>
    <w:rsid w:val="00BE1FC1"/>
    <w:rsid w:val="00BE20B8"/>
    <w:rsid w:val="00BE2258"/>
    <w:rsid w:val="00BE22ED"/>
    <w:rsid w:val="00BE2D00"/>
    <w:rsid w:val="00BE2E74"/>
    <w:rsid w:val="00BE3056"/>
    <w:rsid w:val="00BE312F"/>
    <w:rsid w:val="00BE34FD"/>
    <w:rsid w:val="00BE3A80"/>
    <w:rsid w:val="00BE3AA2"/>
    <w:rsid w:val="00BE3F19"/>
    <w:rsid w:val="00BE412C"/>
    <w:rsid w:val="00BE43FC"/>
    <w:rsid w:val="00BE4522"/>
    <w:rsid w:val="00BE4AC7"/>
    <w:rsid w:val="00BE4E34"/>
    <w:rsid w:val="00BE511C"/>
    <w:rsid w:val="00BE597D"/>
    <w:rsid w:val="00BE5F03"/>
    <w:rsid w:val="00BE614B"/>
    <w:rsid w:val="00BE637E"/>
    <w:rsid w:val="00BE63B0"/>
    <w:rsid w:val="00BE6976"/>
    <w:rsid w:val="00BE6CB2"/>
    <w:rsid w:val="00BE6EA5"/>
    <w:rsid w:val="00BE71C3"/>
    <w:rsid w:val="00BE77BB"/>
    <w:rsid w:val="00BE7AD6"/>
    <w:rsid w:val="00BE7E27"/>
    <w:rsid w:val="00BF05D5"/>
    <w:rsid w:val="00BF0B6F"/>
    <w:rsid w:val="00BF0C84"/>
    <w:rsid w:val="00BF0FF0"/>
    <w:rsid w:val="00BF1222"/>
    <w:rsid w:val="00BF127D"/>
    <w:rsid w:val="00BF164F"/>
    <w:rsid w:val="00BF199D"/>
    <w:rsid w:val="00BF1D28"/>
    <w:rsid w:val="00BF1FF1"/>
    <w:rsid w:val="00BF22DD"/>
    <w:rsid w:val="00BF2378"/>
    <w:rsid w:val="00BF2A3A"/>
    <w:rsid w:val="00BF2BCB"/>
    <w:rsid w:val="00BF3068"/>
    <w:rsid w:val="00BF3371"/>
    <w:rsid w:val="00BF3436"/>
    <w:rsid w:val="00BF34EC"/>
    <w:rsid w:val="00BF3A33"/>
    <w:rsid w:val="00BF3B8F"/>
    <w:rsid w:val="00BF3E20"/>
    <w:rsid w:val="00BF413D"/>
    <w:rsid w:val="00BF4343"/>
    <w:rsid w:val="00BF4A84"/>
    <w:rsid w:val="00BF4AF3"/>
    <w:rsid w:val="00BF4F5B"/>
    <w:rsid w:val="00BF5537"/>
    <w:rsid w:val="00BF55C7"/>
    <w:rsid w:val="00BF57CC"/>
    <w:rsid w:val="00BF5C18"/>
    <w:rsid w:val="00BF5DA0"/>
    <w:rsid w:val="00BF6325"/>
    <w:rsid w:val="00BF643D"/>
    <w:rsid w:val="00BF64E0"/>
    <w:rsid w:val="00BF6501"/>
    <w:rsid w:val="00BF691B"/>
    <w:rsid w:val="00BF782C"/>
    <w:rsid w:val="00C00142"/>
    <w:rsid w:val="00C001BC"/>
    <w:rsid w:val="00C0043F"/>
    <w:rsid w:val="00C0052D"/>
    <w:rsid w:val="00C00D75"/>
    <w:rsid w:val="00C010B4"/>
    <w:rsid w:val="00C01296"/>
    <w:rsid w:val="00C015D3"/>
    <w:rsid w:val="00C01681"/>
    <w:rsid w:val="00C016B3"/>
    <w:rsid w:val="00C01871"/>
    <w:rsid w:val="00C018AD"/>
    <w:rsid w:val="00C01C33"/>
    <w:rsid w:val="00C01FE1"/>
    <w:rsid w:val="00C0242F"/>
    <w:rsid w:val="00C02F15"/>
    <w:rsid w:val="00C034CB"/>
    <w:rsid w:val="00C034F3"/>
    <w:rsid w:val="00C0380F"/>
    <w:rsid w:val="00C04547"/>
    <w:rsid w:val="00C04C72"/>
    <w:rsid w:val="00C04F22"/>
    <w:rsid w:val="00C04F87"/>
    <w:rsid w:val="00C05140"/>
    <w:rsid w:val="00C051A8"/>
    <w:rsid w:val="00C05265"/>
    <w:rsid w:val="00C05360"/>
    <w:rsid w:val="00C05365"/>
    <w:rsid w:val="00C054BC"/>
    <w:rsid w:val="00C0562E"/>
    <w:rsid w:val="00C0566C"/>
    <w:rsid w:val="00C05B13"/>
    <w:rsid w:val="00C06159"/>
    <w:rsid w:val="00C063B0"/>
    <w:rsid w:val="00C063DA"/>
    <w:rsid w:val="00C063EA"/>
    <w:rsid w:val="00C067D9"/>
    <w:rsid w:val="00C068AE"/>
    <w:rsid w:val="00C068B4"/>
    <w:rsid w:val="00C06AD9"/>
    <w:rsid w:val="00C06C0D"/>
    <w:rsid w:val="00C06D87"/>
    <w:rsid w:val="00C06E51"/>
    <w:rsid w:val="00C072D4"/>
    <w:rsid w:val="00C07315"/>
    <w:rsid w:val="00C0737F"/>
    <w:rsid w:val="00C07489"/>
    <w:rsid w:val="00C0754F"/>
    <w:rsid w:val="00C0780C"/>
    <w:rsid w:val="00C07B5B"/>
    <w:rsid w:val="00C07E48"/>
    <w:rsid w:val="00C07E62"/>
    <w:rsid w:val="00C104A6"/>
    <w:rsid w:val="00C10580"/>
    <w:rsid w:val="00C10713"/>
    <w:rsid w:val="00C10AEA"/>
    <w:rsid w:val="00C11A81"/>
    <w:rsid w:val="00C11E79"/>
    <w:rsid w:val="00C122AE"/>
    <w:rsid w:val="00C123F2"/>
    <w:rsid w:val="00C12451"/>
    <w:rsid w:val="00C12960"/>
    <w:rsid w:val="00C130F5"/>
    <w:rsid w:val="00C13329"/>
    <w:rsid w:val="00C1334D"/>
    <w:rsid w:val="00C13531"/>
    <w:rsid w:val="00C135C2"/>
    <w:rsid w:val="00C13987"/>
    <w:rsid w:val="00C145EA"/>
    <w:rsid w:val="00C146AB"/>
    <w:rsid w:val="00C149F3"/>
    <w:rsid w:val="00C152DE"/>
    <w:rsid w:val="00C15425"/>
    <w:rsid w:val="00C15AD7"/>
    <w:rsid w:val="00C15CBF"/>
    <w:rsid w:val="00C15D4A"/>
    <w:rsid w:val="00C1648C"/>
    <w:rsid w:val="00C164EF"/>
    <w:rsid w:val="00C16D07"/>
    <w:rsid w:val="00C16E1E"/>
    <w:rsid w:val="00C16E34"/>
    <w:rsid w:val="00C16EC7"/>
    <w:rsid w:val="00C16F07"/>
    <w:rsid w:val="00C16F49"/>
    <w:rsid w:val="00C17033"/>
    <w:rsid w:val="00C17105"/>
    <w:rsid w:val="00C17185"/>
    <w:rsid w:val="00C17897"/>
    <w:rsid w:val="00C1799A"/>
    <w:rsid w:val="00C200CA"/>
    <w:rsid w:val="00C20277"/>
    <w:rsid w:val="00C20575"/>
    <w:rsid w:val="00C2066A"/>
    <w:rsid w:val="00C20F02"/>
    <w:rsid w:val="00C210BE"/>
    <w:rsid w:val="00C21984"/>
    <w:rsid w:val="00C21BEE"/>
    <w:rsid w:val="00C21D42"/>
    <w:rsid w:val="00C21F01"/>
    <w:rsid w:val="00C21FB3"/>
    <w:rsid w:val="00C22085"/>
    <w:rsid w:val="00C224CB"/>
    <w:rsid w:val="00C22623"/>
    <w:rsid w:val="00C22939"/>
    <w:rsid w:val="00C2338D"/>
    <w:rsid w:val="00C2345E"/>
    <w:rsid w:val="00C24409"/>
    <w:rsid w:val="00C2453D"/>
    <w:rsid w:val="00C248DA"/>
    <w:rsid w:val="00C2498B"/>
    <w:rsid w:val="00C24DA1"/>
    <w:rsid w:val="00C251E3"/>
    <w:rsid w:val="00C25227"/>
    <w:rsid w:val="00C25325"/>
    <w:rsid w:val="00C254DA"/>
    <w:rsid w:val="00C255BD"/>
    <w:rsid w:val="00C259B6"/>
    <w:rsid w:val="00C25A2B"/>
    <w:rsid w:val="00C25A4D"/>
    <w:rsid w:val="00C25EEE"/>
    <w:rsid w:val="00C25F6A"/>
    <w:rsid w:val="00C25FA5"/>
    <w:rsid w:val="00C260F1"/>
    <w:rsid w:val="00C262B2"/>
    <w:rsid w:val="00C26AA9"/>
    <w:rsid w:val="00C27378"/>
    <w:rsid w:val="00C278F5"/>
    <w:rsid w:val="00C27A47"/>
    <w:rsid w:val="00C27A7D"/>
    <w:rsid w:val="00C27B87"/>
    <w:rsid w:val="00C27BFF"/>
    <w:rsid w:val="00C27D92"/>
    <w:rsid w:val="00C3020B"/>
    <w:rsid w:val="00C30416"/>
    <w:rsid w:val="00C304ED"/>
    <w:rsid w:val="00C30A4D"/>
    <w:rsid w:val="00C30E1A"/>
    <w:rsid w:val="00C30ED5"/>
    <w:rsid w:val="00C3101E"/>
    <w:rsid w:val="00C310B8"/>
    <w:rsid w:val="00C316D6"/>
    <w:rsid w:val="00C3198A"/>
    <w:rsid w:val="00C31FAF"/>
    <w:rsid w:val="00C320BC"/>
    <w:rsid w:val="00C32462"/>
    <w:rsid w:val="00C328B9"/>
    <w:rsid w:val="00C32B9C"/>
    <w:rsid w:val="00C32C1A"/>
    <w:rsid w:val="00C335F6"/>
    <w:rsid w:val="00C3378A"/>
    <w:rsid w:val="00C3395A"/>
    <w:rsid w:val="00C340A7"/>
    <w:rsid w:val="00C346DB"/>
    <w:rsid w:val="00C3478E"/>
    <w:rsid w:val="00C34945"/>
    <w:rsid w:val="00C34AB3"/>
    <w:rsid w:val="00C34AE6"/>
    <w:rsid w:val="00C351E8"/>
    <w:rsid w:val="00C3532F"/>
    <w:rsid w:val="00C35514"/>
    <w:rsid w:val="00C35531"/>
    <w:rsid w:val="00C35EAD"/>
    <w:rsid w:val="00C35FC3"/>
    <w:rsid w:val="00C35FD7"/>
    <w:rsid w:val="00C365A6"/>
    <w:rsid w:val="00C36AC7"/>
    <w:rsid w:val="00C36E7F"/>
    <w:rsid w:val="00C3740A"/>
    <w:rsid w:val="00C37827"/>
    <w:rsid w:val="00C37DCE"/>
    <w:rsid w:val="00C40098"/>
    <w:rsid w:val="00C40303"/>
    <w:rsid w:val="00C405CF"/>
    <w:rsid w:val="00C409D5"/>
    <w:rsid w:val="00C40E42"/>
    <w:rsid w:val="00C41525"/>
    <w:rsid w:val="00C419C4"/>
    <w:rsid w:val="00C41A25"/>
    <w:rsid w:val="00C41E3A"/>
    <w:rsid w:val="00C420DD"/>
    <w:rsid w:val="00C421F5"/>
    <w:rsid w:val="00C422B7"/>
    <w:rsid w:val="00C42503"/>
    <w:rsid w:val="00C43041"/>
    <w:rsid w:val="00C431C9"/>
    <w:rsid w:val="00C4320C"/>
    <w:rsid w:val="00C4348B"/>
    <w:rsid w:val="00C43538"/>
    <w:rsid w:val="00C435C3"/>
    <w:rsid w:val="00C439B5"/>
    <w:rsid w:val="00C43BC5"/>
    <w:rsid w:val="00C43DEE"/>
    <w:rsid w:val="00C43E46"/>
    <w:rsid w:val="00C43E8B"/>
    <w:rsid w:val="00C43F3E"/>
    <w:rsid w:val="00C43F7E"/>
    <w:rsid w:val="00C43FB3"/>
    <w:rsid w:val="00C440CA"/>
    <w:rsid w:val="00C4473A"/>
    <w:rsid w:val="00C448BB"/>
    <w:rsid w:val="00C44B94"/>
    <w:rsid w:val="00C454D2"/>
    <w:rsid w:val="00C4564A"/>
    <w:rsid w:val="00C4593E"/>
    <w:rsid w:val="00C45C07"/>
    <w:rsid w:val="00C45C1D"/>
    <w:rsid w:val="00C45C66"/>
    <w:rsid w:val="00C45D10"/>
    <w:rsid w:val="00C461F9"/>
    <w:rsid w:val="00C464C1"/>
    <w:rsid w:val="00C4653A"/>
    <w:rsid w:val="00C46D54"/>
    <w:rsid w:val="00C46D70"/>
    <w:rsid w:val="00C46EC0"/>
    <w:rsid w:val="00C47123"/>
    <w:rsid w:val="00C474BA"/>
    <w:rsid w:val="00C4799E"/>
    <w:rsid w:val="00C479E4"/>
    <w:rsid w:val="00C47AAC"/>
    <w:rsid w:val="00C47B80"/>
    <w:rsid w:val="00C47E68"/>
    <w:rsid w:val="00C47EB1"/>
    <w:rsid w:val="00C503C9"/>
    <w:rsid w:val="00C504F0"/>
    <w:rsid w:val="00C505AE"/>
    <w:rsid w:val="00C5086F"/>
    <w:rsid w:val="00C50C61"/>
    <w:rsid w:val="00C50CB6"/>
    <w:rsid w:val="00C5120A"/>
    <w:rsid w:val="00C51339"/>
    <w:rsid w:val="00C51655"/>
    <w:rsid w:val="00C51684"/>
    <w:rsid w:val="00C516CC"/>
    <w:rsid w:val="00C51C0F"/>
    <w:rsid w:val="00C51C34"/>
    <w:rsid w:val="00C51F22"/>
    <w:rsid w:val="00C521D6"/>
    <w:rsid w:val="00C52352"/>
    <w:rsid w:val="00C52436"/>
    <w:rsid w:val="00C524B2"/>
    <w:rsid w:val="00C52731"/>
    <w:rsid w:val="00C52A8F"/>
    <w:rsid w:val="00C52B05"/>
    <w:rsid w:val="00C53986"/>
    <w:rsid w:val="00C53ACA"/>
    <w:rsid w:val="00C53CD9"/>
    <w:rsid w:val="00C53FE8"/>
    <w:rsid w:val="00C5411A"/>
    <w:rsid w:val="00C54C0D"/>
    <w:rsid w:val="00C54F96"/>
    <w:rsid w:val="00C54FEC"/>
    <w:rsid w:val="00C5513B"/>
    <w:rsid w:val="00C55363"/>
    <w:rsid w:val="00C5553B"/>
    <w:rsid w:val="00C55A70"/>
    <w:rsid w:val="00C563E4"/>
    <w:rsid w:val="00C56429"/>
    <w:rsid w:val="00C5643A"/>
    <w:rsid w:val="00C5651E"/>
    <w:rsid w:val="00C56625"/>
    <w:rsid w:val="00C56814"/>
    <w:rsid w:val="00C5685E"/>
    <w:rsid w:val="00C5694D"/>
    <w:rsid w:val="00C56B63"/>
    <w:rsid w:val="00C57070"/>
    <w:rsid w:val="00C572BC"/>
    <w:rsid w:val="00C5735D"/>
    <w:rsid w:val="00C5750E"/>
    <w:rsid w:val="00C57545"/>
    <w:rsid w:val="00C578BA"/>
    <w:rsid w:val="00C57E99"/>
    <w:rsid w:val="00C57F24"/>
    <w:rsid w:val="00C610E4"/>
    <w:rsid w:val="00C61420"/>
    <w:rsid w:val="00C61528"/>
    <w:rsid w:val="00C61673"/>
    <w:rsid w:val="00C61685"/>
    <w:rsid w:val="00C61826"/>
    <w:rsid w:val="00C61E8A"/>
    <w:rsid w:val="00C61EFC"/>
    <w:rsid w:val="00C620E1"/>
    <w:rsid w:val="00C6234B"/>
    <w:rsid w:val="00C624AE"/>
    <w:rsid w:val="00C62896"/>
    <w:rsid w:val="00C62FA9"/>
    <w:rsid w:val="00C63295"/>
    <w:rsid w:val="00C6332A"/>
    <w:rsid w:val="00C6345E"/>
    <w:rsid w:val="00C63554"/>
    <w:rsid w:val="00C63C85"/>
    <w:rsid w:val="00C63D2B"/>
    <w:rsid w:val="00C63EAE"/>
    <w:rsid w:val="00C64337"/>
    <w:rsid w:val="00C64B34"/>
    <w:rsid w:val="00C64EBD"/>
    <w:rsid w:val="00C6530D"/>
    <w:rsid w:val="00C658D2"/>
    <w:rsid w:val="00C65B01"/>
    <w:rsid w:val="00C65F90"/>
    <w:rsid w:val="00C66102"/>
    <w:rsid w:val="00C66288"/>
    <w:rsid w:val="00C66994"/>
    <w:rsid w:val="00C669A5"/>
    <w:rsid w:val="00C66A9C"/>
    <w:rsid w:val="00C66D05"/>
    <w:rsid w:val="00C66EF2"/>
    <w:rsid w:val="00C67449"/>
    <w:rsid w:val="00C67934"/>
    <w:rsid w:val="00C67B8D"/>
    <w:rsid w:val="00C67D0A"/>
    <w:rsid w:val="00C70502"/>
    <w:rsid w:val="00C7056C"/>
    <w:rsid w:val="00C707A7"/>
    <w:rsid w:val="00C70A3E"/>
    <w:rsid w:val="00C70CED"/>
    <w:rsid w:val="00C70DCE"/>
    <w:rsid w:val="00C70F67"/>
    <w:rsid w:val="00C7101C"/>
    <w:rsid w:val="00C71119"/>
    <w:rsid w:val="00C71383"/>
    <w:rsid w:val="00C713B9"/>
    <w:rsid w:val="00C7177D"/>
    <w:rsid w:val="00C718ED"/>
    <w:rsid w:val="00C71CD7"/>
    <w:rsid w:val="00C71FF7"/>
    <w:rsid w:val="00C722B7"/>
    <w:rsid w:val="00C72EBF"/>
    <w:rsid w:val="00C72F3A"/>
    <w:rsid w:val="00C7327E"/>
    <w:rsid w:val="00C738B6"/>
    <w:rsid w:val="00C73915"/>
    <w:rsid w:val="00C73BD5"/>
    <w:rsid w:val="00C73F70"/>
    <w:rsid w:val="00C73FE9"/>
    <w:rsid w:val="00C745D5"/>
    <w:rsid w:val="00C74A6C"/>
    <w:rsid w:val="00C74B96"/>
    <w:rsid w:val="00C74CCB"/>
    <w:rsid w:val="00C74CD6"/>
    <w:rsid w:val="00C752B7"/>
    <w:rsid w:val="00C756B3"/>
    <w:rsid w:val="00C75884"/>
    <w:rsid w:val="00C7593E"/>
    <w:rsid w:val="00C75964"/>
    <w:rsid w:val="00C75DA0"/>
    <w:rsid w:val="00C75DB5"/>
    <w:rsid w:val="00C75F07"/>
    <w:rsid w:val="00C7629F"/>
    <w:rsid w:val="00C76635"/>
    <w:rsid w:val="00C769B0"/>
    <w:rsid w:val="00C76C96"/>
    <w:rsid w:val="00C76DCC"/>
    <w:rsid w:val="00C76E36"/>
    <w:rsid w:val="00C76EC2"/>
    <w:rsid w:val="00C76EC5"/>
    <w:rsid w:val="00C7702A"/>
    <w:rsid w:val="00C77177"/>
    <w:rsid w:val="00C77185"/>
    <w:rsid w:val="00C7740C"/>
    <w:rsid w:val="00C77E93"/>
    <w:rsid w:val="00C77F9A"/>
    <w:rsid w:val="00C80052"/>
    <w:rsid w:val="00C80696"/>
    <w:rsid w:val="00C80845"/>
    <w:rsid w:val="00C80EC1"/>
    <w:rsid w:val="00C80F0D"/>
    <w:rsid w:val="00C812E4"/>
    <w:rsid w:val="00C81674"/>
    <w:rsid w:val="00C81857"/>
    <w:rsid w:val="00C81A85"/>
    <w:rsid w:val="00C81E2E"/>
    <w:rsid w:val="00C81E60"/>
    <w:rsid w:val="00C8202E"/>
    <w:rsid w:val="00C821AE"/>
    <w:rsid w:val="00C82280"/>
    <w:rsid w:val="00C827E7"/>
    <w:rsid w:val="00C82FC1"/>
    <w:rsid w:val="00C83007"/>
    <w:rsid w:val="00C834FD"/>
    <w:rsid w:val="00C83648"/>
    <w:rsid w:val="00C83E38"/>
    <w:rsid w:val="00C84324"/>
    <w:rsid w:val="00C84582"/>
    <w:rsid w:val="00C8489E"/>
    <w:rsid w:val="00C84B6F"/>
    <w:rsid w:val="00C854C5"/>
    <w:rsid w:val="00C855D2"/>
    <w:rsid w:val="00C856CE"/>
    <w:rsid w:val="00C85BCB"/>
    <w:rsid w:val="00C86314"/>
    <w:rsid w:val="00C8647B"/>
    <w:rsid w:val="00C865D4"/>
    <w:rsid w:val="00C8661B"/>
    <w:rsid w:val="00C86A25"/>
    <w:rsid w:val="00C86A6F"/>
    <w:rsid w:val="00C86BC3"/>
    <w:rsid w:val="00C86CFB"/>
    <w:rsid w:val="00C86FCF"/>
    <w:rsid w:val="00C8734F"/>
    <w:rsid w:val="00C87698"/>
    <w:rsid w:val="00C87937"/>
    <w:rsid w:val="00C87AE3"/>
    <w:rsid w:val="00C87C0D"/>
    <w:rsid w:val="00C87C2A"/>
    <w:rsid w:val="00C9007E"/>
    <w:rsid w:val="00C90A9B"/>
    <w:rsid w:val="00C90CA2"/>
    <w:rsid w:val="00C911C3"/>
    <w:rsid w:val="00C9134D"/>
    <w:rsid w:val="00C9163E"/>
    <w:rsid w:val="00C91AD0"/>
    <w:rsid w:val="00C91D40"/>
    <w:rsid w:val="00C91DAA"/>
    <w:rsid w:val="00C9275E"/>
    <w:rsid w:val="00C92948"/>
    <w:rsid w:val="00C92BC5"/>
    <w:rsid w:val="00C92EB0"/>
    <w:rsid w:val="00C937B4"/>
    <w:rsid w:val="00C93F62"/>
    <w:rsid w:val="00C93FB5"/>
    <w:rsid w:val="00C9410E"/>
    <w:rsid w:val="00C9430C"/>
    <w:rsid w:val="00C94693"/>
    <w:rsid w:val="00C9474A"/>
    <w:rsid w:val="00C94CDB"/>
    <w:rsid w:val="00C9527A"/>
    <w:rsid w:val="00C952A5"/>
    <w:rsid w:val="00C953A8"/>
    <w:rsid w:val="00C957CC"/>
    <w:rsid w:val="00C95B62"/>
    <w:rsid w:val="00C95BE3"/>
    <w:rsid w:val="00C963F2"/>
    <w:rsid w:val="00C96A71"/>
    <w:rsid w:val="00C96B6C"/>
    <w:rsid w:val="00C97989"/>
    <w:rsid w:val="00CA01A4"/>
    <w:rsid w:val="00CA02C6"/>
    <w:rsid w:val="00CA0526"/>
    <w:rsid w:val="00CA0904"/>
    <w:rsid w:val="00CA09E1"/>
    <w:rsid w:val="00CA0A6E"/>
    <w:rsid w:val="00CA0C9B"/>
    <w:rsid w:val="00CA0D4E"/>
    <w:rsid w:val="00CA1024"/>
    <w:rsid w:val="00CA1286"/>
    <w:rsid w:val="00CA1334"/>
    <w:rsid w:val="00CA139A"/>
    <w:rsid w:val="00CA1527"/>
    <w:rsid w:val="00CA1670"/>
    <w:rsid w:val="00CA16F0"/>
    <w:rsid w:val="00CA17F1"/>
    <w:rsid w:val="00CA19A9"/>
    <w:rsid w:val="00CA1BDF"/>
    <w:rsid w:val="00CA1D72"/>
    <w:rsid w:val="00CA1F99"/>
    <w:rsid w:val="00CA24F4"/>
    <w:rsid w:val="00CA256C"/>
    <w:rsid w:val="00CA2899"/>
    <w:rsid w:val="00CA2C81"/>
    <w:rsid w:val="00CA2DFB"/>
    <w:rsid w:val="00CA3046"/>
    <w:rsid w:val="00CA30FF"/>
    <w:rsid w:val="00CA3782"/>
    <w:rsid w:val="00CA396C"/>
    <w:rsid w:val="00CA3A3D"/>
    <w:rsid w:val="00CA3CBA"/>
    <w:rsid w:val="00CA4316"/>
    <w:rsid w:val="00CA476B"/>
    <w:rsid w:val="00CA49F0"/>
    <w:rsid w:val="00CA4A09"/>
    <w:rsid w:val="00CA4AD9"/>
    <w:rsid w:val="00CA4F82"/>
    <w:rsid w:val="00CA549C"/>
    <w:rsid w:val="00CA572E"/>
    <w:rsid w:val="00CA5807"/>
    <w:rsid w:val="00CA58B9"/>
    <w:rsid w:val="00CA5AB9"/>
    <w:rsid w:val="00CA5D09"/>
    <w:rsid w:val="00CA5EF6"/>
    <w:rsid w:val="00CA65DA"/>
    <w:rsid w:val="00CA6AE8"/>
    <w:rsid w:val="00CA6CF0"/>
    <w:rsid w:val="00CA6FEA"/>
    <w:rsid w:val="00CA70C6"/>
    <w:rsid w:val="00CA7274"/>
    <w:rsid w:val="00CA7797"/>
    <w:rsid w:val="00CA77EF"/>
    <w:rsid w:val="00CA77FB"/>
    <w:rsid w:val="00CA7BA8"/>
    <w:rsid w:val="00CA7CF0"/>
    <w:rsid w:val="00CB0036"/>
    <w:rsid w:val="00CB0368"/>
    <w:rsid w:val="00CB051C"/>
    <w:rsid w:val="00CB05FB"/>
    <w:rsid w:val="00CB0726"/>
    <w:rsid w:val="00CB090E"/>
    <w:rsid w:val="00CB0A4B"/>
    <w:rsid w:val="00CB0E51"/>
    <w:rsid w:val="00CB1150"/>
    <w:rsid w:val="00CB13A6"/>
    <w:rsid w:val="00CB178D"/>
    <w:rsid w:val="00CB1869"/>
    <w:rsid w:val="00CB1903"/>
    <w:rsid w:val="00CB1FCC"/>
    <w:rsid w:val="00CB2566"/>
    <w:rsid w:val="00CB2692"/>
    <w:rsid w:val="00CB281E"/>
    <w:rsid w:val="00CB2BC5"/>
    <w:rsid w:val="00CB2BDB"/>
    <w:rsid w:val="00CB2C9C"/>
    <w:rsid w:val="00CB379B"/>
    <w:rsid w:val="00CB3ABA"/>
    <w:rsid w:val="00CB3C28"/>
    <w:rsid w:val="00CB3E19"/>
    <w:rsid w:val="00CB3EE2"/>
    <w:rsid w:val="00CB3F1C"/>
    <w:rsid w:val="00CB443E"/>
    <w:rsid w:val="00CB4632"/>
    <w:rsid w:val="00CB480A"/>
    <w:rsid w:val="00CB4DEA"/>
    <w:rsid w:val="00CB553E"/>
    <w:rsid w:val="00CB57E9"/>
    <w:rsid w:val="00CB5CDC"/>
    <w:rsid w:val="00CB5DD0"/>
    <w:rsid w:val="00CB66D6"/>
    <w:rsid w:val="00CB680C"/>
    <w:rsid w:val="00CB6AA5"/>
    <w:rsid w:val="00CB6C7A"/>
    <w:rsid w:val="00CB6E0E"/>
    <w:rsid w:val="00CB735B"/>
    <w:rsid w:val="00CB7390"/>
    <w:rsid w:val="00CB74F9"/>
    <w:rsid w:val="00CB7AA1"/>
    <w:rsid w:val="00CB7CCB"/>
    <w:rsid w:val="00CC0027"/>
    <w:rsid w:val="00CC096E"/>
    <w:rsid w:val="00CC0FAA"/>
    <w:rsid w:val="00CC1256"/>
    <w:rsid w:val="00CC15DB"/>
    <w:rsid w:val="00CC1CF9"/>
    <w:rsid w:val="00CC262D"/>
    <w:rsid w:val="00CC2ABE"/>
    <w:rsid w:val="00CC31F9"/>
    <w:rsid w:val="00CC3227"/>
    <w:rsid w:val="00CC347A"/>
    <w:rsid w:val="00CC373A"/>
    <w:rsid w:val="00CC378B"/>
    <w:rsid w:val="00CC3E89"/>
    <w:rsid w:val="00CC42FD"/>
    <w:rsid w:val="00CC449B"/>
    <w:rsid w:val="00CC457E"/>
    <w:rsid w:val="00CC459D"/>
    <w:rsid w:val="00CC497B"/>
    <w:rsid w:val="00CC4B55"/>
    <w:rsid w:val="00CC51D4"/>
    <w:rsid w:val="00CC524A"/>
    <w:rsid w:val="00CC5275"/>
    <w:rsid w:val="00CC55EB"/>
    <w:rsid w:val="00CC5834"/>
    <w:rsid w:val="00CC598E"/>
    <w:rsid w:val="00CC59F4"/>
    <w:rsid w:val="00CC5ADD"/>
    <w:rsid w:val="00CC5C46"/>
    <w:rsid w:val="00CC5CD9"/>
    <w:rsid w:val="00CC5DF8"/>
    <w:rsid w:val="00CC5FAC"/>
    <w:rsid w:val="00CC6296"/>
    <w:rsid w:val="00CC65DA"/>
    <w:rsid w:val="00CC667D"/>
    <w:rsid w:val="00CC688E"/>
    <w:rsid w:val="00CC6DF7"/>
    <w:rsid w:val="00CC735A"/>
    <w:rsid w:val="00CC77F1"/>
    <w:rsid w:val="00CC7B0F"/>
    <w:rsid w:val="00CC7FA1"/>
    <w:rsid w:val="00CD0143"/>
    <w:rsid w:val="00CD0F38"/>
    <w:rsid w:val="00CD12DC"/>
    <w:rsid w:val="00CD16F9"/>
    <w:rsid w:val="00CD17D5"/>
    <w:rsid w:val="00CD18A4"/>
    <w:rsid w:val="00CD18B2"/>
    <w:rsid w:val="00CD198E"/>
    <w:rsid w:val="00CD1B1B"/>
    <w:rsid w:val="00CD1C22"/>
    <w:rsid w:val="00CD1DF9"/>
    <w:rsid w:val="00CD1F4E"/>
    <w:rsid w:val="00CD237A"/>
    <w:rsid w:val="00CD23A2"/>
    <w:rsid w:val="00CD2C3A"/>
    <w:rsid w:val="00CD32B1"/>
    <w:rsid w:val="00CD36CE"/>
    <w:rsid w:val="00CD39AF"/>
    <w:rsid w:val="00CD3EB4"/>
    <w:rsid w:val="00CD3F6A"/>
    <w:rsid w:val="00CD403F"/>
    <w:rsid w:val="00CD513A"/>
    <w:rsid w:val="00CD51E4"/>
    <w:rsid w:val="00CD52B7"/>
    <w:rsid w:val="00CD5508"/>
    <w:rsid w:val="00CD5513"/>
    <w:rsid w:val="00CD56FC"/>
    <w:rsid w:val="00CD5735"/>
    <w:rsid w:val="00CD5DB7"/>
    <w:rsid w:val="00CD5F81"/>
    <w:rsid w:val="00CD6192"/>
    <w:rsid w:val="00CD6E3D"/>
    <w:rsid w:val="00CD6F48"/>
    <w:rsid w:val="00CD7251"/>
    <w:rsid w:val="00CD761C"/>
    <w:rsid w:val="00CD76BD"/>
    <w:rsid w:val="00CD7745"/>
    <w:rsid w:val="00CD7D25"/>
    <w:rsid w:val="00CE06ED"/>
    <w:rsid w:val="00CE0A04"/>
    <w:rsid w:val="00CE0ECC"/>
    <w:rsid w:val="00CE1025"/>
    <w:rsid w:val="00CE11D2"/>
    <w:rsid w:val="00CE1445"/>
    <w:rsid w:val="00CE1744"/>
    <w:rsid w:val="00CE1878"/>
    <w:rsid w:val="00CE1D36"/>
    <w:rsid w:val="00CE22CB"/>
    <w:rsid w:val="00CE2496"/>
    <w:rsid w:val="00CE2499"/>
    <w:rsid w:val="00CE25D2"/>
    <w:rsid w:val="00CE2651"/>
    <w:rsid w:val="00CE2A80"/>
    <w:rsid w:val="00CE2EF3"/>
    <w:rsid w:val="00CE3133"/>
    <w:rsid w:val="00CE32B8"/>
    <w:rsid w:val="00CE3B57"/>
    <w:rsid w:val="00CE4046"/>
    <w:rsid w:val="00CE40A5"/>
    <w:rsid w:val="00CE4159"/>
    <w:rsid w:val="00CE451E"/>
    <w:rsid w:val="00CE4778"/>
    <w:rsid w:val="00CE4803"/>
    <w:rsid w:val="00CE496B"/>
    <w:rsid w:val="00CE4F14"/>
    <w:rsid w:val="00CE500C"/>
    <w:rsid w:val="00CE542C"/>
    <w:rsid w:val="00CE5BA5"/>
    <w:rsid w:val="00CE5C30"/>
    <w:rsid w:val="00CE5DB2"/>
    <w:rsid w:val="00CE5EB3"/>
    <w:rsid w:val="00CE608F"/>
    <w:rsid w:val="00CE60AC"/>
    <w:rsid w:val="00CE60D0"/>
    <w:rsid w:val="00CE65EE"/>
    <w:rsid w:val="00CE6804"/>
    <w:rsid w:val="00CE68A8"/>
    <w:rsid w:val="00CE6AA8"/>
    <w:rsid w:val="00CE6E2C"/>
    <w:rsid w:val="00CE6EA8"/>
    <w:rsid w:val="00CE6FB0"/>
    <w:rsid w:val="00CE7538"/>
    <w:rsid w:val="00CE756D"/>
    <w:rsid w:val="00CE7AFA"/>
    <w:rsid w:val="00CE7CF8"/>
    <w:rsid w:val="00CE7E19"/>
    <w:rsid w:val="00CF03F3"/>
    <w:rsid w:val="00CF05DF"/>
    <w:rsid w:val="00CF0839"/>
    <w:rsid w:val="00CF08F7"/>
    <w:rsid w:val="00CF0C8D"/>
    <w:rsid w:val="00CF0E61"/>
    <w:rsid w:val="00CF0FA6"/>
    <w:rsid w:val="00CF1486"/>
    <w:rsid w:val="00CF1655"/>
    <w:rsid w:val="00CF1707"/>
    <w:rsid w:val="00CF1A5A"/>
    <w:rsid w:val="00CF1B9A"/>
    <w:rsid w:val="00CF1D62"/>
    <w:rsid w:val="00CF1DB0"/>
    <w:rsid w:val="00CF1E56"/>
    <w:rsid w:val="00CF1F6D"/>
    <w:rsid w:val="00CF210F"/>
    <w:rsid w:val="00CF21B9"/>
    <w:rsid w:val="00CF236D"/>
    <w:rsid w:val="00CF23BD"/>
    <w:rsid w:val="00CF29D9"/>
    <w:rsid w:val="00CF2AE8"/>
    <w:rsid w:val="00CF2C37"/>
    <w:rsid w:val="00CF2EC8"/>
    <w:rsid w:val="00CF2F4E"/>
    <w:rsid w:val="00CF2F4F"/>
    <w:rsid w:val="00CF2FA3"/>
    <w:rsid w:val="00CF33A0"/>
    <w:rsid w:val="00CF3CFA"/>
    <w:rsid w:val="00CF465F"/>
    <w:rsid w:val="00CF480F"/>
    <w:rsid w:val="00CF4906"/>
    <w:rsid w:val="00CF4C8F"/>
    <w:rsid w:val="00CF502D"/>
    <w:rsid w:val="00CF508E"/>
    <w:rsid w:val="00CF524F"/>
    <w:rsid w:val="00CF52E6"/>
    <w:rsid w:val="00CF537D"/>
    <w:rsid w:val="00CF5D9E"/>
    <w:rsid w:val="00CF5F2F"/>
    <w:rsid w:val="00CF6069"/>
    <w:rsid w:val="00CF64F0"/>
    <w:rsid w:val="00CF65DD"/>
    <w:rsid w:val="00CF698B"/>
    <w:rsid w:val="00CF6A9D"/>
    <w:rsid w:val="00CF6BF9"/>
    <w:rsid w:val="00CF757A"/>
    <w:rsid w:val="00D00259"/>
    <w:rsid w:val="00D00341"/>
    <w:rsid w:val="00D003DF"/>
    <w:rsid w:val="00D00443"/>
    <w:rsid w:val="00D00737"/>
    <w:rsid w:val="00D00B94"/>
    <w:rsid w:val="00D0106E"/>
    <w:rsid w:val="00D010DE"/>
    <w:rsid w:val="00D018F0"/>
    <w:rsid w:val="00D019B7"/>
    <w:rsid w:val="00D01A08"/>
    <w:rsid w:val="00D01DAF"/>
    <w:rsid w:val="00D0204C"/>
    <w:rsid w:val="00D023AC"/>
    <w:rsid w:val="00D02B8F"/>
    <w:rsid w:val="00D02DAA"/>
    <w:rsid w:val="00D033DD"/>
    <w:rsid w:val="00D03800"/>
    <w:rsid w:val="00D03ABD"/>
    <w:rsid w:val="00D03B0E"/>
    <w:rsid w:val="00D03D1E"/>
    <w:rsid w:val="00D0404E"/>
    <w:rsid w:val="00D041E4"/>
    <w:rsid w:val="00D045E1"/>
    <w:rsid w:val="00D04807"/>
    <w:rsid w:val="00D04822"/>
    <w:rsid w:val="00D048C0"/>
    <w:rsid w:val="00D04DC1"/>
    <w:rsid w:val="00D04F32"/>
    <w:rsid w:val="00D050C7"/>
    <w:rsid w:val="00D05607"/>
    <w:rsid w:val="00D05AF3"/>
    <w:rsid w:val="00D05D50"/>
    <w:rsid w:val="00D0606E"/>
    <w:rsid w:val="00D06264"/>
    <w:rsid w:val="00D065D3"/>
    <w:rsid w:val="00D067AA"/>
    <w:rsid w:val="00D06BBE"/>
    <w:rsid w:val="00D06DD6"/>
    <w:rsid w:val="00D075D7"/>
    <w:rsid w:val="00D076D6"/>
    <w:rsid w:val="00D07742"/>
    <w:rsid w:val="00D07AF7"/>
    <w:rsid w:val="00D07DF8"/>
    <w:rsid w:val="00D104EE"/>
    <w:rsid w:val="00D105E1"/>
    <w:rsid w:val="00D107C9"/>
    <w:rsid w:val="00D10A6F"/>
    <w:rsid w:val="00D10DB8"/>
    <w:rsid w:val="00D10E88"/>
    <w:rsid w:val="00D10FD1"/>
    <w:rsid w:val="00D11435"/>
    <w:rsid w:val="00D1183C"/>
    <w:rsid w:val="00D11BCD"/>
    <w:rsid w:val="00D11C3C"/>
    <w:rsid w:val="00D11C85"/>
    <w:rsid w:val="00D125B3"/>
    <w:rsid w:val="00D12635"/>
    <w:rsid w:val="00D1295A"/>
    <w:rsid w:val="00D1314E"/>
    <w:rsid w:val="00D135FB"/>
    <w:rsid w:val="00D136F8"/>
    <w:rsid w:val="00D137F3"/>
    <w:rsid w:val="00D13D42"/>
    <w:rsid w:val="00D13F0F"/>
    <w:rsid w:val="00D14C94"/>
    <w:rsid w:val="00D14E8F"/>
    <w:rsid w:val="00D150A4"/>
    <w:rsid w:val="00D150D8"/>
    <w:rsid w:val="00D15391"/>
    <w:rsid w:val="00D15A13"/>
    <w:rsid w:val="00D15B8D"/>
    <w:rsid w:val="00D15D4A"/>
    <w:rsid w:val="00D161D4"/>
    <w:rsid w:val="00D1620D"/>
    <w:rsid w:val="00D16519"/>
    <w:rsid w:val="00D172B1"/>
    <w:rsid w:val="00D17AF5"/>
    <w:rsid w:val="00D17B1F"/>
    <w:rsid w:val="00D17F90"/>
    <w:rsid w:val="00D21151"/>
    <w:rsid w:val="00D21295"/>
    <w:rsid w:val="00D21753"/>
    <w:rsid w:val="00D21908"/>
    <w:rsid w:val="00D219BA"/>
    <w:rsid w:val="00D21AA4"/>
    <w:rsid w:val="00D21F44"/>
    <w:rsid w:val="00D22009"/>
    <w:rsid w:val="00D2227B"/>
    <w:rsid w:val="00D2228C"/>
    <w:rsid w:val="00D224D3"/>
    <w:rsid w:val="00D2288E"/>
    <w:rsid w:val="00D22F71"/>
    <w:rsid w:val="00D2315D"/>
    <w:rsid w:val="00D23168"/>
    <w:rsid w:val="00D231B2"/>
    <w:rsid w:val="00D235AC"/>
    <w:rsid w:val="00D23A7B"/>
    <w:rsid w:val="00D23CEA"/>
    <w:rsid w:val="00D23D87"/>
    <w:rsid w:val="00D23D98"/>
    <w:rsid w:val="00D247FB"/>
    <w:rsid w:val="00D25453"/>
    <w:rsid w:val="00D25897"/>
    <w:rsid w:val="00D258EF"/>
    <w:rsid w:val="00D25962"/>
    <w:rsid w:val="00D25D47"/>
    <w:rsid w:val="00D25D64"/>
    <w:rsid w:val="00D25E79"/>
    <w:rsid w:val="00D261DD"/>
    <w:rsid w:val="00D26294"/>
    <w:rsid w:val="00D26388"/>
    <w:rsid w:val="00D266D2"/>
    <w:rsid w:val="00D2674B"/>
    <w:rsid w:val="00D26753"/>
    <w:rsid w:val="00D26CBF"/>
    <w:rsid w:val="00D278A2"/>
    <w:rsid w:val="00D27AD3"/>
    <w:rsid w:val="00D27D9F"/>
    <w:rsid w:val="00D27DBC"/>
    <w:rsid w:val="00D27FAE"/>
    <w:rsid w:val="00D30136"/>
    <w:rsid w:val="00D3017A"/>
    <w:rsid w:val="00D30326"/>
    <w:rsid w:val="00D3038D"/>
    <w:rsid w:val="00D30894"/>
    <w:rsid w:val="00D308F4"/>
    <w:rsid w:val="00D30FF7"/>
    <w:rsid w:val="00D31086"/>
    <w:rsid w:val="00D312DE"/>
    <w:rsid w:val="00D3132E"/>
    <w:rsid w:val="00D31ACF"/>
    <w:rsid w:val="00D31CDE"/>
    <w:rsid w:val="00D323AA"/>
    <w:rsid w:val="00D32C62"/>
    <w:rsid w:val="00D32FCC"/>
    <w:rsid w:val="00D33075"/>
    <w:rsid w:val="00D330AD"/>
    <w:rsid w:val="00D330CC"/>
    <w:rsid w:val="00D330DB"/>
    <w:rsid w:val="00D33107"/>
    <w:rsid w:val="00D339ED"/>
    <w:rsid w:val="00D33FDB"/>
    <w:rsid w:val="00D34138"/>
    <w:rsid w:val="00D342A6"/>
    <w:rsid w:val="00D34465"/>
    <w:rsid w:val="00D34B67"/>
    <w:rsid w:val="00D34D60"/>
    <w:rsid w:val="00D352C5"/>
    <w:rsid w:val="00D3558B"/>
    <w:rsid w:val="00D3628C"/>
    <w:rsid w:val="00D3672E"/>
    <w:rsid w:val="00D369FE"/>
    <w:rsid w:val="00D36A90"/>
    <w:rsid w:val="00D36F17"/>
    <w:rsid w:val="00D36FB2"/>
    <w:rsid w:val="00D372A4"/>
    <w:rsid w:val="00D3759C"/>
    <w:rsid w:val="00D37AC5"/>
    <w:rsid w:val="00D37CBB"/>
    <w:rsid w:val="00D37DB4"/>
    <w:rsid w:val="00D404B9"/>
    <w:rsid w:val="00D40739"/>
    <w:rsid w:val="00D408E7"/>
    <w:rsid w:val="00D40AB2"/>
    <w:rsid w:val="00D4156E"/>
    <w:rsid w:val="00D418EA"/>
    <w:rsid w:val="00D419E0"/>
    <w:rsid w:val="00D4238E"/>
    <w:rsid w:val="00D424D5"/>
    <w:rsid w:val="00D435DF"/>
    <w:rsid w:val="00D4363E"/>
    <w:rsid w:val="00D43C4B"/>
    <w:rsid w:val="00D43C98"/>
    <w:rsid w:val="00D444EF"/>
    <w:rsid w:val="00D44758"/>
    <w:rsid w:val="00D44BF0"/>
    <w:rsid w:val="00D45361"/>
    <w:rsid w:val="00D4560F"/>
    <w:rsid w:val="00D45783"/>
    <w:rsid w:val="00D45C90"/>
    <w:rsid w:val="00D464BF"/>
    <w:rsid w:val="00D468CA"/>
    <w:rsid w:val="00D46A83"/>
    <w:rsid w:val="00D46A90"/>
    <w:rsid w:val="00D46DFC"/>
    <w:rsid w:val="00D46F08"/>
    <w:rsid w:val="00D46F55"/>
    <w:rsid w:val="00D46F74"/>
    <w:rsid w:val="00D473D8"/>
    <w:rsid w:val="00D4753A"/>
    <w:rsid w:val="00D47AF2"/>
    <w:rsid w:val="00D47B51"/>
    <w:rsid w:val="00D47F76"/>
    <w:rsid w:val="00D50184"/>
    <w:rsid w:val="00D50480"/>
    <w:rsid w:val="00D50999"/>
    <w:rsid w:val="00D50DCF"/>
    <w:rsid w:val="00D51238"/>
    <w:rsid w:val="00D512A3"/>
    <w:rsid w:val="00D5138A"/>
    <w:rsid w:val="00D5176D"/>
    <w:rsid w:val="00D51D15"/>
    <w:rsid w:val="00D520A3"/>
    <w:rsid w:val="00D520CB"/>
    <w:rsid w:val="00D524A1"/>
    <w:rsid w:val="00D526CC"/>
    <w:rsid w:val="00D52A7C"/>
    <w:rsid w:val="00D52C8C"/>
    <w:rsid w:val="00D531BE"/>
    <w:rsid w:val="00D538BA"/>
    <w:rsid w:val="00D53E26"/>
    <w:rsid w:val="00D53EE5"/>
    <w:rsid w:val="00D54009"/>
    <w:rsid w:val="00D54036"/>
    <w:rsid w:val="00D541D4"/>
    <w:rsid w:val="00D54259"/>
    <w:rsid w:val="00D544CF"/>
    <w:rsid w:val="00D54984"/>
    <w:rsid w:val="00D54DAE"/>
    <w:rsid w:val="00D54F80"/>
    <w:rsid w:val="00D551B8"/>
    <w:rsid w:val="00D5524B"/>
    <w:rsid w:val="00D55F6F"/>
    <w:rsid w:val="00D56179"/>
    <w:rsid w:val="00D563AD"/>
    <w:rsid w:val="00D56453"/>
    <w:rsid w:val="00D56880"/>
    <w:rsid w:val="00D56A72"/>
    <w:rsid w:val="00D56E81"/>
    <w:rsid w:val="00D571B7"/>
    <w:rsid w:val="00D57299"/>
    <w:rsid w:val="00D57BB1"/>
    <w:rsid w:val="00D57C3F"/>
    <w:rsid w:val="00D60177"/>
    <w:rsid w:val="00D6051D"/>
    <w:rsid w:val="00D60731"/>
    <w:rsid w:val="00D60852"/>
    <w:rsid w:val="00D60877"/>
    <w:rsid w:val="00D609BD"/>
    <w:rsid w:val="00D609F9"/>
    <w:rsid w:val="00D60ABF"/>
    <w:rsid w:val="00D6108F"/>
    <w:rsid w:val="00D6109E"/>
    <w:rsid w:val="00D61166"/>
    <w:rsid w:val="00D6125C"/>
    <w:rsid w:val="00D6133D"/>
    <w:rsid w:val="00D61548"/>
    <w:rsid w:val="00D6167D"/>
    <w:rsid w:val="00D6179A"/>
    <w:rsid w:val="00D61960"/>
    <w:rsid w:val="00D61D17"/>
    <w:rsid w:val="00D61E17"/>
    <w:rsid w:val="00D62287"/>
    <w:rsid w:val="00D622CD"/>
    <w:rsid w:val="00D62484"/>
    <w:rsid w:val="00D628EA"/>
    <w:rsid w:val="00D62BB3"/>
    <w:rsid w:val="00D62C2F"/>
    <w:rsid w:val="00D63131"/>
    <w:rsid w:val="00D631A6"/>
    <w:rsid w:val="00D63219"/>
    <w:rsid w:val="00D6322D"/>
    <w:rsid w:val="00D63932"/>
    <w:rsid w:val="00D63B9A"/>
    <w:rsid w:val="00D63F9D"/>
    <w:rsid w:val="00D641A5"/>
    <w:rsid w:val="00D6451F"/>
    <w:rsid w:val="00D6476B"/>
    <w:rsid w:val="00D64C67"/>
    <w:rsid w:val="00D64CE5"/>
    <w:rsid w:val="00D64E48"/>
    <w:rsid w:val="00D6548B"/>
    <w:rsid w:val="00D65582"/>
    <w:rsid w:val="00D657F8"/>
    <w:rsid w:val="00D6623E"/>
    <w:rsid w:val="00D665AD"/>
    <w:rsid w:val="00D66AF7"/>
    <w:rsid w:val="00D66B65"/>
    <w:rsid w:val="00D66E2F"/>
    <w:rsid w:val="00D66FD6"/>
    <w:rsid w:val="00D67142"/>
    <w:rsid w:val="00D67482"/>
    <w:rsid w:val="00D674C4"/>
    <w:rsid w:val="00D679CC"/>
    <w:rsid w:val="00D67B67"/>
    <w:rsid w:val="00D67D30"/>
    <w:rsid w:val="00D67E4F"/>
    <w:rsid w:val="00D7076C"/>
    <w:rsid w:val="00D7178C"/>
    <w:rsid w:val="00D71A0F"/>
    <w:rsid w:val="00D71A10"/>
    <w:rsid w:val="00D7213E"/>
    <w:rsid w:val="00D72767"/>
    <w:rsid w:val="00D72F82"/>
    <w:rsid w:val="00D72F94"/>
    <w:rsid w:val="00D73033"/>
    <w:rsid w:val="00D733CA"/>
    <w:rsid w:val="00D73783"/>
    <w:rsid w:val="00D73CF8"/>
    <w:rsid w:val="00D73F83"/>
    <w:rsid w:val="00D74148"/>
    <w:rsid w:val="00D742E6"/>
    <w:rsid w:val="00D746B3"/>
    <w:rsid w:val="00D74A89"/>
    <w:rsid w:val="00D74BF2"/>
    <w:rsid w:val="00D74CDB"/>
    <w:rsid w:val="00D74E9D"/>
    <w:rsid w:val="00D75047"/>
    <w:rsid w:val="00D75455"/>
    <w:rsid w:val="00D7547F"/>
    <w:rsid w:val="00D75BF0"/>
    <w:rsid w:val="00D761D5"/>
    <w:rsid w:val="00D7659C"/>
    <w:rsid w:val="00D7664B"/>
    <w:rsid w:val="00D7665D"/>
    <w:rsid w:val="00D76739"/>
    <w:rsid w:val="00D76FED"/>
    <w:rsid w:val="00D771CC"/>
    <w:rsid w:val="00D7739C"/>
    <w:rsid w:val="00D777B8"/>
    <w:rsid w:val="00D77923"/>
    <w:rsid w:val="00D77FA6"/>
    <w:rsid w:val="00D802C7"/>
    <w:rsid w:val="00D802E4"/>
    <w:rsid w:val="00D803DF"/>
    <w:rsid w:val="00D81030"/>
    <w:rsid w:val="00D8105C"/>
    <w:rsid w:val="00D81155"/>
    <w:rsid w:val="00D81193"/>
    <w:rsid w:val="00D816BC"/>
    <w:rsid w:val="00D81E2B"/>
    <w:rsid w:val="00D81EA3"/>
    <w:rsid w:val="00D82779"/>
    <w:rsid w:val="00D82882"/>
    <w:rsid w:val="00D82C30"/>
    <w:rsid w:val="00D82FE0"/>
    <w:rsid w:val="00D835FD"/>
    <w:rsid w:val="00D83C8B"/>
    <w:rsid w:val="00D83EA2"/>
    <w:rsid w:val="00D8447C"/>
    <w:rsid w:val="00D849DF"/>
    <w:rsid w:val="00D8510A"/>
    <w:rsid w:val="00D8590E"/>
    <w:rsid w:val="00D859CC"/>
    <w:rsid w:val="00D85C86"/>
    <w:rsid w:val="00D85E4A"/>
    <w:rsid w:val="00D86004"/>
    <w:rsid w:val="00D867BC"/>
    <w:rsid w:val="00D86930"/>
    <w:rsid w:val="00D86DC8"/>
    <w:rsid w:val="00D86DCD"/>
    <w:rsid w:val="00D87656"/>
    <w:rsid w:val="00D87D59"/>
    <w:rsid w:val="00D9027B"/>
    <w:rsid w:val="00D90648"/>
    <w:rsid w:val="00D9070A"/>
    <w:rsid w:val="00D909D7"/>
    <w:rsid w:val="00D90B43"/>
    <w:rsid w:val="00D90E9B"/>
    <w:rsid w:val="00D90EA0"/>
    <w:rsid w:val="00D91178"/>
    <w:rsid w:val="00D9141E"/>
    <w:rsid w:val="00D91480"/>
    <w:rsid w:val="00D914DE"/>
    <w:rsid w:val="00D91F31"/>
    <w:rsid w:val="00D92148"/>
    <w:rsid w:val="00D92644"/>
    <w:rsid w:val="00D926D4"/>
    <w:rsid w:val="00D926F1"/>
    <w:rsid w:val="00D92967"/>
    <w:rsid w:val="00D92B89"/>
    <w:rsid w:val="00D92C87"/>
    <w:rsid w:val="00D92C98"/>
    <w:rsid w:val="00D93060"/>
    <w:rsid w:val="00D93788"/>
    <w:rsid w:val="00D938E1"/>
    <w:rsid w:val="00D93A8E"/>
    <w:rsid w:val="00D93F23"/>
    <w:rsid w:val="00D94249"/>
    <w:rsid w:val="00D94494"/>
    <w:rsid w:val="00D9473B"/>
    <w:rsid w:val="00D94ADF"/>
    <w:rsid w:val="00D94ECF"/>
    <w:rsid w:val="00D950FB"/>
    <w:rsid w:val="00D951B7"/>
    <w:rsid w:val="00D95533"/>
    <w:rsid w:val="00D957E7"/>
    <w:rsid w:val="00D959AE"/>
    <w:rsid w:val="00D95EC4"/>
    <w:rsid w:val="00D960E4"/>
    <w:rsid w:val="00D969AF"/>
    <w:rsid w:val="00D969CA"/>
    <w:rsid w:val="00D9723C"/>
    <w:rsid w:val="00D973D8"/>
    <w:rsid w:val="00D9762D"/>
    <w:rsid w:val="00D9780C"/>
    <w:rsid w:val="00D978BF"/>
    <w:rsid w:val="00DA051D"/>
    <w:rsid w:val="00DA0528"/>
    <w:rsid w:val="00DA0B53"/>
    <w:rsid w:val="00DA0C3F"/>
    <w:rsid w:val="00DA0CF3"/>
    <w:rsid w:val="00DA0EB9"/>
    <w:rsid w:val="00DA12CA"/>
    <w:rsid w:val="00DA192A"/>
    <w:rsid w:val="00DA1C8B"/>
    <w:rsid w:val="00DA1EB8"/>
    <w:rsid w:val="00DA2668"/>
    <w:rsid w:val="00DA2C4C"/>
    <w:rsid w:val="00DA2FF4"/>
    <w:rsid w:val="00DA3076"/>
    <w:rsid w:val="00DA3295"/>
    <w:rsid w:val="00DA34BD"/>
    <w:rsid w:val="00DA380E"/>
    <w:rsid w:val="00DA3948"/>
    <w:rsid w:val="00DA3A60"/>
    <w:rsid w:val="00DA3E45"/>
    <w:rsid w:val="00DA466C"/>
    <w:rsid w:val="00DA48D1"/>
    <w:rsid w:val="00DA4A0E"/>
    <w:rsid w:val="00DA4CF8"/>
    <w:rsid w:val="00DA4DD7"/>
    <w:rsid w:val="00DA52BD"/>
    <w:rsid w:val="00DA565E"/>
    <w:rsid w:val="00DA57D0"/>
    <w:rsid w:val="00DA5909"/>
    <w:rsid w:val="00DA5F01"/>
    <w:rsid w:val="00DA5F29"/>
    <w:rsid w:val="00DA5F4E"/>
    <w:rsid w:val="00DA6280"/>
    <w:rsid w:val="00DA65BF"/>
    <w:rsid w:val="00DA68B8"/>
    <w:rsid w:val="00DA6D47"/>
    <w:rsid w:val="00DA6EB2"/>
    <w:rsid w:val="00DA7169"/>
    <w:rsid w:val="00DA71A4"/>
    <w:rsid w:val="00DA7F53"/>
    <w:rsid w:val="00DB024B"/>
    <w:rsid w:val="00DB02BB"/>
    <w:rsid w:val="00DB02DC"/>
    <w:rsid w:val="00DB065C"/>
    <w:rsid w:val="00DB0666"/>
    <w:rsid w:val="00DB07B7"/>
    <w:rsid w:val="00DB0F27"/>
    <w:rsid w:val="00DB1672"/>
    <w:rsid w:val="00DB1790"/>
    <w:rsid w:val="00DB17C5"/>
    <w:rsid w:val="00DB1943"/>
    <w:rsid w:val="00DB1CAA"/>
    <w:rsid w:val="00DB2366"/>
    <w:rsid w:val="00DB26C4"/>
    <w:rsid w:val="00DB2884"/>
    <w:rsid w:val="00DB2B9E"/>
    <w:rsid w:val="00DB319E"/>
    <w:rsid w:val="00DB33BF"/>
    <w:rsid w:val="00DB37E1"/>
    <w:rsid w:val="00DB39DA"/>
    <w:rsid w:val="00DB3E4D"/>
    <w:rsid w:val="00DB41A2"/>
    <w:rsid w:val="00DB439B"/>
    <w:rsid w:val="00DB4529"/>
    <w:rsid w:val="00DB4754"/>
    <w:rsid w:val="00DB4B10"/>
    <w:rsid w:val="00DB4BDB"/>
    <w:rsid w:val="00DB4EF0"/>
    <w:rsid w:val="00DB501A"/>
    <w:rsid w:val="00DB5410"/>
    <w:rsid w:val="00DB5B9D"/>
    <w:rsid w:val="00DB612E"/>
    <w:rsid w:val="00DB64BC"/>
    <w:rsid w:val="00DB6AB4"/>
    <w:rsid w:val="00DB6B1C"/>
    <w:rsid w:val="00DB6ECC"/>
    <w:rsid w:val="00DB6FF2"/>
    <w:rsid w:val="00DB72C2"/>
    <w:rsid w:val="00DB73EC"/>
    <w:rsid w:val="00DB74AC"/>
    <w:rsid w:val="00DB7C61"/>
    <w:rsid w:val="00DB7D29"/>
    <w:rsid w:val="00DB7DE3"/>
    <w:rsid w:val="00DC049B"/>
    <w:rsid w:val="00DC0993"/>
    <w:rsid w:val="00DC0A87"/>
    <w:rsid w:val="00DC0BD4"/>
    <w:rsid w:val="00DC1438"/>
    <w:rsid w:val="00DC147B"/>
    <w:rsid w:val="00DC1671"/>
    <w:rsid w:val="00DC180F"/>
    <w:rsid w:val="00DC1F71"/>
    <w:rsid w:val="00DC2097"/>
    <w:rsid w:val="00DC20B0"/>
    <w:rsid w:val="00DC2181"/>
    <w:rsid w:val="00DC2C07"/>
    <w:rsid w:val="00DC350B"/>
    <w:rsid w:val="00DC364A"/>
    <w:rsid w:val="00DC383C"/>
    <w:rsid w:val="00DC4693"/>
    <w:rsid w:val="00DC4A06"/>
    <w:rsid w:val="00DC4C57"/>
    <w:rsid w:val="00DC542E"/>
    <w:rsid w:val="00DC5AA6"/>
    <w:rsid w:val="00DC5B34"/>
    <w:rsid w:val="00DC5C29"/>
    <w:rsid w:val="00DC6373"/>
    <w:rsid w:val="00DC6546"/>
    <w:rsid w:val="00DC69F9"/>
    <w:rsid w:val="00DC6B5C"/>
    <w:rsid w:val="00DC6F2A"/>
    <w:rsid w:val="00DC720D"/>
    <w:rsid w:val="00DC7985"/>
    <w:rsid w:val="00DC7A1F"/>
    <w:rsid w:val="00DC7EC6"/>
    <w:rsid w:val="00DD001E"/>
    <w:rsid w:val="00DD01E5"/>
    <w:rsid w:val="00DD0921"/>
    <w:rsid w:val="00DD0953"/>
    <w:rsid w:val="00DD09AE"/>
    <w:rsid w:val="00DD0B66"/>
    <w:rsid w:val="00DD10E4"/>
    <w:rsid w:val="00DD1133"/>
    <w:rsid w:val="00DD1471"/>
    <w:rsid w:val="00DD273A"/>
    <w:rsid w:val="00DD2994"/>
    <w:rsid w:val="00DD2C10"/>
    <w:rsid w:val="00DD2F13"/>
    <w:rsid w:val="00DD31A1"/>
    <w:rsid w:val="00DD3A93"/>
    <w:rsid w:val="00DD485D"/>
    <w:rsid w:val="00DD486D"/>
    <w:rsid w:val="00DD4BFF"/>
    <w:rsid w:val="00DD4C3C"/>
    <w:rsid w:val="00DD4CBB"/>
    <w:rsid w:val="00DD4CE3"/>
    <w:rsid w:val="00DD4F0E"/>
    <w:rsid w:val="00DD53A4"/>
    <w:rsid w:val="00DD5975"/>
    <w:rsid w:val="00DD712F"/>
    <w:rsid w:val="00DD7A13"/>
    <w:rsid w:val="00DD7F4E"/>
    <w:rsid w:val="00DE0456"/>
    <w:rsid w:val="00DE07AD"/>
    <w:rsid w:val="00DE0B40"/>
    <w:rsid w:val="00DE0D5B"/>
    <w:rsid w:val="00DE12D9"/>
    <w:rsid w:val="00DE17E4"/>
    <w:rsid w:val="00DE17EF"/>
    <w:rsid w:val="00DE1EA9"/>
    <w:rsid w:val="00DE20AB"/>
    <w:rsid w:val="00DE25AC"/>
    <w:rsid w:val="00DE2D25"/>
    <w:rsid w:val="00DE3053"/>
    <w:rsid w:val="00DE3142"/>
    <w:rsid w:val="00DE3A00"/>
    <w:rsid w:val="00DE4608"/>
    <w:rsid w:val="00DE47B1"/>
    <w:rsid w:val="00DE4CD8"/>
    <w:rsid w:val="00DE4D86"/>
    <w:rsid w:val="00DE4E24"/>
    <w:rsid w:val="00DE5114"/>
    <w:rsid w:val="00DE5386"/>
    <w:rsid w:val="00DE56B8"/>
    <w:rsid w:val="00DE592B"/>
    <w:rsid w:val="00DE596A"/>
    <w:rsid w:val="00DE5D06"/>
    <w:rsid w:val="00DE5E2F"/>
    <w:rsid w:val="00DE5F7B"/>
    <w:rsid w:val="00DE65D5"/>
    <w:rsid w:val="00DE69B6"/>
    <w:rsid w:val="00DE69F8"/>
    <w:rsid w:val="00DE6F8D"/>
    <w:rsid w:val="00DE7885"/>
    <w:rsid w:val="00DE7955"/>
    <w:rsid w:val="00DE7E5B"/>
    <w:rsid w:val="00DE7EF3"/>
    <w:rsid w:val="00DF04E3"/>
    <w:rsid w:val="00DF05F1"/>
    <w:rsid w:val="00DF0B66"/>
    <w:rsid w:val="00DF0BF0"/>
    <w:rsid w:val="00DF0CAD"/>
    <w:rsid w:val="00DF0CEA"/>
    <w:rsid w:val="00DF0FC3"/>
    <w:rsid w:val="00DF11EC"/>
    <w:rsid w:val="00DF18B4"/>
    <w:rsid w:val="00DF1A7B"/>
    <w:rsid w:val="00DF1BA3"/>
    <w:rsid w:val="00DF1D55"/>
    <w:rsid w:val="00DF1E05"/>
    <w:rsid w:val="00DF1FED"/>
    <w:rsid w:val="00DF2208"/>
    <w:rsid w:val="00DF22E1"/>
    <w:rsid w:val="00DF23C6"/>
    <w:rsid w:val="00DF2617"/>
    <w:rsid w:val="00DF27EA"/>
    <w:rsid w:val="00DF2809"/>
    <w:rsid w:val="00DF2F1F"/>
    <w:rsid w:val="00DF2F9C"/>
    <w:rsid w:val="00DF378F"/>
    <w:rsid w:val="00DF38FA"/>
    <w:rsid w:val="00DF39E6"/>
    <w:rsid w:val="00DF3A94"/>
    <w:rsid w:val="00DF4535"/>
    <w:rsid w:val="00DF463C"/>
    <w:rsid w:val="00DF49DF"/>
    <w:rsid w:val="00DF4CE5"/>
    <w:rsid w:val="00DF52F5"/>
    <w:rsid w:val="00DF5684"/>
    <w:rsid w:val="00DF5859"/>
    <w:rsid w:val="00DF5FAD"/>
    <w:rsid w:val="00DF61DC"/>
    <w:rsid w:val="00DF63F1"/>
    <w:rsid w:val="00DF6676"/>
    <w:rsid w:val="00DF69F5"/>
    <w:rsid w:val="00DF6DB3"/>
    <w:rsid w:val="00DF7511"/>
    <w:rsid w:val="00DF7AA8"/>
    <w:rsid w:val="00DF7E7A"/>
    <w:rsid w:val="00E002CC"/>
    <w:rsid w:val="00E0045B"/>
    <w:rsid w:val="00E004FB"/>
    <w:rsid w:val="00E0079F"/>
    <w:rsid w:val="00E00A9E"/>
    <w:rsid w:val="00E00C01"/>
    <w:rsid w:val="00E00C2C"/>
    <w:rsid w:val="00E010D7"/>
    <w:rsid w:val="00E01249"/>
    <w:rsid w:val="00E01408"/>
    <w:rsid w:val="00E014EA"/>
    <w:rsid w:val="00E01F0B"/>
    <w:rsid w:val="00E0208D"/>
    <w:rsid w:val="00E02964"/>
    <w:rsid w:val="00E02B26"/>
    <w:rsid w:val="00E02BB9"/>
    <w:rsid w:val="00E02D2D"/>
    <w:rsid w:val="00E0308C"/>
    <w:rsid w:val="00E03104"/>
    <w:rsid w:val="00E034A7"/>
    <w:rsid w:val="00E037DC"/>
    <w:rsid w:val="00E0387A"/>
    <w:rsid w:val="00E03925"/>
    <w:rsid w:val="00E03DB3"/>
    <w:rsid w:val="00E03F73"/>
    <w:rsid w:val="00E04BCC"/>
    <w:rsid w:val="00E05342"/>
    <w:rsid w:val="00E054DF"/>
    <w:rsid w:val="00E0579F"/>
    <w:rsid w:val="00E05B34"/>
    <w:rsid w:val="00E05B53"/>
    <w:rsid w:val="00E05D5A"/>
    <w:rsid w:val="00E05E0A"/>
    <w:rsid w:val="00E05FB4"/>
    <w:rsid w:val="00E06360"/>
    <w:rsid w:val="00E0638D"/>
    <w:rsid w:val="00E0680F"/>
    <w:rsid w:val="00E06845"/>
    <w:rsid w:val="00E077C7"/>
    <w:rsid w:val="00E07D08"/>
    <w:rsid w:val="00E101AA"/>
    <w:rsid w:val="00E10CEE"/>
    <w:rsid w:val="00E10DA7"/>
    <w:rsid w:val="00E10F4B"/>
    <w:rsid w:val="00E116DE"/>
    <w:rsid w:val="00E118CD"/>
    <w:rsid w:val="00E11A4F"/>
    <w:rsid w:val="00E11B61"/>
    <w:rsid w:val="00E11CE7"/>
    <w:rsid w:val="00E11F70"/>
    <w:rsid w:val="00E12083"/>
    <w:rsid w:val="00E12DAA"/>
    <w:rsid w:val="00E12F1B"/>
    <w:rsid w:val="00E133E0"/>
    <w:rsid w:val="00E1348E"/>
    <w:rsid w:val="00E136E0"/>
    <w:rsid w:val="00E13744"/>
    <w:rsid w:val="00E13B60"/>
    <w:rsid w:val="00E140E1"/>
    <w:rsid w:val="00E14348"/>
    <w:rsid w:val="00E1438F"/>
    <w:rsid w:val="00E143C4"/>
    <w:rsid w:val="00E15284"/>
    <w:rsid w:val="00E15628"/>
    <w:rsid w:val="00E156FE"/>
    <w:rsid w:val="00E15901"/>
    <w:rsid w:val="00E15DAC"/>
    <w:rsid w:val="00E160B1"/>
    <w:rsid w:val="00E162A4"/>
    <w:rsid w:val="00E164E4"/>
    <w:rsid w:val="00E1666C"/>
    <w:rsid w:val="00E16D22"/>
    <w:rsid w:val="00E1745E"/>
    <w:rsid w:val="00E17502"/>
    <w:rsid w:val="00E17B31"/>
    <w:rsid w:val="00E17D4D"/>
    <w:rsid w:val="00E2018B"/>
    <w:rsid w:val="00E20B26"/>
    <w:rsid w:val="00E20BBC"/>
    <w:rsid w:val="00E20C6C"/>
    <w:rsid w:val="00E20C77"/>
    <w:rsid w:val="00E21978"/>
    <w:rsid w:val="00E21D6A"/>
    <w:rsid w:val="00E21EBB"/>
    <w:rsid w:val="00E221A2"/>
    <w:rsid w:val="00E22328"/>
    <w:rsid w:val="00E225FE"/>
    <w:rsid w:val="00E22707"/>
    <w:rsid w:val="00E22856"/>
    <w:rsid w:val="00E22976"/>
    <w:rsid w:val="00E22BC2"/>
    <w:rsid w:val="00E22BD1"/>
    <w:rsid w:val="00E22F48"/>
    <w:rsid w:val="00E23419"/>
    <w:rsid w:val="00E23606"/>
    <w:rsid w:val="00E2371E"/>
    <w:rsid w:val="00E238EF"/>
    <w:rsid w:val="00E23A82"/>
    <w:rsid w:val="00E23D78"/>
    <w:rsid w:val="00E24393"/>
    <w:rsid w:val="00E24607"/>
    <w:rsid w:val="00E24B6E"/>
    <w:rsid w:val="00E24DC2"/>
    <w:rsid w:val="00E25634"/>
    <w:rsid w:val="00E25825"/>
    <w:rsid w:val="00E25A56"/>
    <w:rsid w:val="00E25A5F"/>
    <w:rsid w:val="00E2653C"/>
    <w:rsid w:val="00E269F0"/>
    <w:rsid w:val="00E26F47"/>
    <w:rsid w:val="00E271C7"/>
    <w:rsid w:val="00E272EC"/>
    <w:rsid w:val="00E27AEE"/>
    <w:rsid w:val="00E27B1D"/>
    <w:rsid w:val="00E27F2E"/>
    <w:rsid w:val="00E306F1"/>
    <w:rsid w:val="00E3085D"/>
    <w:rsid w:val="00E31239"/>
    <w:rsid w:val="00E31288"/>
    <w:rsid w:val="00E31960"/>
    <w:rsid w:val="00E31AC6"/>
    <w:rsid w:val="00E31AE9"/>
    <w:rsid w:val="00E31CA3"/>
    <w:rsid w:val="00E32477"/>
    <w:rsid w:val="00E32B0E"/>
    <w:rsid w:val="00E32DD7"/>
    <w:rsid w:val="00E32FFB"/>
    <w:rsid w:val="00E33137"/>
    <w:rsid w:val="00E3357D"/>
    <w:rsid w:val="00E33C5C"/>
    <w:rsid w:val="00E33E83"/>
    <w:rsid w:val="00E3437A"/>
    <w:rsid w:val="00E35821"/>
    <w:rsid w:val="00E35D5A"/>
    <w:rsid w:val="00E36370"/>
    <w:rsid w:val="00E36496"/>
    <w:rsid w:val="00E36B86"/>
    <w:rsid w:val="00E36C84"/>
    <w:rsid w:val="00E36CA3"/>
    <w:rsid w:val="00E36F20"/>
    <w:rsid w:val="00E37499"/>
    <w:rsid w:val="00E37876"/>
    <w:rsid w:val="00E37F7A"/>
    <w:rsid w:val="00E403BF"/>
    <w:rsid w:val="00E40696"/>
    <w:rsid w:val="00E40A4C"/>
    <w:rsid w:val="00E40C1D"/>
    <w:rsid w:val="00E40C86"/>
    <w:rsid w:val="00E40CC0"/>
    <w:rsid w:val="00E40F00"/>
    <w:rsid w:val="00E41209"/>
    <w:rsid w:val="00E414CC"/>
    <w:rsid w:val="00E41790"/>
    <w:rsid w:val="00E4194D"/>
    <w:rsid w:val="00E41ADE"/>
    <w:rsid w:val="00E41B03"/>
    <w:rsid w:val="00E41C43"/>
    <w:rsid w:val="00E42680"/>
    <w:rsid w:val="00E42B55"/>
    <w:rsid w:val="00E42CB6"/>
    <w:rsid w:val="00E42CCC"/>
    <w:rsid w:val="00E43036"/>
    <w:rsid w:val="00E43076"/>
    <w:rsid w:val="00E43219"/>
    <w:rsid w:val="00E432BF"/>
    <w:rsid w:val="00E43DFB"/>
    <w:rsid w:val="00E43EAB"/>
    <w:rsid w:val="00E43EEF"/>
    <w:rsid w:val="00E442F6"/>
    <w:rsid w:val="00E447F8"/>
    <w:rsid w:val="00E44A2D"/>
    <w:rsid w:val="00E44BBB"/>
    <w:rsid w:val="00E44F2B"/>
    <w:rsid w:val="00E4530C"/>
    <w:rsid w:val="00E454CE"/>
    <w:rsid w:val="00E457C7"/>
    <w:rsid w:val="00E45C2B"/>
    <w:rsid w:val="00E45C7E"/>
    <w:rsid w:val="00E45F88"/>
    <w:rsid w:val="00E464CA"/>
    <w:rsid w:val="00E4651F"/>
    <w:rsid w:val="00E465DF"/>
    <w:rsid w:val="00E466EB"/>
    <w:rsid w:val="00E46B0B"/>
    <w:rsid w:val="00E46C6E"/>
    <w:rsid w:val="00E46F29"/>
    <w:rsid w:val="00E47074"/>
    <w:rsid w:val="00E4710F"/>
    <w:rsid w:val="00E47304"/>
    <w:rsid w:val="00E4767F"/>
    <w:rsid w:val="00E47873"/>
    <w:rsid w:val="00E479F5"/>
    <w:rsid w:val="00E504EC"/>
    <w:rsid w:val="00E50647"/>
    <w:rsid w:val="00E50EA1"/>
    <w:rsid w:val="00E51025"/>
    <w:rsid w:val="00E511C1"/>
    <w:rsid w:val="00E5148E"/>
    <w:rsid w:val="00E516BB"/>
    <w:rsid w:val="00E518D1"/>
    <w:rsid w:val="00E51C30"/>
    <w:rsid w:val="00E51E67"/>
    <w:rsid w:val="00E52574"/>
    <w:rsid w:val="00E52AFD"/>
    <w:rsid w:val="00E52CF8"/>
    <w:rsid w:val="00E53106"/>
    <w:rsid w:val="00E531D4"/>
    <w:rsid w:val="00E531EE"/>
    <w:rsid w:val="00E5335D"/>
    <w:rsid w:val="00E534A0"/>
    <w:rsid w:val="00E534CF"/>
    <w:rsid w:val="00E535CD"/>
    <w:rsid w:val="00E53B36"/>
    <w:rsid w:val="00E53B82"/>
    <w:rsid w:val="00E53C15"/>
    <w:rsid w:val="00E53DAA"/>
    <w:rsid w:val="00E53E99"/>
    <w:rsid w:val="00E53F94"/>
    <w:rsid w:val="00E5407D"/>
    <w:rsid w:val="00E5417F"/>
    <w:rsid w:val="00E544FF"/>
    <w:rsid w:val="00E547BE"/>
    <w:rsid w:val="00E54B15"/>
    <w:rsid w:val="00E54C5A"/>
    <w:rsid w:val="00E55041"/>
    <w:rsid w:val="00E5559C"/>
    <w:rsid w:val="00E55A3C"/>
    <w:rsid w:val="00E55BAA"/>
    <w:rsid w:val="00E55FE8"/>
    <w:rsid w:val="00E562AA"/>
    <w:rsid w:val="00E57393"/>
    <w:rsid w:val="00E574F5"/>
    <w:rsid w:val="00E575FF"/>
    <w:rsid w:val="00E577BB"/>
    <w:rsid w:val="00E604EE"/>
    <w:rsid w:val="00E60A58"/>
    <w:rsid w:val="00E60EBB"/>
    <w:rsid w:val="00E6127F"/>
    <w:rsid w:val="00E612E4"/>
    <w:rsid w:val="00E618AC"/>
    <w:rsid w:val="00E61CF9"/>
    <w:rsid w:val="00E61E7A"/>
    <w:rsid w:val="00E62154"/>
    <w:rsid w:val="00E62323"/>
    <w:rsid w:val="00E6234C"/>
    <w:rsid w:val="00E62947"/>
    <w:rsid w:val="00E62EE4"/>
    <w:rsid w:val="00E63061"/>
    <w:rsid w:val="00E632E0"/>
    <w:rsid w:val="00E635AC"/>
    <w:rsid w:val="00E637F6"/>
    <w:rsid w:val="00E63A17"/>
    <w:rsid w:val="00E646F6"/>
    <w:rsid w:val="00E648F7"/>
    <w:rsid w:val="00E65897"/>
    <w:rsid w:val="00E65B54"/>
    <w:rsid w:val="00E66B21"/>
    <w:rsid w:val="00E66DD9"/>
    <w:rsid w:val="00E67019"/>
    <w:rsid w:val="00E6733F"/>
    <w:rsid w:val="00E6763E"/>
    <w:rsid w:val="00E67672"/>
    <w:rsid w:val="00E67801"/>
    <w:rsid w:val="00E678E3"/>
    <w:rsid w:val="00E67AB3"/>
    <w:rsid w:val="00E70217"/>
    <w:rsid w:val="00E70312"/>
    <w:rsid w:val="00E704BA"/>
    <w:rsid w:val="00E70D31"/>
    <w:rsid w:val="00E70FAD"/>
    <w:rsid w:val="00E7111E"/>
    <w:rsid w:val="00E711DB"/>
    <w:rsid w:val="00E71EB4"/>
    <w:rsid w:val="00E71EFF"/>
    <w:rsid w:val="00E72537"/>
    <w:rsid w:val="00E7258C"/>
    <w:rsid w:val="00E72A22"/>
    <w:rsid w:val="00E72F46"/>
    <w:rsid w:val="00E73114"/>
    <w:rsid w:val="00E73633"/>
    <w:rsid w:val="00E73DB0"/>
    <w:rsid w:val="00E73EDC"/>
    <w:rsid w:val="00E7401B"/>
    <w:rsid w:val="00E7409C"/>
    <w:rsid w:val="00E7424A"/>
    <w:rsid w:val="00E7436D"/>
    <w:rsid w:val="00E74844"/>
    <w:rsid w:val="00E7495F"/>
    <w:rsid w:val="00E74D67"/>
    <w:rsid w:val="00E7509E"/>
    <w:rsid w:val="00E75220"/>
    <w:rsid w:val="00E75463"/>
    <w:rsid w:val="00E75484"/>
    <w:rsid w:val="00E758C9"/>
    <w:rsid w:val="00E75B01"/>
    <w:rsid w:val="00E75BB1"/>
    <w:rsid w:val="00E75C15"/>
    <w:rsid w:val="00E761EC"/>
    <w:rsid w:val="00E764DD"/>
    <w:rsid w:val="00E76658"/>
    <w:rsid w:val="00E766FB"/>
    <w:rsid w:val="00E768AE"/>
    <w:rsid w:val="00E76A62"/>
    <w:rsid w:val="00E76CDC"/>
    <w:rsid w:val="00E76ECB"/>
    <w:rsid w:val="00E77B66"/>
    <w:rsid w:val="00E80149"/>
    <w:rsid w:val="00E8067A"/>
    <w:rsid w:val="00E806AF"/>
    <w:rsid w:val="00E80927"/>
    <w:rsid w:val="00E80BD2"/>
    <w:rsid w:val="00E80DA7"/>
    <w:rsid w:val="00E8105C"/>
    <w:rsid w:val="00E812BF"/>
    <w:rsid w:val="00E817C3"/>
    <w:rsid w:val="00E81CB4"/>
    <w:rsid w:val="00E821D2"/>
    <w:rsid w:val="00E82989"/>
    <w:rsid w:val="00E82A8B"/>
    <w:rsid w:val="00E82B40"/>
    <w:rsid w:val="00E83147"/>
    <w:rsid w:val="00E839B4"/>
    <w:rsid w:val="00E8403B"/>
    <w:rsid w:val="00E840E1"/>
    <w:rsid w:val="00E845AB"/>
    <w:rsid w:val="00E849BA"/>
    <w:rsid w:val="00E84EF6"/>
    <w:rsid w:val="00E84FD2"/>
    <w:rsid w:val="00E851AD"/>
    <w:rsid w:val="00E85679"/>
    <w:rsid w:val="00E8585B"/>
    <w:rsid w:val="00E85AA2"/>
    <w:rsid w:val="00E85CE0"/>
    <w:rsid w:val="00E85E59"/>
    <w:rsid w:val="00E86397"/>
    <w:rsid w:val="00E86A01"/>
    <w:rsid w:val="00E86D5D"/>
    <w:rsid w:val="00E8713A"/>
    <w:rsid w:val="00E8756E"/>
    <w:rsid w:val="00E87666"/>
    <w:rsid w:val="00E879FC"/>
    <w:rsid w:val="00E87BC1"/>
    <w:rsid w:val="00E87F14"/>
    <w:rsid w:val="00E87F6A"/>
    <w:rsid w:val="00E90112"/>
    <w:rsid w:val="00E9061E"/>
    <w:rsid w:val="00E90955"/>
    <w:rsid w:val="00E90B7B"/>
    <w:rsid w:val="00E90E17"/>
    <w:rsid w:val="00E90F3B"/>
    <w:rsid w:val="00E915A2"/>
    <w:rsid w:val="00E91636"/>
    <w:rsid w:val="00E91812"/>
    <w:rsid w:val="00E9203D"/>
    <w:rsid w:val="00E9239A"/>
    <w:rsid w:val="00E9261D"/>
    <w:rsid w:val="00E9264A"/>
    <w:rsid w:val="00E92DDE"/>
    <w:rsid w:val="00E9309F"/>
    <w:rsid w:val="00E93171"/>
    <w:rsid w:val="00E93791"/>
    <w:rsid w:val="00E93B27"/>
    <w:rsid w:val="00E93C5E"/>
    <w:rsid w:val="00E93CE6"/>
    <w:rsid w:val="00E93EB3"/>
    <w:rsid w:val="00E93FB3"/>
    <w:rsid w:val="00E94084"/>
    <w:rsid w:val="00E948EB"/>
    <w:rsid w:val="00E94ABF"/>
    <w:rsid w:val="00E94BA9"/>
    <w:rsid w:val="00E94C42"/>
    <w:rsid w:val="00E94C7A"/>
    <w:rsid w:val="00E94F8E"/>
    <w:rsid w:val="00E9502C"/>
    <w:rsid w:val="00E9503E"/>
    <w:rsid w:val="00E95071"/>
    <w:rsid w:val="00E95692"/>
    <w:rsid w:val="00E9574D"/>
    <w:rsid w:val="00E95AFC"/>
    <w:rsid w:val="00E95DBE"/>
    <w:rsid w:val="00E966CB"/>
    <w:rsid w:val="00E9684B"/>
    <w:rsid w:val="00E96874"/>
    <w:rsid w:val="00E969A7"/>
    <w:rsid w:val="00E97099"/>
    <w:rsid w:val="00E97833"/>
    <w:rsid w:val="00E97C59"/>
    <w:rsid w:val="00E97CB0"/>
    <w:rsid w:val="00EA0849"/>
    <w:rsid w:val="00EA11E5"/>
    <w:rsid w:val="00EA14C7"/>
    <w:rsid w:val="00EA17AF"/>
    <w:rsid w:val="00EA1858"/>
    <w:rsid w:val="00EA18E0"/>
    <w:rsid w:val="00EA1CFE"/>
    <w:rsid w:val="00EA1FC4"/>
    <w:rsid w:val="00EA21CC"/>
    <w:rsid w:val="00EA28FF"/>
    <w:rsid w:val="00EA296D"/>
    <w:rsid w:val="00EA2CB6"/>
    <w:rsid w:val="00EA30EB"/>
    <w:rsid w:val="00EA33CC"/>
    <w:rsid w:val="00EA372B"/>
    <w:rsid w:val="00EA39F7"/>
    <w:rsid w:val="00EA3AD8"/>
    <w:rsid w:val="00EA3C94"/>
    <w:rsid w:val="00EA3E24"/>
    <w:rsid w:val="00EA3F15"/>
    <w:rsid w:val="00EA3F81"/>
    <w:rsid w:val="00EA3FCD"/>
    <w:rsid w:val="00EA412C"/>
    <w:rsid w:val="00EA438F"/>
    <w:rsid w:val="00EA46E5"/>
    <w:rsid w:val="00EA4DC1"/>
    <w:rsid w:val="00EA52EF"/>
    <w:rsid w:val="00EA59DF"/>
    <w:rsid w:val="00EA5FBC"/>
    <w:rsid w:val="00EA6075"/>
    <w:rsid w:val="00EA6384"/>
    <w:rsid w:val="00EA6385"/>
    <w:rsid w:val="00EA63AE"/>
    <w:rsid w:val="00EA643A"/>
    <w:rsid w:val="00EA64F9"/>
    <w:rsid w:val="00EA6775"/>
    <w:rsid w:val="00EA705D"/>
    <w:rsid w:val="00EA7847"/>
    <w:rsid w:val="00EA7CDF"/>
    <w:rsid w:val="00EA7D12"/>
    <w:rsid w:val="00EA7FB7"/>
    <w:rsid w:val="00EB005E"/>
    <w:rsid w:val="00EB0F2E"/>
    <w:rsid w:val="00EB0F69"/>
    <w:rsid w:val="00EB0F94"/>
    <w:rsid w:val="00EB1040"/>
    <w:rsid w:val="00EB1127"/>
    <w:rsid w:val="00EB128B"/>
    <w:rsid w:val="00EB180D"/>
    <w:rsid w:val="00EB1A18"/>
    <w:rsid w:val="00EB1C8E"/>
    <w:rsid w:val="00EB1DFE"/>
    <w:rsid w:val="00EB2144"/>
    <w:rsid w:val="00EB2359"/>
    <w:rsid w:val="00EB249C"/>
    <w:rsid w:val="00EB2884"/>
    <w:rsid w:val="00EB290B"/>
    <w:rsid w:val="00EB298E"/>
    <w:rsid w:val="00EB29EB"/>
    <w:rsid w:val="00EB2A42"/>
    <w:rsid w:val="00EB2BFD"/>
    <w:rsid w:val="00EB2D37"/>
    <w:rsid w:val="00EB2F1D"/>
    <w:rsid w:val="00EB382D"/>
    <w:rsid w:val="00EB3ADA"/>
    <w:rsid w:val="00EB3EC9"/>
    <w:rsid w:val="00EB41C9"/>
    <w:rsid w:val="00EB433A"/>
    <w:rsid w:val="00EB449D"/>
    <w:rsid w:val="00EB44A9"/>
    <w:rsid w:val="00EB463A"/>
    <w:rsid w:val="00EB49EC"/>
    <w:rsid w:val="00EB4B08"/>
    <w:rsid w:val="00EB4C2E"/>
    <w:rsid w:val="00EB4CE0"/>
    <w:rsid w:val="00EB512D"/>
    <w:rsid w:val="00EB5E91"/>
    <w:rsid w:val="00EB5F52"/>
    <w:rsid w:val="00EB623F"/>
    <w:rsid w:val="00EB65A8"/>
    <w:rsid w:val="00EB6B3E"/>
    <w:rsid w:val="00EB6C50"/>
    <w:rsid w:val="00EB6D3E"/>
    <w:rsid w:val="00EB6DC4"/>
    <w:rsid w:val="00EB6EC3"/>
    <w:rsid w:val="00EB7721"/>
    <w:rsid w:val="00EB77E0"/>
    <w:rsid w:val="00EB7C1D"/>
    <w:rsid w:val="00EB7C94"/>
    <w:rsid w:val="00EB7D93"/>
    <w:rsid w:val="00EC008D"/>
    <w:rsid w:val="00EC0664"/>
    <w:rsid w:val="00EC081A"/>
    <w:rsid w:val="00EC0893"/>
    <w:rsid w:val="00EC090A"/>
    <w:rsid w:val="00EC0BD6"/>
    <w:rsid w:val="00EC0D38"/>
    <w:rsid w:val="00EC14B0"/>
    <w:rsid w:val="00EC19F3"/>
    <w:rsid w:val="00EC1B4D"/>
    <w:rsid w:val="00EC1B50"/>
    <w:rsid w:val="00EC1D4D"/>
    <w:rsid w:val="00EC20A4"/>
    <w:rsid w:val="00EC24F4"/>
    <w:rsid w:val="00EC264A"/>
    <w:rsid w:val="00EC2796"/>
    <w:rsid w:val="00EC2DB1"/>
    <w:rsid w:val="00EC2EE4"/>
    <w:rsid w:val="00EC3714"/>
    <w:rsid w:val="00EC3BE7"/>
    <w:rsid w:val="00EC43BA"/>
    <w:rsid w:val="00EC4B96"/>
    <w:rsid w:val="00EC564B"/>
    <w:rsid w:val="00EC62C4"/>
    <w:rsid w:val="00EC6500"/>
    <w:rsid w:val="00EC6657"/>
    <w:rsid w:val="00EC681D"/>
    <w:rsid w:val="00EC6C14"/>
    <w:rsid w:val="00EC71E4"/>
    <w:rsid w:val="00EC7415"/>
    <w:rsid w:val="00EC7775"/>
    <w:rsid w:val="00ED0102"/>
    <w:rsid w:val="00ED05E1"/>
    <w:rsid w:val="00ED0822"/>
    <w:rsid w:val="00ED0A85"/>
    <w:rsid w:val="00ED0B49"/>
    <w:rsid w:val="00ED0EE2"/>
    <w:rsid w:val="00ED0F16"/>
    <w:rsid w:val="00ED0F7C"/>
    <w:rsid w:val="00ED18BE"/>
    <w:rsid w:val="00ED1A60"/>
    <w:rsid w:val="00ED1CA4"/>
    <w:rsid w:val="00ED1DFF"/>
    <w:rsid w:val="00ED28C9"/>
    <w:rsid w:val="00ED290A"/>
    <w:rsid w:val="00ED2A1C"/>
    <w:rsid w:val="00ED2DDD"/>
    <w:rsid w:val="00ED301E"/>
    <w:rsid w:val="00ED3EA2"/>
    <w:rsid w:val="00ED4147"/>
    <w:rsid w:val="00ED458E"/>
    <w:rsid w:val="00ED45AC"/>
    <w:rsid w:val="00ED4D14"/>
    <w:rsid w:val="00ED4E53"/>
    <w:rsid w:val="00ED4EB3"/>
    <w:rsid w:val="00ED51A0"/>
    <w:rsid w:val="00ED54C8"/>
    <w:rsid w:val="00ED63A2"/>
    <w:rsid w:val="00ED64B7"/>
    <w:rsid w:val="00ED6ABF"/>
    <w:rsid w:val="00ED7166"/>
    <w:rsid w:val="00ED7610"/>
    <w:rsid w:val="00ED780C"/>
    <w:rsid w:val="00EE014D"/>
    <w:rsid w:val="00EE058F"/>
    <w:rsid w:val="00EE0793"/>
    <w:rsid w:val="00EE0C1C"/>
    <w:rsid w:val="00EE0E6E"/>
    <w:rsid w:val="00EE1002"/>
    <w:rsid w:val="00EE11A5"/>
    <w:rsid w:val="00EE19C4"/>
    <w:rsid w:val="00EE1B3B"/>
    <w:rsid w:val="00EE2319"/>
    <w:rsid w:val="00EE2E6D"/>
    <w:rsid w:val="00EE2E6E"/>
    <w:rsid w:val="00EE2F3A"/>
    <w:rsid w:val="00EE3106"/>
    <w:rsid w:val="00EE324C"/>
    <w:rsid w:val="00EE3828"/>
    <w:rsid w:val="00EE38B5"/>
    <w:rsid w:val="00EE3A47"/>
    <w:rsid w:val="00EE3B42"/>
    <w:rsid w:val="00EE3BD8"/>
    <w:rsid w:val="00EE3D1F"/>
    <w:rsid w:val="00EE422D"/>
    <w:rsid w:val="00EE439C"/>
    <w:rsid w:val="00EE44FF"/>
    <w:rsid w:val="00EE49E1"/>
    <w:rsid w:val="00EE4BDB"/>
    <w:rsid w:val="00EE4C06"/>
    <w:rsid w:val="00EE4EE2"/>
    <w:rsid w:val="00EE5298"/>
    <w:rsid w:val="00EE53EB"/>
    <w:rsid w:val="00EE5847"/>
    <w:rsid w:val="00EE594F"/>
    <w:rsid w:val="00EE59D3"/>
    <w:rsid w:val="00EE5CB9"/>
    <w:rsid w:val="00EE5F7D"/>
    <w:rsid w:val="00EE5FDA"/>
    <w:rsid w:val="00EE622C"/>
    <w:rsid w:val="00EE692D"/>
    <w:rsid w:val="00EE6C8A"/>
    <w:rsid w:val="00EE6CD9"/>
    <w:rsid w:val="00EE6D43"/>
    <w:rsid w:val="00EE6E20"/>
    <w:rsid w:val="00EE71CE"/>
    <w:rsid w:val="00EE725D"/>
    <w:rsid w:val="00EE7555"/>
    <w:rsid w:val="00EE7614"/>
    <w:rsid w:val="00EE7651"/>
    <w:rsid w:val="00EE7676"/>
    <w:rsid w:val="00EE7930"/>
    <w:rsid w:val="00EE7BF4"/>
    <w:rsid w:val="00EE7CB7"/>
    <w:rsid w:val="00EE7D8A"/>
    <w:rsid w:val="00EF0942"/>
    <w:rsid w:val="00EF0A19"/>
    <w:rsid w:val="00EF0C4F"/>
    <w:rsid w:val="00EF0CC5"/>
    <w:rsid w:val="00EF0E52"/>
    <w:rsid w:val="00EF0E61"/>
    <w:rsid w:val="00EF0F2D"/>
    <w:rsid w:val="00EF0F82"/>
    <w:rsid w:val="00EF10AD"/>
    <w:rsid w:val="00EF14D8"/>
    <w:rsid w:val="00EF1B32"/>
    <w:rsid w:val="00EF1B71"/>
    <w:rsid w:val="00EF1C7B"/>
    <w:rsid w:val="00EF2031"/>
    <w:rsid w:val="00EF297F"/>
    <w:rsid w:val="00EF2A9E"/>
    <w:rsid w:val="00EF2BFF"/>
    <w:rsid w:val="00EF2C2D"/>
    <w:rsid w:val="00EF313A"/>
    <w:rsid w:val="00EF32C0"/>
    <w:rsid w:val="00EF330F"/>
    <w:rsid w:val="00EF339E"/>
    <w:rsid w:val="00EF3921"/>
    <w:rsid w:val="00EF4610"/>
    <w:rsid w:val="00EF4690"/>
    <w:rsid w:val="00EF4B93"/>
    <w:rsid w:val="00EF5186"/>
    <w:rsid w:val="00EF5490"/>
    <w:rsid w:val="00EF57E0"/>
    <w:rsid w:val="00EF5D73"/>
    <w:rsid w:val="00EF6073"/>
    <w:rsid w:val="00EF63CE"/>
    <w:rsid w:val="00EF6591"/>
    <w:rsid w:val="00EF66DD"/>
    <w:rsid w:val="00EF69DA"/>
    <w:rsid w:val="00EF7019"/>
    <w:rsid w:val="00EF71F6"/>
    <w:rsid w:val="00EF773E"/>
    <w:rsid w:val="00EF786F"/>
    <w:rsid w:val="00EF79CD"/>
    <w:rsid w:val="00EF7B4F"/>
    <w:rsid w:val="00EF7F92"/>
    <w:rsid w:val="00F001F2"/>
    <w:rsid w:val="00F00C37"/>
    <w:rsid w:val="00F00C43"/>
    <w:rsid w:val="00F01068"/>
    <w:rsid w:val="00F011F8"/>
    <w:rsid w:val="00F0125C"/>
    <w:rsid w:val="00F01431"/>
    <w:rsid w:val="00F017CD"/>
    <w:rsid w:val="00F01806"/>
    <w:rsid w:val="00F0183B"/>
    <w:rsid w:val="00F01B61"/>
    <w:rsid w:val="00F01DF9"/>
    <w:rsid w:val="00F01F7C"/>
    <w:rsid w:val="00F02409"/>
    <w:rsid w:val="00F02D8F"/>
    <w:rsid w:val="00F03A58"/>
    <w:rsid w:val="00F03A5C"/>
    <w:rsid w:val="00F03C13"/>
    <w:rsid w:val="00F03C33"/>
    <w:rsid w:val="00F04179"/>
    <w:rsid w:val="00F043B3"/>
    <w:rsid w:val="00F04455"/>
    <w:rsid w:val="00F044EB"/>
    <w:rsid w:val="00F0501D"/>
    <w:rsid w:val="00F05418"/>
    <w:rsid w:val="00F05581"/>
    <w:rsid w:val="00F05666"/>
    <w:rsid w:val="00F05B1B"/>
    <w:rsid w:val="00F05D3C"/>
    <w:rsid w:val="00F05DEF"/>
    <w:rsid w:val="00F05FD5"/>
    <w:rsid w:val="00F0631F"/>
    <w:rsid w:val="00F063A0"/>
    <w:rsid w:val="00F06564"/>
    <w:rsid w:val="00F066E9"/>
    <w:rsid w:val="00F067E2"/>
    <w:rsid w:val="00F069AD"/>
    <w:rsid w:val="00F06BD0"/>
    <w:rsid w:val="00F07097"/>
    <w:rsid w:val="00F0732D"/>
    <w:rsid w:val="00F07444"/>
    <w:rsid w:val="00F0759E"/>
    <w:rsid w:val="00F075A1"/>
    <w:rsid w:val="00F07762"/>
    <w:rsid w:val="00F07DF4"/>
    <w:rsid w:val="00F07E4D"/>
    <w:rsid w:val="00F101D6"/>
    <w:rsid w:val="00F10203"/>
    <w:rsid w:val="00F104B4"/>
    <w:rsid w:val="00F10644"/>
    <w:rsid w:val="00F10E43"/>
    <w:rsid w:val="00F10F88"/>
    <w:rsid w:val="00F11E95"/>
    <w:rsid w:val="00F11EC6"/>
    <w:rsid w:val="00F11EE2"/>
    <w:rsid w:val="00F124AE"/>
    <w:rsid w:val="00F130B7"/>
    <w:rsid w:val="00F13146"/>
    <w:rsid w:val="00F13554"/>
    <w:rsid w:val="00F13FC5"/>
    <w:rsid w:val="00F14002"/>
    <w:rsid w:val="00F14315"/>
    <w:rsid w:val="00F14384"/>
    <w:rsid w:val="00F143DE"/>
    <w:rsid w:val="00F14A9C"/>
    <w:rsid w:val="00F14C6D"/>
    <w:rsid w:val="00F15075"/>
    <w:rsid w:val="00F150D2"/>
    <w:rsid w:val="00F15208"/>
    <w:rsid w:val="00F15378"/>
    <w:rsid w:val="00F15565"/>
    <w:rsid w:val="00F1567B"/>
    <w:rsid w:val="00F158EE"/>
    <w:rsid w:val="00F158F4"/>
    <w:rsid w:val="00F15CBA"/>
    <w:rsid w:val="00F15ED6"/>
    <w:rsid w:val="00F16034"/>
    <w:rsid w:val="00F161BB"/>
    <w:rsid w:val="00F16386"/>
    <w:rsid w:val="00F1649D"/>
    <w:rsid w:val="00F16628"/>
    <w:rsid w:val="00F167C9"/>
    <w:rsid w:val="00F16B05"/>
    <w:rsid w:val="00F16C18"/>
    <w:rsid w:val="00F16E1A"/>
    <w:rsid w:val="00F16FCA"/>
    <w:rsid w:val="00F170CC"/>
    <w:rsid w:val="00F171E1"/>
    <w:rsid w:val="00F1720B"/>
    <w:rsid w:val="00F1735B"/>
    <w:rsid w:val="00F1742C"/>
    <w:rsid w:val="00F17790"/>
    <w:rsid w:val="00F17814"/>
    <w:rsid w:val="00F17978"/>
    <w:rsid w:val="00F17C06"/>
    <w:rsid w:val="00F17C1E"/>
    <w:rsid w:val="00F17CFA"/>
    <w:rsid w:val="00F17D20"/>
    <w:rsid w:val="00F17D9D"/>
    <w:rsid w:val="00F17DC5"/>
    <w:rsid w:val="00F17E1D"/>
    <w:rsid w:val="00F17E37"/>
    <w:rsid w:val="00F20163"/>
    <w:rsid w:val="00F20850"/>
    <w:rsid w:val="00F210D7"/>
    <w:rsid w:val="00F2158F"/>
    <w:rsid w:val="00F21B91"/>
    <w:rsid w:val="00F21E3C"/>
    <w:rsid w:val="00F21F0E"/>
    <w:rsid w:val="00F22145"/>
    <w:rsid w:val="00F2233E"/>
    <w:rsid w:val="00F223B9"/>
    <w:rsid w:val="00F22540"/>
    <w:rsid w:val="00F2274A"/>
    <w:rsid w:val="00F22B5C"/>
    <w:rsid w:val="00F22B84"/>
    <w:rsid w:val="00F2329B"/>
    <w:rsid w:val="00F23351"/>
    <w:rsid w:val="00F234CE"/>
    <w:rsid w:val="00F235EA"/>
    <w:rsid w:val="00F236CA"/>
    <w:rsid w:val="00F239A6"/>
    <w:rsid w:val="00F23B14"/>
    <w:rsid w:val="00F23E17"/>
    <w:rsid w:val="00F2447F"/>
    <w:rsid w:val="00F24508"/>
    <w:rsid w:val="00F248C8"/>
    <w:rsid w:val="00F24931"/>
    <w:rsid w:val="00F24F14"/>
    <w:rsid w:val="00F24FFB"/>
    <w:rsid w:val="00F25728"/>
    <w:rsid w:val="00F25AA1"/>
    <w:rsid w:val="00F25D45"/>
    <w:rsid w:val="00F25E83"/>
    <w:rsid w:val="00F25F3B"/>
    <w:rsid w:val="00F260ED"/>
    <w:rsid w:val="00F263F8"/>
    <w:rsid w:val="00F27383"/>
    <w:rsid w:val="00F27665"/>
    <w:rsid w:val="00F27729"/>
    <w:rsid w:val="00F27BA5"/>
    <w:rsid w:val="00F27F24"/>
    <w:rsid w:val="00F30011"/>
    <w:rsid w:val="00F3010F"/>
    <w:rsid w:val="00F306A1"/>
    <w:rsid w:val="00F3087F"/>
    <w:rsid w:val="00F30B18"/>
    <w:rsid w:val="00F31266"/>
    <w:rsid w:val="00F3137A"/>
    <w:rsid w:val="00F31642"/>
    <w:rsid w:val="00F31679"/>
    <w:rsid w:val="00F316FA"/>
    <w:rsid w:val="00F317DC"/>
    <w:rsid w:val="00F31BED"/>
    <w:rsid w:val="00F31CAF"/>
    <w:rsid w:val="00F31DA7"/>
    <w:rsid w:val="00F321F4"/>
    <w:rsid w:val="00F32898"/>
    <w:rsid w:val="00F32EE8"/>
    <w:rsid w:val="00F33430"/>
    <w:rsid w:val="00F337A4"/>
    <w:rsid w:val="00F337D9"/>
    <w:rsid w:val="00F33B43"/>
    <w:rsid w:val="00F33C70"/>
    <w:rsid w:val="00F34046"/>
    <w:rsid w:val="00F34239"/>
    <w:rsid w:val="00F343F2"/>
    <w:rsid w:val="00F34585"/>
    <w:rsid w:val="00F3467E"/>
    <w:rsid w:val="00F34782"/>
    <w:rsid w:val="00F34952"/>
    <w:rsid w:val="00F34E34"/>
    <w:rsid w:val="00F34F90"/>
    <w:rsid w:val="00F350AF"/>
    <w:rsid w:val="00F35742"/>
    <w:rsid w:val="00F358D1"/>
    <w:rsid w:val="00F35935"/>
    <w:rsid w:val="00F359A7"/>
    <w:rsid w:val="00F35AC2"/>
    <w:rsid w:val="00F35B02"/>
    <w:rsid w:val="00F35C70"/>
    <w:rsid w:val="00F35E67"/>
    <w:rsid w:val="00F3634B"/>
    <w:rsid w:val="00F36953"/>
    <w:rsid w:val="00F369DF"/>
    <w:rsid w:val="00F37175"/>
    <w:rsid w:val="00F372A6"/>
    <w:rsid w:val="00F3771C"/>
    <w:rsid w:val="00F37A09"/>
    <w:rsid w:val="00F37B32"/>
    <w:rsid w:val="00F37D88"/>
    <w:rsid w:val="00F40A82"/>
    <w:rsid w:val="00F40D01"/>
    <w:rsid w:val="00F40F24"/>
    <w:rsid w:val="00F41373"/>
    <w:rsid w:val="00F413D8"/>
    <w:rsid w:val="00F42A7C"/>
    <w:rsid w:val="00F42CBD"/>
    <w:rsid w:val="00F43046"/>
    <w:rsid w:val="00F432E6"/>
    <w:rsid w:val="00F43355"/>
    <w:rsid w:val="00F43858"/>
    <w:rsid w:val="00F439FD"/>
    <w:rsid w:val="00F43A72"/>
    <w:rsid w:val="00F43CA8"/>
    <w:rsid w:val="00F4514D"/>
    <w:rsid w:val="00F4540C"/>
    <w:rsid w:val="00F45648"/>
    <w:rsid w:val="00F4577B"/>
    <w:rsid w:val="00F459E6"/>
    <w:rsid w:val="00F45B42"/>
    <w:rsid w:val="00F45E87"/>
    <w:rsid w:val="00F460A2"/>
    <w:rsid w:val="00F4627D"/>
    <w:rsid w:val="00F46409"/>
    <w:rsid w:val="00F4651A"/>
    <w:rsid w:val="00F465C5"/>
    <w:rsid w:val="00F468DB"/>
    <w:rsid w:val="00F46B99"/>
    <w:rsid w:val="00F46C89"/>
    <w:rsid w:val="00F47590"/>
    <w:rsid w:val="00F479D3"/>
    <w:rsid w:val="00F47B49"/>
    <w:rsid w:val="00F47D8A"/>
    <w:rsid w:val="00F47DC6"/>
    <w:rsid w:val="00F47E1A"/>
    <w:rsid w:val="00F47F06"/>
    <w:rsid w:val="00F47FE9"/>
    <w:rsid w:val="00F503ED"/>
    <w:rsid w:val="00F505B2"/>
    <w:rsid w:val="00F50683"/>
    <w:rsid w:val="00F50C91"/>
    <w:rsid w:val="00F50F14"/>
    <w:rsid w:val="00F50FAE"/>
    <w:rsid w:val="00F512F1"/>
    <w:rsid w:val="00F51347"/>
    <w:rsid w:val="00F513F0"/>
    <w:rsid w:val="00F518A8"/>
    <w:rsid w:val="00F51BE3"/>
    <w:rsid w:val="00F51DC3"/>
    <w:rsid w:val="00F51E2E"/>
    <w:rsid w:val="00F51EDD"/>
    <w:rsid w:val="00F5283F"/>
    <w:rsid w:val="00F52C1D"/>
    <w:rsid w:val="00F52F1F"/>
    <w:rsid w:val="00F5360F"/>
    <w:rsid w:val="00F536E4"/>
    <w:rsid w:val="00F53D77"/>
    <w:rsid w:val="00F55726"/>
    <w:rsid w:val="00F5583F"/>
    <w:rsid w:val="00F55D66"/>
    <w:rsid w:val="00F55DA9"/>
    <w:rsid w:val="00F55F6D"/>
    <w:rsid w:val="00F5619A"/>
    <w:rsid w:val="00F565B9"/>
    <w:rsid w:val="00F5678C"/>
    <w:rsid w:val="00F569FD"/>
    <w:rsid w:val="00F570AD"/>
    <w:rsid w:val="00F57245"/>
    <w:rsid w:val="00F572C5"/>
    <w:rsid w:val="00F57344"/>
    <w:rsid w:val="00F57386"/>
    <w:rsid w:val="00F57573"/>
    <w:rsid w:val="00F578B6"/>
    <w:rsid w:val="00F6049C"/>
    <w:rsid w:val="00F6087F"/>
    <w:rsid w:val="00F60F1A"/>
    <w:rsid w:val="00F616DA"/>
    <w:rsid w:val="00F61F17"/>
    <w:rsid w:val="00F61F7D"/>
    <w:rsid w:val="00F620D3"/>
    <w:rsid w:val="00F621DA"/>
    <w:rsid w:val="00F62312"/>
    <w:rsid w:val="00F62342"/>
    <w:rsid w:val="00F62383"/>
    <w:rsid w:val="00F62459"/>
    <w:rsid w:val="00F62791"/>
    <w:rsid w:val="00F62A30"/>
    <w:rsid w:val="00F62EB3"/>
    <w:rsid w:val="00F62ECE"/>
    <w:rsid w:val="00F633BD"/>
    <w:rsid w:val="00F634AC"/>
    <w:rsid w:val="00F6368A"/>
    <w:rsid w:val="00F63DCB"/>
    <w:rsid w:val="00F64113"/>
    <w:rsid w:val="00F645E4"/>
    <w:rsid w:val="00F64683"/>
    <w:rsid w:val="00F64E17"/>
    <w:rsid w:val="00F650D7"/>
    <w:rsid w:val="00F651E9"/>
    <w:rsid w:val="00F652B9"/>
    <w:rsid w:val="00F655DC"/>
    <w:rsid w:val="00F65796"/>
    <w:rsid w:val="00F66001"/>
    <w:rsid w:val="00F661F0"/>
    <w:rsid w:val="00F66267"/>
    <w:rsid w:val="00F66383"/>
    <w:rsid w:val="00F66696"/>
    <w:rsid w:val="00F66889"/>
    <w:rsid w:val="00F669AB"/>
    <w:rsid w:val="00F66A2C"/>
    <w:rsid w:val="00F66B49"/>
    <w:rsid w:val="00F66C46"/>
    <w:rsid w:val="00F66D76"/>
    <w:rsid w:val="00F66E9F"/>
    <w:rsid w:val="00F671ED"/>
    <w:rsid w:val="00F67621"/>
    <w:rsid w:val="00F67794"/>
    <w:rsid w:val="00F6787C"/>
    <w:rsid w:val="00F700DD"/>
    <w:rsid w:val="00F702FE"/>
    <w:rsid w:val="00F70392"/>
    <w:rsid w:val="00F707B3"/>
    <w:rsid w:val="00F70977"/>
    <w:rsid w:val="00F70D52"/>
    <w:rsid w:val="00F71198"/>
    <w:rsid w:val="00F712A7"/>
    <w:rsid w:val="00F7159B"/>
    <w:rsid w:val="00F71833"/>
    <w:rsid w:val="00F718F3"/>
    <w:rsid w:val="00F719A8"/>
    <w:rsid w:val="00F71C14"/>
    <w:rsid w:val="00F71C6E"/>
    <w:rsid w:val="00F71CBA"/>
    <w:rsid w:val="00F71E33"/>
    <w:rsid w:val="00F72311"/>
    <w:rsid w:val="00F72719"/>
    <w:rsid w:val="00F72933"/>
    <w:rsid w:val="00F72BA7"/>
    <w:rsid w:val="00F72C2E"/>
    <w:rsid w:val="00F72F08"/>
    <w:rsid w:val="00F73338"/>
    <w:rsid w:val="00F736B6"/>
    <w:rsid w:val="00F73FE5"/>
    <w:rsid w:val="00F742A8"/>
    <w:rsid w:val="00F74838"/>
    <w:rsid w:val="00F74D57"/>
    <w:rsid w:val="00F74F81"/>
    <w:rsid w:val="00F74FA5"/>
    <w:rsid w:val="00F752C1"/>
    <w:rsid w:val="00F75339"/>
    <w:rsid w:val="00F7590A"/>
    <w:rsid w:val="00F75B33"/>
    <w:rsid w:val="00F75BC2"/>
    <w:rsid w:val="00F762A8"/>
    <w:rsid w:val="00F76456"/>
    <w:rsid w:val="00F7656A"/>
    <w:rsid w:val="00F7664E"/>
    <w:rsid w:val="00F766A9"/>
    <w:rsid w:val="00F7670F"/>
    <w:rsid w:val="00F76E55"/>
    <w:rsid w:val="00F76F67"/>
    <w:rsid w:val="00F77544"/>
    <w:rsid w:val="00F77741"/>
    <w:rsid w:val="00F7776C"/>
    <w:rsid w:val="00F77792"/>
    <w:rsid w:val="00F777B3"/>
    <w:rsid w:val="00F778C7"/>
    <w:rsid w:val="00F779E7"/>
    <w:rsid w:val="00F77BED"/>
    <w:rsid w:val="00F80683"/>
    <w:rsid w:val="00F80CDC"/>
    <w:rsid w:val="00F80D24"/>
    <w:rsid w:val="00F80E5F"/>
    <w:rsid w:val="00F81167"/>
    <w:rsid w:val="00F8145D"/>
    <w:rsid w:val="00F81894"/>
    <w:rsid w:val="00F81D18"/>
    <w:rsid w:val="00F81D80"/>
    <w:rsid w:val="00F82194"/>
    <w:rsid w:val="00F821A3"/>
    <w:rsid w:val="00F821B5"/>
    <w:rsid w:val="00F823CB"/>
    <w:rsid w:val="00F8268F"/>
    <w:rsid w:val="00F82DE9"/>
    <w:rsid w:val="00F82FD1"/>
    <w:rsid w:val="00F830E9"/>
    <w:rsid w:val="00F84069"/>
    <w:rsid w:val="00F841B2"/>
    <w:rsid w:val="00F84267"/>
    <w:rsid w:val="00F844FE"/>
    <w:rsid w:val="00F84898"/>
    <w:rsid w:val="00F84B23"/>
    <w:rsid w:val="00F84DE4"/>
    <w:rsid w:val="00F85061"/>
    <w:rsid w:val="00F854E0"/>
    <w:rsid w:val="00F85A52"/>
    <w:rsid w:val="00F85C08"/>
    <w:rsid w:val="00F85DD5"/>
    <w:rsid w:val="00F8601C"/>
    <w:rsid w:val="00F8609D"/>
    <w:rsid w:val="00F862DC"/>
    <w:rsid w:val="00F86450"/>
    <w:rsid w:val="00F86593"/>
    <w:rsid w:val="00F865E9"/>
    <w:rsid w:val="00F865FC"/>
    <w:rsid w:val="00F86627"/>
    <w:rsid w:val="00F867C6"/>
    <w:rsid w:val="00F86A8F"/>
    <w:rsid w:val="00F86F56"/>
    <w:rsid w:val="00F86F8E"/>
    <w:rsid w:val="00F870C0"/>
    <w:rsid w:val="00F8715C"/>
    <w:rsid w:val="00F875A4"/>
    <w:rsid w:val="00F8779B"/>
    <w:rsid w:val="00F87ACE"/>
    <w:rsid w:val="00F87E4F"/>
    <w:rsid w:val="00F87F20"/>
    <w:rsid w:val="00F9033A"/>
    <w:rsid w:val="00F90846"/>
    <w:rsid w:val="00F9088F"/>
    <w:rsid w:val="00F90927"/>
    <w:rsid w:val="00F90AC9"/>
    <w:rsid w:val="00F90B03"/>
    <w:rsid w:val="00F90CC9"/>
    <w:rsid w:val="00F90F09"/>
    <w:rsid w:val="00F913DF"/>
    <w:rsid w:val="00F9164E"/>
    <w:rsid w:val="00F916FF"/>
    <w:rsid w:val="00F919CC"/>
    <w:rsid w:val="00F925A2"/>
    <w:rsid w:val="00F926D7"/>
    <w:rsid w:val="00F92C12"/>
    <w:rsid w:val="00F92DBC"/>
    <w:rsid w:val="00F92DEE"/>
    <w:rsid w:val="00F9314A"/>
    <w:rsid w:val="00F935FB"/>
    <w:rsid w:val="00F9373E"/>
    <w:rsid w:val="00F93924"/>
    <w:rsid w:val="00F9399C"/>
    <w:rsid w:val="00F93D4A"/>
    <w:rsid w:val="00F93E85"/>
    <w:rsid w:val="00F9402E"/>
    <w:rsid w:val="00F94401"/>
    <w:rsid w:val="00F94409"/>
    <w:rsid w:val="00F94650"/>
    <w:rsid w:val="00F94876"/>
    <w:rsid w:val="00F94A26"/>
    <w:rsid w:val="00F94BAD"/>
    <w:rsid w:val="00F950F2"/>
    <w:rsid w:val="00F953E5"/>
    <w:rsid w:val="00F955C3"/>
    <w:rsid w:val="00F957D8"/>
    <w:rsid w:val="00F959E4"/>
    <w:rsid w:val="00F95C9F"/>
    <w:rsid w:val="00F95CFF"/>
    <w:rsid w:val="00F95D51"/>
    <w:rsid w:val="00F95F39"/>
    <w:rsid w:val="00F961C5"/>
    <w:rsid w:val="00F9652F"/>
    <w:rsid w:val="00F97F25"/>
    <w:rsid w:val="00F97FBC"/>
    <w:rsid w:val="00FA0F9A"/>
    <w:rsid w:val="00FA136C"/>
    <w:rsid w:val="00FA15A0"/>
    <w:rsid w:val="00FA1A8B"/>
    <w:rsid w:val="00FA1AA5"/>
    <w:rsid w:val="00FA1D2A"/>
    <w:rsid w:val="00FA2124"/>
    <w:rsid w:val="00FA2159"/>
    <w:rsid w:val="00FA2188"/>
    <w:rsid w:val="00FA22E1"/>
    <w:rsid w:val="00FA2430"/>
    <w:rsid w:val="00FA289D"/>
    <w:rsid w:val="00FA2923"/>
    <w:rsid w:val="00FA2D26"/>
    <w:rsid w:val="00FA2E4E"/>
    <w:rsid w:val="00FA310D"/>
    <w:rsid w:val="00FA31C4"/>
    <w:rsid w:val="00FA32F3"/>
    <w:rsid w:val="00FA34B4"/>
    <w:rsid w:val="00FA3594"/>
    <w:rsid w:val="00FA3B7E"/>
    <w:rsid w:val="00FA3F4D"/>
    <w:rsid w:val="00FA3F61"/>
    <w:rsid w:val="00FA42C7"/>
    <w:rsid w:val="00FA4343"/>
    <w:rsid w:val="00FA47EE"/>
    <w:rsid w:val="00FA5679"/>
    <w:rsid w:val="00FA56E6"/>
    <w:rsid w:val="00FA5956"/>
    <w:rsid w:val="00FA5CDF"/>
    <w:rsid w:val="00FA62E1"/>
    <w:rsid w:val="00FA6396"/>
    <w:rsid w:val="00FA66DD"/>
    <w:rsid w:val="00FA70D8"/>
    <w:rsid w:val="00FA75A1"/>
    <w:rsid w:val="00FA76A1"/>
    <w:rsid w:val="00FA778A"/>
    <w:rsid w:val="00FA7D90"/>
    <w:rsid w:val="00FB098E"/>
    <w:rsid w:val="00FB0C1A"/>
    <w:rsid w:val="00FB0ECE"/>
    <w:rsid w:val="00FB0EE9"/>
    <w:rsid w:val="00FB1146"/>
    <w:rsid w:val="00FB1299"/>
    <w:rsid w:val="00FB12A0"/>
    <w:rsid w:val="00FB1437"/>
    <w:rsid w:val="00FB153A"/>
    <w:rsid w:val="00FB1546"/>
    <w:rsid w:val="00FB17B6"/>
    <w:rsid w:val="00FB1AA2"/>
    <w:rsid w:val="00FB1BE1"/>
    <w:rsid w:val="00FB1E7A"/>
    <w:rsid w:val="00FB1F56"/>
    <w:rsid w:val="00FB2114"/>
    <w:rsid w:val="00FB220F"/>
    <w:rsid w:val="00FB2E67"/>
    <w:rsid w:val="00FB32E6"/>
    <w:rsid w:val="00FB3580"/>
    <w:rsid w:val="00FB37B7"/>
    <w:rsid w:val="00FB3832"/>
    <w:rsid w:val="00FB3A93"/>
    <w:rsid w:val="00FB3CB4"/>
    <w:rsid w:val="00FB3ED9"/>
    <w:rsid w:val="00FB4014"/>
    <w:rsid w:val="00FB40DF"/>
    <w:rsid w:val="00FB4454"/>
    <w:rsid w:val="00FB47BD"/>
    <w:rsid w:val="00FB4B5A"/>
    <w:rsid w:val="00FB4BD0"/>
    <w:rsid w:val="00FB4C2A"/>
    <w:rsid w:val="00FB5666"/>
    <w:rsid w:val="00FB5730"/>
    <w:rsid w:val="00FB57F3"/>
    <w:rsid w:val="00FB5EC0"/>
    <w:rsid w:val="00FB5F17"/>
    <w:rsid w:val="00FB63CC"/>
    <w:rsid w:val="00FB643F"/>
    <w:rsid w:val="00FB65E0"/>
    <w:rsid w:val="00FB6677"/>
    <w:rsid w:val="00FB6693"/>
    <w:rsid w:val="00FB68C4"/>
    <w:rsid w:val="00FB6C82"/>
    <w:rsid w:val="00FB70A3"/>
    <w:rsid w:val="00FB7323"/>
    <w:rsid w:val="00FB770A"/>
    <w:rsid w:val="00FB7B28"/>
    <w:rsid w:val="00FB7CE1"/>
    <w:rsid w:val="00FB7E10"/>
    <w:rsid w:val="00FC004C"/>
    <w:rsid w:val="00FC00C1"/>
    <w:rsid w:val="00FC00DB"/>
    <w:rsid w:val="00FC0120"/>
    <w:rsid w:val="00FC0171"/>
    <w:rsid w:val="00FC02FB"/>
    <w:rsid w:val="00FC073A"/>
    <w:rsid w:val="00FC09B5"/>
    <w:rsid w:val="00FC0C9B"/>
    <w:rsid w:val="00FC14E0"/>
    <w:rsid w:val="00FC1531"/>
    <w:rsid w:val="00FC1AB3"/>
    <w:rsid w:val="00FC1BF3"/>
    <w:rsid w:val="00FC1D20"/>
    <w:rsid w:val="00FC1ED8"/>
    <w:rsid w:val="00FC1F90"/>
    <w:rsid w:val="00FC213E"/>
    <w:rsid w:val="00FC2202"/>
    <w:rsid w:val="00FC226E"/>
    <w:rsid w:val="00FC2A06"/>
    <w:rsid w:val="00FC2ADA"/>
    <w:rsid w:val="00FC2C61"/>
    <w:rsid w:val="00FC33A7"/>
    <w:rsid w:val="00FC3897"/>
    <w:rsid w:val="00FC4840"/>
    <w:rsid w:val="00FC4AD3"/>
    <w:rsid w:val="00FC5073"/>
    <w:rsid w:val="00FC50E8"/>
    <w:rsid w:val="00FC5239"/>
    <w:rsid w:val="00FC5318"/>
    <w:rsid w:val="00FC58EF"/>
    <w:rsid w:val="00FC608D"/>
    <w:rsid w:val="00FC60B4"/>
    <w:rsid w:val="00FC614C"/>
    <w:rsid w:val="00FC61C4"/>
    <w:rsid w:val="00FC6B86"/>
    <w:rsid w:val="00FC6CB9"/>
    <w:rsid w:val="00FC6E98"/>
    <w:rsid w:val="00FC6FBD"/>
    <w:rsid w:val="00FC7069"/>
    <w:rsid w:val="00FC7356"/>
    <w:rsid w:val="00FC792C"/>
    <w:rsid w:val="00FC7DC5"/>
    <w:rsid w:val="00FC7F4F"/>
    <w:rsid w:val="00FD007D"/>
    <w:rsid w:val="00FD0468"/>
    <w:rsid w:val="00FD0766"/>
    <w:rsid w:val="00FD0889"/>
    <w:rsid w:val="00FD0C39"/>
    <w:rsid w:val="00FD0CCB"/>
    <w:rsid w:val="00FD0E71"/>
    <w:rsid w:val="00FD117F"/>
    <w:rsid w:val="00FD1241"/>
    <w:rsid w:val="00FD165F"/>
    <w:rsid w:val="00FD1B39"/>
    <w:rsid w:val="00FD1C22"/>
    <w:rsid w:val="00FD1F0C"/>
    <w:rsid w:val="00FD20F6"/>
    <w:rsid w:val="00FD26C1"/>
    <w:rsid w:val="00FD2743"/>
    <w:rsid w:val="00FD2C91"/>
    <w:rsid w:val="00FD329C"/>
    <w:rsid w:val="00FD33DF"/>
    <w:rsid w:val="00FD372C"/>
    <w:rsid w:val="00FD38B2"/>
    <w:rsid w:val="00FD392A"/>
    <w:rsid w:val="00FD3AED"/>
    <w:rsid w:val="00FD4319"/>
    <w:rsid w:val="00FD43AF"/>
    <w:rsid w:val="00FD4523"/>
    <w:rsid w:val="00FD4BC8"/>
    <w:rsid w:val="00FD4BD4"/>
    <w:rsid w:val="00FD4DBE"/>
    <w:rsid w:val="00FD4E65"/>
    <w:rsid w:val="00FD5191"/>
    <w:rsid w:val="00FD5AC0"/>
    <w:rsid w:val="00FD5B78"/>
    <w:rsid w:val="00FD5E4A"/>
    <w:rsid w:val="00FD60B1"/>
    <w:rsid w:val="00FD649D"/>
    <w:rsid w:val="00FD6522"/>
    <w:rsid w:val="00FD6654"/>
    <w:rsid w:val="00FD68B0"/>
    <w:rsid w:val="00FD6FD5"/>
    <w:rsid w:val="00FD712A"/>
    <w:rsid w:val="00FD730F"/>
    <w:rsid w:val="00FD769D"/>
    <w:rsid w:val="00FD7739"/>
    <w:rsid w:val="00FD77E9"/>
    <w:rsid w:val="00FD7A96"/>
    <w:rsid w:val="00FD7CA9"/>
    <w:rsid w:val="00FD7E44"/>
    <w:rsid w:val="00FE00C6"/>
    <w:rsid w:val="00FE00E5"/>
    <w:rsid w:val="00FE021C"/>
    <w:rsid w:val="00FE02D4"/>
    <w:rsid w:val="00FE038E"/>
    <w:rsid w:val="00FE06B7"/>
    <w:rsid w:val="00FE077F"/>
    <w:rsid w:val="00FE0DC5"/>
    <w:rsid w:val="00FE1B91"/>
    <w:rsid w:val="00FE1C4C"/>
    <w:rsid w:val="00FE1CCE"/>
    <w:rsid w:val="00FE1FE5"/>
    <w:rsid w:val="00FE2157"/>
    <w:rsid w:val="00FE277E"/>
    <w:rsid w:val="00FE2A82"/>
    <w:rsid w:val="00FE2B9A"/>
    <w:rsid w:val="00FE3158"/>
    <w:rsid w:val="00FE3990"/>
    <w:rsid w:val="00FE39D7"/>
    <w:rsid w:val="00FE3AE3"/>
    <w:rsid w:val="00FE3EA7"/>
    <w:rsid w:val="00FE3FA1"/>
    <w:rsid w:val="00FE43B3"/>
    <w:rsid w:val="00FE48A9"/>
    <w:rsid w:val="00FE5037"/>
    <w:rsid w:val="00FE52A3"/>
    <w:rsid w:val="00FE541C"/>
    <w:rsid w:val="00FE58A5"/>
    <w:rsid w:val="00FE59E2"/>
    <w:rsid w:val="00FE5AC5"/>
    <w:rsid w:val="00FE5D5D"/>
    <w:rsid w:val="00FE5F01"/>
    <w:rsid w:val="00FE65EF"/>
    <w:rsid w:val="00FE67C7"/>
    <w:rsid w:val="00FE6E46"/>
    <w:rsid w:val="00FE6F1F"/>
    <w:rsid w:val="00FE7DE2"/>
    <w:rsid w:val="00FF03A0"/>
    <w:rsid w:val="00FF0AD3"/>
    <w:rsid w:val="00FF0B25"/>
    <w:rsid w:val="00FF158F"/>
    <w:rsid w:val="00FF16D2"/>
    <w:rsid w:val="00FF19A3"/>
    <w:rsid w:val="00FF19B6"/>
    <w:rsid w:val="00FF1C5A"/>
    <w:rsid w:val="00FF26F4"/>
    <w:rsid w:val="00FF2A6F"/>
    <w:rsid w:val="00FF2C1D"/>
    <w:rsid w:val="00FF2E8F"/>
    <w:rsid w:val="00FF3285"/>
    <w:rsid w:val="00FF32B7"/>
    <w:rsid w:val="00FF33BE"/>
    <w:rsid w:val="00FF3651"/>
    <w:rsid w:val="00FF3EAD"/>
    <w:rsid w:val="00FF4670"/>
    <w:rsid w:val="00FF46DF"/>
    <w:rsid w:val="00FF472D"/>
    <w:rsid w:val="00FF47C4"/>
    <w:rsid w:val="00FF47CE"/>
    <w:rsid w:val="00FF4EAB"/>
    <w:rsid w:val="00FF4ED7"/>
    <w:rsid w:val="00FF4F3F"/>
    <w:rsid w:val="00FF5088"/>
    <w:rsid w:val="00FF50A9"/>
    <w:rsid w:val="00FF52C6"/>
    <w:rsid w:val="00FF5558"/>
    <w:rsid w:val="00FF56AC"/>
    <w:rsid w:val="00FF59D0"/>
    <w:rsid w:val="00FF6855"/>
    <w:rsid w:val="00FF6BE9"/>
    <w:rsid w:val="00FF6E32"/>
    <w:rsid w:val="00FF7090"/>
    <w:rsid w:val="00FF75B5"/>
    <w:rsid w:val="00FF7673"/>
    <w:rsid w:val="00FF795D"/>
    <w:rsid w:val="00FF7DD6"/>
    <w:rsid w:val="00FF7F3D"/>
    <w:rsid w:val="028A2172"/>
    <w:rsid w:val="0CC7D64F"/>
    <w:rsid w:val="119B4772"/>
    <w:rsid w:val="13A971E6"/>
    <w:rsid w:val="1AFE2FE3"/>
    <w:rsid w:val="2436E6F6"/>
    <w:rsid w:val="276E87B8"/>
    <w:rsid w:val="294FB3AF"/>
    <w:rsid w:val="34EB326A"/>
    <w:rsid w:val="39FCAA10"/>
    <w:rsid w:val="3A052E13"/>
    <w:rsid w:val="40BF5AD3"/>
    <w:rsid w:val="4A233F63"/>
    <w:rsid w:val="4CA0CD97"/>
    <w:rsid w:val="537677AB"/>
    <w:rsid w:val="5B55B918"/>
    <w:rsid w:val="6D6D9AB5"/>
    <w:rsid w:val="7DB6B04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20E352"/>
  <w15:docId w15:val="{57C64C7A-CCD8-45AE-A7B3-DBA08F5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C541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150128"/>
    <w:pPr>
      <w:widowControl w:val="0"/>
      <w:numPr>
        <w:numId w:val="1"/>
      </w:numPr>
      <w:tabs>
        <w:tab w:val="left" w:pos="1559"/>
      </w:tabs>
      <w:adjustRightInd w:val="0"/>
      <w:ind w:left="0"/>
      <w:jc w:val="both"/>
      <w:textAlignment w:val="baseline"/>
    </w:pPr>
    <w:rPr>
      <w:rFonts w:ascii="Bookman Old Style" w:hAnsi="Bookman Old Style"/>
      <w:bCs/>
      <w:lang w:val="x-none" w:eastAsia="x-none"/>
    </w:rPr>
  </w:style>
  <w:style w:type="character" w:customStyle="1" w:styleId="ARTICULOSCar">
    <w:name w:val="ARTICULOS Car"/>
    <w:link w:val="ARTICULOS"/>
    <w:rsid w:val="00150128"/>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uiPriority w:val="99"/>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uiPriority w:val="99"/>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4"/>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52"/>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 w:type="paragraph" w:styleId="Sangra2detindependiente">
    <w:name w:val="Body Text Indent 2"/>
    <w:basedOn w:val="Normal"/>
    <w:link w:val="Sangra2detindependienteCar"/>
    <w:uiPriority w:val="99"/>
    <w:semiHidden/>
    <w:unhideWhenUsed/>
    <w:rsid w:val="006F451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F4510"/>
    <w:rPr>
      <w:sz w:val="24"/>
      <w:szCs w:val="24"/>
      <w:lang w:val="es-ES" w:eastAsia="es-ES"/>
    </w:rPr>
  </w:style>
  <w:style w:type="character" w:customStyle="1" w:styleId="Ttulo2Car">
    <w:name w:val="Título 2 Car"/>
    <w:basedOn w:val="Fuentedeprrafopredeter"/>
    <w:link w:val="Ttulo2"/>
    <w:uiPriority w:val="9"/>
    <w:semiHidden/>
    <w:rsid w:val="00C5411A"/>
    <w:rPr>
      <w:rFonts w:asciiTheme="majorHAnsi" w:eastAsiaTheme="majorEastAsia" w:hAnsiTheme="majorHAnsi" w:cstheme="majorBidi"/>
      <w:color w:val="365F91" w:themeColor="accent1" w:themeShade="BF"/>
      <w:sz w:val="26"/>
      <w:szCs w:val="26"/>
      <w:lang w:val="es-ES" w:eastAsia="es-ES"/>
    </w:rPr>
  </w:style>
  <w:style w:type="paragraph" w:customStyle="1" w:styleId="Epgrafe">
    <w:name w:val="Epígrafe"/>
    <w:basedOn w:val="Normal"/>
    <w:next w:val="Normal"/>
    <w:qFormat/>
    <w:rsid w:val="000A2411"/>
    <w:pPr>
      <w:widowControl w:val="0"/>
      <w:adjustRightInd w:val="0"/>
      <w:spacing w:before="120" w:after="120" w:line="360" w:lineRule="atLeast"/>
      <w:ind w:left="0"/>
      <w:jc w:val="center"/>
      <w:textAlignment w:val="baseline"/>
    </w:pPr>
    <w:rPr>
      <w:rFonts w:ascii="Arial" w:hAnsi="Arial"/>
      <w:sz w:val="20"/>
      <w:szCs w:val="20"/>
    </w:rPr>
  </w:style>
  <w:style w:type="paragraph" w:customStyle="1" w:styleId="Vietaletra">
    <w:name w:val="Viñeta letra"/>
    <w:basedOn w:val="Normal"/>
    <w:next w:val="Normal"/>
    <w:rsid w:val="000A2411"/>
    <w:pPr>
      <w:numPr>
        <w:numId w:val="72"/>
      </w:numPr>
      <w:suppressAutoHyphens/>
      <w:overflowPunct w:val="0"/>
      <w:autoSpaceDE w:val="0"/>
      <w:ind w:left="0"/>
      <w:jc w:val="both"/>
      <w:textAlignment w:val="baseline"/>
    </w:pPr>
    <w:rPr>
      <w:rFonts w:ascii="Arial" w:hAnsi="Arial"/>
      <w:szCs w:val="20"/>
      <w:lang w:val="es-ES_tradnl" w:eastAsia="ar-SA"/>
    </w:rPr>
  </w:style>
  <w:style w:type="paragraph" w:customStyle="1" w:styleId="PliegoTitulo1">
    <w:name w:val="Pliego_Titulo1"/>
    <w:basedOn w:val="Normal"/>
    <w:next w:val="Normal"/>
    <w:rsid w:val="000A2411"/>
    <w:pPr>
      <w:widowControl w:val="0"/>
      <w:numPr>
        <w:numId w:val="73"/>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0A2411"/>
    <w:pPr>
      <w:widowControl w:val="0"/>
      <w:numPr>
        <w:ilvl w:val="2"/>
        <w:numId w:val="73"/>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0A2411"/>
    <w:pPr>
      <w:widowControl w:val="0"/>
      <w:numPr>
        <w:ilvl w:val="3"/>
        <w:numId w:val="73"/>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0A2411"/>
    <w:pPr>
      <w:widowControl w:val="0"/>
      <w:numPr>
        <w:ilvl w:val="4"/>
        <w:numId w:val="73"/>
      </w:numPr>
      <w:adjustRightInd w:val="0"/>
      <w:spacing w:line="360" w:lineRule="atLeast"/>
      <w:jc w:val="both"/>
      <w:textAlignment w:val="baseline"/>
    </w:pPr>
    <w:rPr>
      <w:rFonts w:ascii="Garamond" w:hAnsi="Garamond"/>
      <w:bCs/>
      <w:i/>
      <w:sz w:val="22"/>
      <w:szCs w:val="20"/>
      <w:lang w:val="es-ES_tradnl"/>
    </w:rPr>
  </w:style>
  <w:style w:type="character" w:styleId="Mencinsinresolver">
    <w:name w:val="Unresolved Mention"/>
    <w:basedOn w:val="Fuentedeprrafopredeter"/>
    <w:uiPriority w:val="99"/>
    <w:semiHidden/>
    <w:unhideWhenUsed/>
    <w:rsid w:val="00A8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7496">
      <w:bodyDiv w:val="1"/>
      <w:marLeft w:val="0"/>
      <w:marRight w:val="0"/>
      <w:marTop w:val="0"/>
      <w:marBottom w:val="0"/>
      <w:divBdr>
        <w:top w:val="none" w:sz="0" w:space="0" w:color="auto"/>
        <w:left w:val="none" w:sz="0" w:space="0" w:color="auto"/>
        <w:bottom w:val="none" w:sz="0" w:space="0" w:color="auto"/>
        <w:right w:val="none" w:sz="0" w:space="0" w:color="auto"/>
      </w:divBdr>
    </w:div>
    <w:div w:id="92867127">
      <w:bodyDiv w:val="1"/>
      <w:marLeft w:val="0"/>
      <w:marRight w:val="0"/>
      <w:marTop w:val="0"/>
      <w:marBottom w:val="0"/>
      <w:divBdr>
        <w:top w:val="none" w:sz="0" w:space="0" w:color="auto"/>
        <w:left w:val="none" w:sz="0" w:space="0" w:color="auto"/>
        <w:bottom w:val="none" w:sz="0" w:space="0" w:color="auto"/>
        <w:right w:val="none" w:sz="0" w:space="0" w:color="auto"/>
      </w:divBdr>
    </w:div>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72188846">
      <w:bodyDiv w:val="1"/>
      <w:marLeft w:val="0"/>
      <w:marRight w:val="0"/>
      <w:marTop w:val="0"/>
      <w:marBottom w:val="0"/>
      <w:divBdr>
        <w:top w:val="none" w:sz="0" w:space="0" w:color="auto"/>
        <w:left w:val="none" w:sz="0" w:space="0" w:color="auto"/>
        <w:bottom w:val="none" w:sz="0" w:space="0" w:color="auto"/>
        <w:right w:val="none" w:sz="0" w:space="0" w:color="auto"/>
      </w:divBdr>
    </w:div>
    <w:div w:id="536238324">
      <w:bodyDiv w:val="1"/>
      <w:marLeft w:val="0"/>
      <w:marRight w:val="0"/>
      <w:marTop w:val="0"/>
      <w:marBottom w:val="0"/>
      <w:divBdr>
        <w:top w:val="none" w:sz="0" w:space="0" w:color="auto"/>
        <w:left w:val="none" w:sz="0" w:space="0" w:color="auto"/>
        <w:bottom w:val="none" w:sz="0" w:space="0" w:color="auto"/>
        <w:right w:val="none" w:sz="0" w:space="0" w:color="auto"/>
      </w:divBdr>
    </w:div>
    <w:div w:id="607346892">
      <w:bodyDiv w:val="1"/>
      <w:marLeft w:val="0"/>
      <w:marRight w:val="0"/>
      <w:marTop w:val="0"/>
      <w:marBottom w:val="0"/>
      <w:divBdr>
        <w:top w:val="none" w:sz="0" w:space="0" w:color="auto"/>
        <w:left w:val="none" w:sz="0" w:space="0" w:color="auto"/>
        <w:bottom w:val="none" w:sz="0" w:space="0" w:color="auto"/>
        <w:right w:val="none" w:sz="0" w:space="0" w:color="auto"/>
      </w:divBdr>
    </w:div>
    <w:div w:id="747457244">
      <w:bodyDiv w:val="1"/>
      <w:marLeft w:val="0"/>
      <w:marRight w:val="0"/>
      <w:marTop w:val="0"/>
      <w:marBottom w:val="0"/>
      <w:divBdr>
        <w:top w:val="none" w:sz="0" w:space="0" w:color="auto"/>
        <w:left w:val="none" w:sz="0" w:space="0" w:color="auto"/>
        <w:bottom w:val="none" w:sz="0" w:space="0" w:color="auto"/>
        <w:right w:val="none" w:sz="0" w:space="0" w:color="auto"/>
      </w:divBdr>
    </w:div>
    <w:div w:id="957418859">
      <w:bodyDiv w:val="1"/>
      <w:marLeft w:val="0"/>
      <w:marRight w:val="0"/>
      <w:marTop w:val="0"/>
      <w:marBottom w:val="0"/>
      <w:divBdr>
        <w:top w:val="none" w:sz="0" w:space="0" w:color="auto"/>
        <w:left w:val="none" w:sz="0" w:space="0" w:color="auto"/>
        <w:bottom w:val="none" w:sz="0" w:space="0" w:color="auto"/>
        <w:right w:val="none" w:sz="0" w:space="0" w:color="auto"/>
      </w:divBdr>
    </w:div>
    <w:div w:id="1035354738">
      <w:bodyDiv w:val="1"/>
      <w:marLeft w:val="0"/>
      <w:marRight w:val="0"/>
      <w:marTop w:val="0"/>
      <w:marBottom w:val="0"/>
      <w:divBdr>
        <w:top w:val="none" w:sz="0" w:space="0" w:color="auto"/>
        <w:left w:val="none" w:sz="0" w:space="0" w:color="auto"/>
        <w:bottom w:val="none" w:sz="0" w:space="0" w:color="auto"/>
        <w:right w:val="none" w:sz="0" w:space="0" w:color="auto"/>
      </w:divBdr>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092974512">
      <w:bodyDiv w:val="1"/>
      <w:marLeft w:val="0"/>
      <w:marRight w:val="0"/>
      <w:marTop w:val="0"/>
      <w:marBottom w:val="0"/>
      <w:divBdr>
        <w:top w:val="none" w:sz="0" w:space="0" w:color="auto"/>
        <w:left w:val="none" w:sz="0" w:space="0" w:color="auto"/>
        <w:bottom w:val="none" w:sz="0" w:space="0" w:color="auto"/>
        <w:right w:val="none" w:sz="0" w:space="0" w:color="auto"/>
      </w:divBdr>
    </w:div>
    <w:div w:id="1187405648">
      <w:bodyDiv w:val="1"/>
      <w:marLeft w:val="0"/>
      <w:marRight w:val="0"/>
      <w:marTop w:val="0"/>
      <w:marBottom w:val="0"/>
      <w:divBdr>
        <w:top w:val="none" w:sz="0" w:space="0" w:color="auto"/>
        <w:left w:val="none" w:sz="0" w:space="0" w:color="auto"/>
        <w:bottom w:val="none" w:sz="0" w:space="0" w:color="auto"/>
        <w:right w:val="none" w:sz="0" w:space="0" w:color="auto"/>
      </w:divBdr>
    </w:div>
    <w:div w:id="1202478710">
      <w:bodyDiv w:val="1"/>
      <w:marLeft w:val="0"/>
      <w:marRight w:val="0"/>
      <w:marTop w:val="0"/>
      <w:marBottom w:val="0"/>
      <w:divBdr>
        <w:top w:val="none" w:sz="0" w:space="0" w:color="auto"/>
        <w:left w:val="none" w:sz="0" w:space="0" w:color="auto"/>
        <w:bottom w:val="none" w:sz="0" w:space="0" w:color="auto"/>
        <w:right w:val="none" w:sz="0" w:space="0" w:color="auto"/>
      </w:divBdr>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767381998">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52179945">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z:/CREG/docs/Nueva%20carpeta/LEY/ley_0142_1994.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698CE1C61F55489DABF72A152DC66D" ma:contentTypeVersion="5" ma:contentTypeDescription="Crear nuevo documento." ma:contentTypeScope="" ma:versionID="10cce5070363f5f8898fde9e84d88506">
  <xsd:schema xmlns:xsd="http://www.w3.org/2001/XMLSchema" xmlns:xs="http://www.w3.org/2001/XMLSchema" xmlns:p="http://schemas.microsoft.com/office/2006/metadata/properties" xmlns:ns2="bfaf6a08-8266-41cd-baa5-d91eeccc15b6" xmlns:ns3="f9f0256f-341e-4b75-bd33-3a48534173fc" targetNamespace="http://schemas.microsoft.com/office/2006/metadata/properties" ma:root="true" ma:fieldsID="25a52d9ea3cd7047eaa1db1af034ebde" ns2:_="" ns3:_="">
    <xsd:import namespace="bfaf6a08-8266-41cd-baa5-d91eeccc15b6"/>
    <xsd:import namespace="f9f0256f-341e-4b75-bd33-3a48534173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f6a08-8266-41cd-baa5-d91eecc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256f-341e-4b75-bd33-3a48534173f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42C05-309F-49D8-8CD7-21EB0F8B9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f6a08-8266-41cd-baa5-d91eeccc15b6"/>
    <ds:schemaRef ds:uri="f9f0256f-341e-4b75-bd33-3a4853417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7EB48-0E1F-452D-90FE-F21089014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D43A2-BA56-40AF-887D-9E9C490CAB29}">
  <ds:schemaRefs>
    <ds:schemaRef ds:uri="http://schemas.openxmlformats.org/officeDocument/2006/bibliography"/>
  </ds:schemaRefs>
</ds:datastoreItem>
</file>

<file path=customXml/itemProps4.xml><?xml version="1.0" encoding="utf-8"?>
<ds:datastoreItem xmlns:ds="http://schemas.openxmlformats.org/officeDocument/2006/customXml" ds:itemID="{E2881403-057B-46B4-97E5-2F13B9743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162</Pages>
  <Words>61550</Words>
  <Characters>338526</Characters>
  <Application>Microsoft Office Word</Application>
  <DocSecurity>0</DocSecurity>
  <Lines>2821</Lines>
  <Paragraphs>798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399278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2023-06-27T16:08:00Z</cp:lastPrinted>
  <dcterms:created xsi:type="dcterms:W3CDTF">2023-07-14T21:45:00Z</dcterms:created>
  <dcterms:modified xsi:type="dcterms:W3CDTF">2023-07-14T21:45:00Z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0x010100E8698CE1C61F55489DABF72A152DC66D</vt:lpwstr>
  </property>
  <property fmtid="{D5CDD505-2E9C-101B-9397-08002B2CF9AE}" pid="3" name="GrammarlyDocumentId">
    <vt:lpwstr>8856e401e102882f4de9aab291216d479eb19692ae1db5852484ba347bb24625</vt:lpwstr>
  </property>
</Properties>
</file>